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The Rate Ripple — Running Notes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living document capturing key concepts, decisions, and insights as the project is built. Updated session by session.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1. What We Are Solving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The Bank of Canada raised interest rates from 0.25% to 5.00% between 2022 and 2023. This project traces how that rate cycle rippled through the Canadian economy and landed on P&amp;C insurers. Interest rates are both a cause and an effect.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The Chain Reaction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Rates go up → mortgage payments jump → homeowners cash strapped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Cash strapped homeowners defer maintenance → small problems become big claims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Inflation raises rebuild costs → fewer claims still cost more to settle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Insurers raise premiums to protect margins → homeowners squeezed further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2. The Story in the Numbers — NEVER FORGET THIS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This is the business narrative that connects all the data together. Use this when explaining the project to anyone.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Loss Ratio Explained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Loss Ratio = Claims Paid / Premiums Collected × 100. It is NOT an index with a base year. Each year stands on its 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Below 60% — healthy. Insurer is profitable on underwriting.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60% to 70% — manageable but tight. Expenses eat into margin.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Above 70% — stress. Insurer may be losing money on underwriting.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Above 100% — crisis. Paying out more in claims than collecting in premiums.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What Our Data Shows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2005-2022: Loss ratios between 55-70% — manageable range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2022: 55.5% — barely moved despite BOC starting rate hikes in March 2022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2023: 68.13% — big jump — lag effect hitting, record catastrophe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2024: 72.73% — above 70%, significant stress, record $8.5B catastrophe losses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2025: 63.78% — easing back as rates decline and catastrophes moderate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The Lag Effect — Most Important Insight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BOC started hiking rates aggressively in March 2022. But the loss ratio barely moved in 2022. Why? Because rate changes do not immediately show up in insurance claims. There is a 6-12 month lag.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March 2022 → BOC starts hiking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Late 2022 → Homeowners start feeling mortgage stress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2023 → Deferred maintenance starts causing claims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2023-2024 → Loss ratios spike to danger zone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This lag story is the most important analytical insight in the entire project. It shows that BOC rate decisions have delayed consequences that insurers need to ANTICIPATE — not react to. That is the white paper level insight.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Interview Answer — Why Did Loss Ratio Not Jump in 2022?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'Rate changes affect insurance claims with a 6-12 month lag. When BOC hiked in March 2022, homeowners did not immediately file more claims. The stress built gradually — deferred maintenance, financial pressure, higher rebuild costs — and materialized as claims in 2023 and 2024. This lag effect is why insurers need forward-looking macro indicators, not just claims history, to price risk accurately.'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3. Why P&amp;C Insurance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Most analyses focus on mortgage default. P&amp;C insurance is rarely analyzed in an integrated data-driven way. Behind every loss ratio is a homeowner whose quality of life depends on the system working.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Note: </w:t>
      </w:r>
      <w:r>
        <w:rPr>
          <w:rFonts w:ascii="Arial" w:cs="Arial" w:eastAsia="Arial" w:hAnsi="Arial"/>
          <w:sz w:val="24"/>
          <w:szCs w:val="24"/>
        </w:rPr>
        <w:t xml:space="preserve">CMHC = mortgage default insurance. P&amp;C = home insurance. Completely different products.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4. Data Sources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Bank of Canada Valet API: </w:t>
      </w:r>
      <w:r>
        <w:rPr>
          <w:rFonts w:ascii="Arial" w:cs="Arial" w:eastAsia="Arial" w:hAnsi="Arial"/>
          <w:sz w:val="24"/>
          <w:szCs w:val="24"/>
        </w:rPr>
        <w:t xml:space="preserve">Policy rate (V39079), CPI (V41690914), 2yr yield (BD.CDN.2YR.DQ.YLD), 10yr yield (BD.CDN.10YR.DQ.YLD). GET request. Daily → annual average in silver.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Statistics Canada WDS API: </w:t>
      </w:r>
      <w:r>
        <w:rPr>
          <w:rFonts w:ascii="Arial" w:cs="Arial" w:eastAsia="Arial" w:hAnsi="Arial"/>
          <w:sz w:val="24"/>
          <w:szCs w:val="24"/>
        </w:rPr>
        <w:t xml:space="preserve">HPI (v111955442, base Dec 2016=100), Construction Cost Toronto (v1617912756, base 2023=100). POST request. Monthly → annual average in silver.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OSFI Three File Strategy: </w:t>
      </w:r>
      <w:r>
        <w:rPr>
          <w:rFonts w:ascii="Arial" w:cs="Arial" w:eastAsia="Arial" w:hAnsi="Arial"/>
          <w:sz w:val="24"/>
          <w:szCs w:val="24"/>
        </w:rPr>
        <w:t xml:space="preserve">PC1 (2005-2013) + 1Q Q4 filter (2014-2022) + PC2 Q4 filter (2023-2026). 2023 onwards = IFRS 17. Flagged with accounting_standard column.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IBC/CatIQ: </w:t>
      </w:r>
      <w:r>
        <w:rPr>
          <w:rFonts w:ascii="Arial" w:cs="Arial" w:eastAsia="Arial" w:hAnsi="Arial"/>
          <w:sz w:val="24"/>
          <w:szCs w:val="24"/>
        </w:rPr>
        <w:t xml:space="preserve">Annual catastrophic losses 2005-2025. Manually curated. Future: automate via CatIQ web scraping.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5. OSFI Metric Mapping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Premiums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PC1 (2005-2013): 'Total NEP'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1Q (2014-2022): 'NEP -  TOTAL' (double space)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PC2 (2023-2026): 'PC2: Total Insurance Revenue, Current Period'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Claims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PC1 (2005-2013): 'Net claims incurred current year'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1Q (2014-2022): 'Net Claims and Adj. Exp.'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PC2 (2023-2026): 'PC2:  TOTAL, Insurance Service Expenses, Incurred Claims and Other Insurance Service Expenses'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Loss Ratio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PC1 and 1Q: 'Total claims ratio' — directly published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PC2: Calculated — claims / premiums × 100 (not published under IFRS 17)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Key Decisions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2023 uses PC2 (IFRS 17) not 1Q because 1Q 2023 Q4 data was incomplete — only $3.5M vs $42M in 2022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accounting_standard column added: IFRS 4 for 2005-2022, IFRS 17 for 2023 onwards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Direct year over year comparison across 2022-2023 should be interpreted with caution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6. Tools &amp; Scripts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data_profile.py: </w:t>
      </w:r>
      <w:r>
        <w:rPr>
          <w:rFonts w:ascii="Arial" w:cs="Arial" w:eastAsia="Arial" w:hAnsi="Arial"/>
          <w:sz w:val="24"/>
          <w:szCs w:val="24"/>
        </w:rPr>
        <w:t xml:space="preserve">Profiles any CSV. python scripts/data_profile.py &lt;file&gt;. Saves report to docs/profiles/.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data_search.py: </w:t>
      </w:r>
      <w:r>
        <w:rPr>
          <w:rFonts w:ascii="Arial" w:cs="Arial" w:eastAsia="Arial" w:hAnsi="Arial"/>
          <w:sz w:val="24"/>
          <w:szCs w:val="24"/>
        </w:rPr>
        <w:t xml:space="preserve">Keyword search in any CSV column. python scripts/data_search.py &lt;file&gt; &lt;column&gt; &lt;keywords&gt;.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extract.py: </w:t>
      </w:r>
      <w:r>
        <w:rPr>
          <w:rFonts w:ascii="Arial" w:cs="Arial" w:eastAsia="Arial" w:hAnsi="Arial"/>
          <w:sz w:val="24"/>
          <w:szCs w:val="24"/>
        </w:rPr>
        <w:t xml:space="preserve">Pulls all sources to bronze. python scripts/extract.py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transform.py: </w:t>
      </w:r>
      <w:r>
        <w:rPr>
          <w:rFonts w:ascii="Arial" w:cs="Arial" w:eastAsia="Arial" w:hAnsi="Arial"/>
          <w:sz w:val="24"/>
          <w:szCs w:val="24"/>
        </w:rPr>
        <w:t xml:space="preserve">Cleans bronze to silver. python scripts/transform.py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7. Key Concepts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Loss Ratio: </w:t>
      </w:r>
      <w:r>
        <w:rPr>
          <w:rFonts w:ascii="Arial" w:cs="Arial" w:eastAsia="Arial" w:hAnsi="Arial"/>
          <w:sz w:val="24"/>
          <w:szCs w:val="24"/>
        </w:rPr>
        <w:t xml:space="preserve">Claims / Premiums × 100. Not an index. Each year stands alone. Above 70% = stress zone.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NEP: </w:t>
      </w:r>
      <w:r>
        <w:rPr>
          <w:rFonts w:ascii="Arial" w:cs="Arial" w:eastAsia="Arial" w:hAnsi="Arial"/>
          <w:sz w:val="24"/>
          <w:szCs w:val="24"/>
        </w:rPr>
        <w:t xml:space="preserve">Net Earned Premiums. Premiums earned after reinsurance.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NWP: </w:t>
      </w:r>
      <w:r>
        <w:rPr>
          <w:rFonts w:ascii="Arial" w:cs="Arial" w:eastAsia="Arial" w:hAnsi="Arial"/>
          <w:sz w:val="24"/>
          <w:szCs w:val="24"/>
        </w:rPr>
        <w:t xml:space="preserve">Net Written Premiums. Premiums written after reinsurance.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IFRS 17: </w:t>
      </w:r>
      <w:r>
        <w:rPr>
          <w:rFonts w:ascii="Arial" w:cs="Arial" w:eastAsia="Arial" w:hAnsi="Arial"/>
          <w:sz w:val="24"/>
          <w:szCs w:val="24"/>
        </w:rPr>
        <w:t xml:space="preserve">New insurance accounting standard from 2023. Changed metric names. Loss ratio no longer directly published — must be calculated.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Lag Effect: </w:t>
      </w:r>
      <w:r>
        <w:rPr>
          <w:rFonts w:ascii="Arial" w:cs="Arial" w:eastAsia="Arial" w:hAnsi="Arial"/>
          <w:sz w:val="24"/>
          <w:szCs w:val="24"/>
        </w:rPr>
        <w:t xml:space="preserve">6-12 month delay between BOC rate changes and insurance claim impact. Most important insight in the project.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Overnight Rate: </w:t>
      </w:r>
      <w:r>
        <w:rPr>
          <w:rFonts w:ascii="Arial" w:cs="Arial" w:eastAsia="Arial" w:hAnsi="Arial"/>
          <w:sz w:val="24"/>
          <w:szCs w:val="24"/>
        </w:rPr>
        <w:t xml:space="preserve">Rate at which banks lend overnight. BOC sets target. V39079.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Yield Curve Inversion: </w:t>
      </w:r>
      <w:r>
        <w:rPr>
          <w:rFonts w:ascii="Arial" w:cs="Arial" w:eastAsia="Arial" w:hAnsi="Arial"/>
          <w:sz w:val="24"/>
          <w:szCs w:val="24"/>
        </w:rPr>
        <w:t xml:space="preserve">2yr yield &gt; 10yr yield = recession signal. Happened 2022-2023.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Year Over Year Change: </w:t>
      </w:r>
      <w:r>
        <w:rPr>
          <w:rFonts w:ascii="Arial" w:cs="Arial" w:eastAsia="Arial" w:hAnsi="Arial"/>
          <w:sz w:val="24"/>
          <w:szCs w:val="24"/>
        </w:rPr>
        <w:t xml:space="preserve">Removes base year dependency. Used for HPI and BCPI comparisons.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Idempotency: </w:t>
      </w:r>
      <w:r>
        <w:rPr>
          <w:rFonts w:ascii="Arial" w:cs="Arial" w:eastAsia="Arial" w:hAnsi="Arial"/>
          <w:sz w:val="24"/>
          <w:szCs w:val="24"/>
        </w:rPr>
        <w:t xml:space="preserve">Pipeline safe to run multiple times. No duplicates. Gold uses upsert.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8. Build Progress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Bronze Layer —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BOC: policy rate, CPI, 2yr yield, 10yr yield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StatsCan: HPI, Toronto construction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OSFI: PC1, 1Q, PC2 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IBC: catastrophe losses 2005-2025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Silver Layer — In Progress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BOC silver complete: 2005-2026, one row per year, outer join preserves 2005-2008 rows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StatsCan HPI silver complete: 2005-2026 with YoY change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StatsCan construction silver complete: 2005-2026 with YoY change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OSFI silver complete: 2005-2025, three files merged, IFRS 17 flag added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IBC silver pending — next step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Next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Write IBC transformation — simple, one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Commit and merge feature/statcan-extraction to main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Install dbt: pip install dbt-postgres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Set up dbt project for silver to gold modeling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Build dbt models, validate.py, run_pipeline.py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Tableau dashboard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9. Documented Decisions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Annual Granularity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Q4 quarterly = annual year end cumulative figure. All sources standardized to one row per year.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OSFI 2023 Uses PC2 Not 1Q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1Q file 2023 Q4 showed $3.5M vs $42M in 2022 — clearly incomplete data as file was retired mid-2023. PC2 2023 Q4 shows $57M which is consistent with trend. PC2 used from 2023 onwards.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IFRS 17 Transition Flag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accounting_standard column added. IFRS 4 for 2005-2022, IFRS 17 for 2023 onwards. Dashboard will annotate this break point. Direct YoY comparison across 2022-2023 flagged as requiring caution.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dbt for Silver to Gold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Python handles messy cleaning. dbt handles analytical modeling in SQL. Data catalog auto-generated by dbt.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Toronto Construction Cost Proxy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No Canada composite in BCPI. Toronto used. City level expansion Phase 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2026-08-22T17:31:16.616Z</dcterms:created>
  <dcterms:modified xsi:type="dcterms:W3CDTF">2026-08-22T17:31:16.643Z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