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The Rate Ripple — Running Notes</w:t>
      </w:r>
    </w:p>
    <w:p>
      <w:pPr>
        <w:spacing w:after="120"/>
      </w:pPr>
      <w:r>
        <w:rPr>
          <w:rFonts w:ascii="Arial" w:cs="Arial" w:eastAsia="Arial" w:hAnsi="Arial"/>
          <w:sz w:val="24"/>
          <w:szCs w:val="24"/>
        </w:rPr>
        <w:t xml:space="preserve">A living document capturing key concepts, decisions, and insights as the project is built. Updated session by session.</w:t>
      </w:r>
    </w:p>
    <w:p>
      <w:pPr>
        <w:pBdr>
          <w:bottom w:val="single" w:color="CCCCCC" w:sz="4" w:space="1"/>
        </w:pBdr>
        <w:spacing w:after="200"/>
      </w:pPr>
    </w:p>
    <w:p>
      <w:pPr>
        <w:pStyle w:val="Heading2"/>
      </w:pPr>
      <w:r>
        <w:rPr>
          <w:rFonts w:ascii="Arial" w:cs="Arial" w:eastAsia="Arial" w:hAnsi="Arial"/>
          <w:b/>
          <w:bCs/>
          <w:color w:val="2E5FA3"/>
          <w:sz w:val="28"/>
          <w:szCs w:val="28"/>
        </w:rPr>
        <w:t xml:space="preserve">1. What We Are Solving</w:t>
      </w:r>
    </w:p>
    <w:p>
      <w:pPr>
        <w:spacing w:after="120"/>
      </w:pPr>
      <w:r>
        <w:rPr>
          <w:rFonts w:ascii="Arial" w:cs="Arial" w:eastAsia="Arial" w:hAnsi="Arial"/>
          <w:sz w:val="24"/>
          <w:szCs w:val="24"/>
        </w:rPr>
        <w:t xml:space="preserve">The Bank of Canada raised interest rates from 0.25% to 5.00% between 2022 and 2023. Rates are now declining. This project traces how that rate cycle rippled through the Canadian economy and landed on the balance sheets of property and casualty (P&amp;C) insurers.</w:t>
      </w:r>
    </w:p>
    <w:p>
      <w:pPr>
        <w:pStyle w:val="Heading3"/>
      </w:pPr>
      <w:r>
        <w:rPr>
          <w:rFonts w:ascii="Arial" w:cs="Arial" w:eastAsia="Arial" w:hAnsi="Arial"/>
          <w:b/>
          <w:bCs/>
          <w:color w:val="444444"/>
          <w:sz w:val="24"/>
          <w:szCs w:val="24"/>
        </w:rPr>
        <w:t xml:space="preserve">The Chain Reaction</w:t>
      </w:r>
    </w:p>
    <w:p>
      <w:pPr>
        <w:pStyle w:val="ListParagraph"/>
        <w:numPr>
          <w:ilvl w:val="0"/>
          <w:numId w:val="2"/>
        </w:numPr>
        <w:spacing w:after="80"/>
      </w:pPr>
      <w:r>
        <w:rPr>
          <w:rFonts w:ascii="Arial" w:cs="Arial" w:eastAsia="Arial" w:hAnsi="Arial"/>
          <w:sz w:val="24"/>
          <w:szCs w:val="24"/>
        </w:rPr>
        <w:t xml:space="preserve">Rates go up → mortgage payments jump → homeowners are cash strapped</w:t>
      </w:r>
    </w:p>
    <w:p>
      <w:pPr>
        <w:pStyle w:val="ListParagraph"/>
        <w:numPr>
          <w:ilvl w:val="0"/>
          <w:numId w:val="2"/>
        </w:numPr>
        <w:spacing w:after="80"/>
      </w:pPr>
      <w:r>
        <w:rPr>
          <w:rFonts w:ascii="Arial" w:cs="Arial" w:eastAsia="Arial" w:hAnsi="Arial"/>
          <w:sz w:val="24"/>
          <w:szCs w:val="24"/>
        </w:rPr>
        <w:t xml:space="preserve">Cash strapped homeowners defer maintenance → small problems become big claims</w:t>
      </w:r>
    </w:p>
    <w:p>
      <w:pPr>
        <w:pStyle w:val="ListParagraph"/>
        <w:numPr>
          <w:ilvl w:val="0"/>
          <w:numId w:val="2"/>
        </w:numPr>
        <w:spacing w:after="80"/>
      </w:pPr>
      <w:r>
        <w:rPr>
          <w:rFonts w:ascii="Arial" w:cs="Arial" w:eastAsia="Arial" w:hAnsi="Arial"/>
          <w:sz w:val="24"/>
          <w:szCs w:val="24"/>
        </w:rPr>
        <w:t xml:space="preserve">Inflation raises rebuild costs → fewer claims still cost more to settle</w:t>
      </w:r>
    </w:p>
    <w:p>
      <w:pPr>
        <w:pStyle w:val="ListParagraph"/>
        <w:numPr>
          <w:ilvl w:val="0"/>
          <w:numId w:val="2"/>
        </w:numPr>
        <w:spacing w:after="80"/>
      </w:pPr>
      <w:r>
        <w:rPr>
          <w:rFonts w:ascii="Arial" w:cs="Arial" w:eastAsia="Arial" w:hAnsi="Arial"/>
          <w:sz w:val="24"/>
          <w:szCs w:val="24"/>
        </w:rPr>
        <w:t xml:space="preserve">Financial stress increases fraud risk → staged or exaggerated claims</w:t>
      </w:r>
    </w:p>
    <w:p>
      <w:pPr>
        <w:pStyle w:val="ListParagraph"/>
        <w:numPr>
          <w:ilvl w:val="0"/>
          <w:numId w:val="2"/>
        </w:numPr>
        <w:spacing w:after="80"/>
      </w:pPr>
      <w:r>
        <w:rPr>
          <w:rFonts w:ascii="Arial" w:cs="Arial" w:eastAsia="Arial" w:hAnsi="Arial"/>
          <w:sz w:val="24"/>
          <w:szCs w:val="24"/>
        </w:rPr>
        <w:t xml:space="preserve">Insurers raise premiums to protect margins → homeowners are squeezed further</w:t>
      </w:r>
    </w:p>
    <w:p>
      <w:pPr>
        <w:spacing w:after="120"/>
      </w:pPr>
      <w:r>
        <w:rPr>
          <w:rFonts w:ascii="Arial" w:cs="Arial" w:eastAsia="Arial" w:hAnsi="Arial"/>
          <w:sz w:val="24"/>
          <w:szCs w:val="24"/>
        </w:rPr>
        <w:t xml:space="preserve">This is an indirect relationship. BOC rates do not directly cause claims. They create the conditions for more claims and higher claim costs. That indirect nature is what makes this analysis sophisticated.</w:t>
      </w:r>
    </w:p>
    <w:p>
      <w:pPr>
        <w:pBdr>
          <w:bottom w:val="single" w:color="CCCCCC" w:sz="4" w:space="1"/>
        </w:pBdr>
        <w:spacing w:after="200"/>
      </w:pPr>
    </w:p>
    <w:p>
      <w:pPr>
        <w:pStyle w:val="Heading2"/>
      </w:pPr>
      <w:r>
        <w:rPr>
          <w:rFonts w:ascii="Arial" w:cs="Arial" w:eastAsia="Arial" w:hAnsi="Arial"/>
          <w:b/>
          <w:bCs/>
          <w:color w:val="2E5FA3"/>
          <w:sz w:val="28"/>
          <w:szCs w:val="28"/>
        </w:rPr>
        <w:t xml:space="preserve">2. Why P&amp;C Insurance — Not Mortgage Default</w:t>
      </w:r>
    </w:p>
    <w:p>
      <w:pPr>
        <w:spacing w:after="120"/>
      </w:pPr>
      <w:r>
        <w:rPr>
          <w:rFonts w:ascii="Arial" w:cs="Arial" w:eastAsia="Arial" w:hAnsi="Arial"/>
          <w:sz w:val="24"/>
          <w:szCs w:val="24"/>
        </w:rPr>
        <w:t xml:space="preserve">Most publicly available Canadian financial analyses focus on mortgage default risk. What is rarely analyzed is how the same rate cycle rippled downstream into property and casualty insurance — the home insurance policies that sit on every Canadian homeowner's balance sheet.</w:t>
      </w:r>
    </w:p>
    <w:p>
      <w:pPr>
        <w:spacing w:after="120"/>
      </w:pPr>
      <w:r>
        <w:rPr>
          <w:rFonts w:ascii="Arial" w:cs="Arial" w:eastAsia="Arial" w:hAnsi="Arial"/>
          <w:sz w:val="24"/>
          <w:szCs w:val="24"/>
        </w:rPr>
        <w:t xml:space="preserve">P&amp;C insurance sits at the intersection of macroeconomic stress, housing market conditions, and household financial behaviour. When rates rise, homeowners under financial pressure defer maintenance, driving up claim frequency and severity. Insurers respond by raising premiums — creating a feedback loop that further strains the same households already stretched by higher mortgage payments. Behind every loss ratio is a homeowner whose quality of life depends on the system working.</w:t>
      </w:r>
    </w:p>
    <w:p>
      <w:pPr>
        <w:spacing w:after="120"/>
      </w:pPr>
      <w:r>
        <w:rPr>
          <w:rFonts w:ascii="Arial" w:cs="Arial" w:eastAsia="Arial" w:hAnsi="Arial"/>
          <w:sz w:val="24"/>
          <w:szCs w:val="24"/>
        </w:rPr>
        <w:t xml:space="preserve">This project uses live API data, government sources, and regulatory filings to build that analysis from scratch — the kind of work that typically lives behind a consultancy paywall.</w:t>
      </w:r>
    </w:p>
    <w:p>
      <w:pPr>
        <w:spacing w:after="100"/>
      </w:pPr>
      <w:r>
        <w:rPr>
          <w:rFonts w:ascii="Arial" w:cs="Arial" w:eastAsia="Arial" w:hAnsi="Arial"/>
          <w:b/>
          <w:bCs/>
          <w:sz w:val="24"/>
          <w:szCs w:val="24"/>
        </w:rPr>
        <w:t xml:space="preserve">Note: </w:t>
      </w:r>
      <w:r>
        <w:rPr>
          <w:rFonts w:ascii="Arial" w:cs="Arial" w:eastAsia="Arial" w:hAnsi="Arial"/>
          <w:sz w:val="24"/>
          <w:szCs w:val="24"/>
        </w:rPr>
        <w:t xml:space="preserve">CMHC insurance = mortgage default insurance (protects the bank). P&amp;C insurance = home insurance (protects the homeowner). These are completely different products.</w:t>
      </w:r>
    </w:p>
    <w:p>
      <w:pPr>
        <w:pBdr>
          <w:bottom w:val="single" w:color="CCCCCC" w:sz="4" w:space="1"/>
        </w:pBdr>
        <w:spacing w:after="200"/>
      </w:pPr>
    </w:p>
    <w:p>
      <w:pPr>
        <w:pStyle w:val="Heading2"/>
      </w:pPr>
      <w:r>
        <w:rPr>
          <w:rFonts w:ascii="Arial" w:cs="Arial" w:eastAsia="Arial" w:hAnsi="Arial"/>
          <w:b/>
          <w:bCs/>
          <w:color w:val="2E5FA3"/>
          <w:sz w:val="28"/>
          <w:szCs w:val="28"/>
        </w:rPr>
        <w:t xml:space="preserve">3. Data Sources &amp; Why We Chose Them</w:t>
      </w:r>
    </w:p>
    <w:p>
      <w:pPr>
        <w:spacing w:after="100"/>
      </w:pPr>
      <w:r>
        <w:rPr>
          <w:rFonts w:ascii="Arial" w:cs="Arial" w:eastAsia="Arial" w:hAnsi="Arial"/>
          <w:b/>
          <w:bCs/>
          <w:sz w:val="24"/>
          <w:szCs w:val="24"/>
        </w:rPr>
        <w:t xml:space="preserve">Bank of Canada Valet API: </w:t>
      </w:r>
      <w:r>
        <w:rPr>
          <w:rFonts w:ascii="Arial" w:cs="Arial" w:eastAsia="Arial" w:hAnsi="Arial"/>
          <w:sz w:val="24"/>
          <w:szCs w:val="24"/>
        </w:rPr>
        <w:t xml:space="preserve">The anchor. Policy rate history, CPI inflation, 2yr and 10yr bond yields. Free REST API — GET request. Series codes: V39079 (policy rate), V41690914 (CPI), BD.CDN.2YR.DQ.YLD, BD.CDN.10YR.DQ.YLD.</w:t>
      </w:r>
    </w:p>
    <w:p>
      <w:pPr>
        <w:spacing w:after="100"/>
      </w:pPr>
      <w:r>
        <w:rPr>
          <w:rFonts w:ascii="Arial" w:cs="Arial" w:eastAsia="Arial" w:hAnsi="Arial"/>
          <w:b/>
          <w:bCs/>
          <w:sz w:val="24"/>
          <w:szCs w:val="24"/>
        </w:rPr>
        <w:t xml:space="preserve">Statistics Canada WDS API: </w:t>
      </w:r>
      <w:r>
        <w:rPr>
          <w:rFonts w:ascii="Arial" w:cs="Arial" w:eastAsia="Arial" w:hAnsi="Arial"/>
          <w:sz w:val="24"/>
          <w:szCs w:val="24"/>
        </w:rPr>
        <w:t xml:space="preserve">The bridge layer. Housing Price Index (vector v111955442, base Dec 2016=100) and Building Construction Price Index (table 18-10-0289-01). Free REST API — POST request. Toronto used as national proxy for construction costs — no single Canada composite exists.</w:t>
      </w:r>
    </w:p>
    <w:p>
      <w:pPr>
        <w:spacing w:after="100"/>
      </w:pPr>
      <w:r>
        <w:rPr>
          <w:rFonts w:ascii="Arial" w:cs="Arial" w:eastAsia="Arial" w:hAnsi="Arial"/>
          <w:b/>
          <w:bCs/>
          <w:sz w:val="24"/>
          <w:szCs w:val="24"/>
        </w:rPr>
        <w:t xml:space="preserve">OSFI: </w:t>
      </w:r>
      <w:r>
        <w:rPr>
          <w:rFonts w:ascii="Arial" w:cs="Arial" w:eastAsia="Arial" w:hAnsi="Arial"/>
          <w:sz w:val="24"/>
          <w:szCs w:val="24"/>
        </w:rPr>
        <w:t xml:space="preserve">The impact layer. P&amp;C premiums, claims, and loss ratios by year. Loss ratio = claims divided by premiums. OSFI is the federal regulator — most authoritative public insurance data in Canada. Industry level only.</w:t>
      </w:r>
    </w:p>
    <w:p>
      <w:pPr>
        <w:spacing w:after="100"/>
      </w:pPr>
      <w:r>
        <w:rPr>
          <w:rFonts w:ascii="Arial" w:cs="Arial" w:eastAsia="Arial" w:hAnsi="Arial"/>
          <w:b/>
          <w:bCs/>
          <w:sz w:val="24"/>
          <w:szCs w:val="24"/>
        </w:rPr>
        <w:t xml:space="preserve">Insurance Bureau of Canada: </w:t>
      </w:r>
      <w:r>
        <w:rPr>
          <w:rFonts w:ascii="Arial" w:cs="Arial" w:eastAsia="Arial" w:hAnsi="Arial"/>
          <w:sz w:val="24"/>
          <w:szCs w:val="24"/>
        </w:rPr>
        <w:t xml:space="preserve">The context layer. Catastrophic loss events and disaster claims. Used to separate real signal (rate cycle impact) from noise (floods, wildfires). This is what separates a junior analysis from a senior one.</w:t>
      </w:r>
    </w:p>
    <w:p>
      <w:pPr>
        <w:pBdr>
          <w:bottom w:val="single" w:color="CCCCCC" w:sz="4" w:space="1"/>
        </w:pBdr>
        <w:spacing w:after="200"/>
      </w:pPr>
    </w:p>
    <w:p>
      <w:pPr>
        <w:pStyle w:val="Heading2"/>
      </w:pPr>
      <w:r>
        <w:rPr>
          <w:rFonts w:ascii="Arial" w:cs="Arial" w:eastAsia="Arial" w:hAnsi="Arial"/>
          <w:b/>
          <w:bCs/>
          <w:color w:val="2E5FA3"/>
          <w:sz w:val="28"/>
          <w:szCs w:val="28"/>
        </w:rPr>
        <w:t xml:space="preserve">4. Tools &amp; Why We Chose Them</w:t>
      </w:r>
    </w:p>
    <w:p>
      <w:pPr>
        <w:spacing w:after="100"/>
      </w:pPr>
      <w:r>
        <w:rPr>
          <w:rFonts w:ascii="Arial" w:cs="Arial" w:eastAsia="Arial" w:hAnsi="Arial"/>
          <w:b/>
          <w:bCs/>
          <w:sz w:val="24"/>
          <w:szCs w:val="24"/>
        </w:rPr>
        <w:t xml:space="preserve">Python: </w:t>
      </w:r>
      <w:r>
        <w:rPr>
          <w:rFonts w:ascii="Arial" w:cs="Arial" w:eastAsia="Arial" w:hAnsi="Arial"/>
          <w:sz w:val="24"/>
          <w:szCs w:val="24"/>
        </w:rPr>
        <w:t xml:space="preserve">Data collection and transformation. Standard tool for API calls, JSON parsing, and dataframe operations.</w:t>
      </w:r>
    </w:p>
    <w:p>
      <w:pPr>
        <w:spacing w:after="100"/>
      </w:pPr>
      <w:r>
        <w:rPr>
          <w:rFonts w:ascii="Arial" w:cs="Arial" w:eastAsia="Arial" w:hAnsi="Arial"/>
          <w:b/>
          <w:bCs/>
          <w:sz w:val="24"/>
          <w:szCs w:val="24"/>
        </w:rPr>
        <w:t xml:space="preserve">PostgreSQL on Docker: </w:t>
      </w:r>
      <w:r>
        <w:rPr>
          <w:rFonts w:ascii="Arial" w:cs="Arial" w:eastAsia="Arial" w:hAnsi="Arial"/>
          <w:sz w:val="24"/>
          <w:szCs w:val="24"/>
        </w:rPr>
        <w:t xml:space="preserve">Enterprise-grade database used by Big 5 banks and fintechs. Docker runs it in an isolated container. Port 5435 on localhost. Database: rate_ripple. Reusable pattern for every future project.</w:t>
      </w:r>
    </w:p>
    <w:p>
      <w:pPr>
        <w:spacing w:after="100"/>
      </w:pPr>
      <w:r>
        <w:rPr>
          <w:rFonts w:ascii="Arial" w:cs="Arial" w:eastAsia="Arial" w:hAnsi="Arial"/>
          <w:b/>
          <w:bCs/>
          <w:sz w:val="24"/>
          <w:szCs w:val="24"/>
        </w:rPr>
        <w:t xml:space="preserve">Tableau Public: </w:t>
      </w:r>
      <w:r>
        <w:rPr>
          <w:rFonts w:ascii="Arial" w:cs="Arial" w:eastAsia="Arial" w:hAnsi="Arial"/>
          <w:sz w:val="24"/>
          <w:szCs w:val="24"/>
        </w:rPr>
        <w:t xml:space="preserve">Free, shareable, portfolio-ready visualization. Connects to clean gold layer output.</w:t>
      </w:r>
    </w:p>
    <w:p>
      <w:pPr>
        <w:pBdr>
          <w:bottom w:val="single" w:color="CCCCCC" w:sz="4" w:space="1"/>
        </w:pBdr>
        <w:spacing w:after="200"/>
      </w:pPr>
    </w:p>
    <w:p>
      <w:pPr>
        <w:pStyle w:val="Heading2"/>
      </w:pPr>
      <w:r>
        <w:rPr>
          <w:rFonts w:ascii="Arial" w:cs="Arial" w:eastAsia="Arial" w:hAnsi="Arial"/>
          <w:b/>
          <w:bCs/>
          <w:color w:val="2E5FA3"/>
          <w:sz w:val="28"/>
          <w:szCs w:val="28"/>
        </w:rPr>
        <w:t xml:space="preserve">5. Key Concepts to Know Cold</w:t>
      </w:r>
    </w:p>
    <w:p>
      <w:pPr>
        <w:spacing w:after="100"/>
      </w:pPr>
      <w:r>
        <w:rPr>
          <w:rFonts w:ascii="Arial" w:cs="Arial" w:eastAsia="Arial" w:hAnsi="Arial"/>
          <w:b/>
          <w:bCs/>
          <w:sz w:val="24"/>
          <w:szCs w:val="24"/>
        </w:rPr>
        <w:t xml:space="preserve">Loss Ratio: </w:t>
      </w:r>
      <w:r>
        <w:rPr>
          <w:rFonts w:ascii="Arial" w:cs="Arial" w:eastAsia="Arial" w:hAnsi="Arial"/>
          <w:sz w:val="24"/>
          <w:szCs w:val="24"/>
        </w:rPr>
        <w:t xml:space="preserve">Claims paid divided by premiums collected. 72% means insurer paid $72 for every $100 collected. Higher = worse financial health.</w:t>
      </w:r>
    </w:p>
    <w:p>
      <w:pPr>
        <w:spacing w:after="100"/>
      </w:pPr>
      <w:r>
        <w:rPr>
          <w:rFonts w:ascii="Arial" w:cs="Arial" w:eastAsia="Arial" w:hAnsi="Arial"/>
          <w:b/>
          <w:bCs/>
          <w:sz w:val="24"/>
          <w:szCs w:val="24"/>
        </w:rPr>
        <w:t xml:space="preserve">P&amp;C Insurance: </w:t>
      </w:r>
      <w:r>
        <w:rPr>
          <w:rFonts w:ascii="Arial" w:cs="Arial" w:eastAsia="Arial" w:hAnsi="Arial"/>
          <w:sz w:val="24"/>
          <w:szCs w:val="24"/>
        </w:rPr>
        <w:t xml:space="preserve">Property and Casualty. Covers damage to physical property — homes, cars. Not life insurance, not mortgage default insurance.</w:t>
      </w:r>
    </w:p>
    <w:p>
      <w:pPr>
        <w:spacing w:after="100"/>
      </w:pPr>
      <w:r>
        <w:rPr>
          <w:rFonts w:ascii="Arial" w:cs="Arial" w:eastAsia="Arial" w:hAnsi="Arial"/>
          <w:b/>
          <w:bCs/>
          <w:sz w:val="24"/>
          <w:szCs w:val="24"/>
        </w:rPr>
        <w:t xml:space="preserve">Overnight Rate: </w:t>
      </w:r>
      <w:r>
        <w:rPr>
          <w:rFonts w:ascii="Arial" w:cs="Arial" w:eastAsia="Arial" w:hAnsi="Arial"/>
          <w:sz w:val="24"/>
          <w:szCs w:val="24"/>
        </w:rPr>
        <w:t xml:space="preserve">The interest rate at which banks lend money to each other overnight. BOC sets a target for this rate. V39079 in the BOC API.</w:t>
      </w:r>
    </w:p>
    <w:p>
      <w:pPr>
        <w:spacing w:after="100"/>
      </w:pPr>
      <w:r>
        <w:rPr>
          <w:rFonts w:ascii="Arial" w:cs="Arial" w:eastAsia="Arial" w:hAnsi="Arial"/>
          <w:b/>
          <w:bCs/>
          <w:sz w:val="24"/>
          <w:szCs w:val="24"/>
        </w:rPr>
        <w:t xml:space="preserve">Open Market Operations: </w:t>
      </w:r>
      <w:r>
        <w:rPr>
          <w:rFonts w:ascii="Arial" w:cs="Arial" w:eastAsia="Arial" w:hAnsi="Arial"/>
          <w:sz w:val="24"/>
          <w:szCs w:val="24"/>
        </w:rPr>
        <w:t xml:space="preserve">How BOC controls rates. Buy bonds = inject cash = rates drop. Sell bonds = pull cash out = rates rise.</w:t>
      </w:r>
    </w:p>
    <w:p>
      <w:pPr>
        <w:spacing w:after="100"/>
      </w:pPr>
      <w:r>
        <w:rPr>
          <w:rFonts w:ascii="Arial" w:cs="Arial" w:eastAsia="Arial" w:hAnsi="Arial"/>
          <w:b/>
          <w:bCs/>
          <w:sz w:val="24"/>
          <w:szCs w:val="24"/>
        </w:rPr>
        <w:t xml:space="preserve">Government Bond: </w:t>
      </w:r>
      <w:r>
        <w:rPr>
          <w:rFonts w:ascii="Arial" w:cs="Arial" w:eastAsia="Arial" w:hAnsi="Arial"/>
          <w:sz w:val="24"/>
          <w:szCs w:val="24"/>
        </w:rPr>
        <w:t xml:space="preserve">An IOU from the government to investors. Fixed coupon payment, fixed maturity, face value returned at end. Bond prices move opposite to interest rates.</w:t>
      </w:r>
    </w:p>
    <w:p>
      <w:pPr>
        <w:spacing w:after="100"/>
      </w:pPr>
      <w:r>
        <w:rPr>
          <w:rFonts w:ascii="Arial" w:cs="Arial" w:eastAsia="Arial" w:hAnsi="Arial"/>
          <w:b/>
          <w:bCs/>
          <w:sz w:val="24"/>
          <w:szCs w:val="24"/>
        </w:rPr>
        <w:t xml:space="preserve">Yield Curve: </w:t>
      </w:r>
      <w:r>
        <w:rPr>
          <w:rFonts w:ascii="Arial" w:cs="Arial" w:eastAsia="Arial" w:hAnsi="Arial"/>
          <w:sz w:val="24"/>
          <w:szCs w:val="24"/>
        </w:rPr>
        <w:t xml:space="preserve">Shows interest rates across different bond maturities. 2yr vs 10yr is the standard pair. When 2yr yield exceeds 10yr yield = inversion = recession signal. This happened in 2022-2023.</w:t>
      </w:r>
    </w:p>
    <w:p>
      <w:pPr>
        <w:spacing w:after="100"/>
      </w:pPr>
      <w:r>
        <w:rPr>
          <w:rFonts w:ascii="Arial" w:cs="Arial" w:eastAsia="Arial" w:hAnsi="Arial"/>
          <w:b/>
          <w:bCs/>
          <w:sz w:val="24"/>
          <w:szCs w:val="24"/>
        </w:rPr>
        <w:t xml:space="preserve">CPI: </w:t>
      </w:r>
      <w:r>
        <w:rPr>
          <w:rFonts w:ascii="Arial" w:cs="Arial" w:eastAsia="Arial" w:hAnsi="Arial"/>
          <w:sz w:val="24"/>
          <w:szCs w:val="24"/>
        </w:rPr>
        <w:t xml:space="preserve">Consumer Price Index. An index not a percentage. Base year 2002=100 for Canada. Year over year percentage change = the inflation rate you see in the news.</w:t>
      </w:r>
    </w:p>
    <w:p>
      <w:pPr>
        <w:spacing w:after="100"/>
      </w:pPr>
      <w:r>
        <w:rPr>
          <w:rFonts w:ascii="Arial" w:cs="Arial" w:eastAsia="Arial" w:hAnsi="Arial"/>
          <w:b/>
          <w:bCs/>
          <w:sz w:val="24"/>
          <w:szCs w:val="24"/>
        </w:rPr>
        <w:t xml:space="preserve">Housing Price Index: </w:t>
      </w:r>
      <w:r>
        <w:rPr>
          <w:rFonts w:ascii="Arial" w:cs="Arial" w:eastAsia="Arial" w:hAnsi="Arial"/>
          <w:sz w:val="24"/>
          <w:szCs w:val="24"/>
        </w:rPr>
        <w:t xml:space="preserve">Tracks change in house prices over time. Base year December 2016=100 for StatsCan table 18-10-0205-01. Vector v111955442 for Canada total.</w:t>
      </w:r>
    </w:p>
    <w:p>
      <w:pPr>
        <w:spacing w:after="100"/>
      </w:pPr>
      <w:r>
        <w:rPr>
          <w:rFonts w:ascii="Arial" w:cs="Arial" w:eastAsia="Arial" w:hAnsi="Arial"/>
          <w:b/>
          <w:bCs/>
          <w:sz w:val="24"/>
          <w:szCs w:val="24"/>
        </w:rPr>
        <w:t xml:space="preserve">Building Construction Price Index: </w:t>
      </w:r>
      <w:r>
        <w:rPr>
          <w:rFonts w:ascii="Arial" w:cs="Arial" w:eastAsia="Arial" w:hAnsi="Arial"/>
          <w:sz w:val="24"/>
          <w:szCs w:val="24"/>
        </w:rPr>
        <w:t xml:space="preserve">Tracks cost to build and repair structures. Base year 2023=100. Table 18-10-0289-01. Toronto used as national proxy.</w:t>
      </w:r>
    </w:p>
    <w:p>
      <w:pPr>
        <w:spacing w:after="100"/>
      </w:pPr>
      <w:r>
        <w:rPr>
          <w:rFonts w:ascii="Arial" w:cs="Arial" w:eastAsia="Arial" w:hAnsi="Arial"/>
          <w:b/>
          <w:bCs/>
          <w:sz w:val="24"/>
          <w:szCs w:val="24"/>
        </w:rPr>
        <w:t xml:space="preserve">Claim Frequency vs Severity: </w:t>
      </w:r>
      <w:r>
        <w:rPr>
          <w:rFonts w:ascii="Arial" w:cs="Arial" w:eastAsia="Arial" w:hAnsi="Arial"/>
          <w:sz w:val="24"/>
          <w:szCs w:val="24"/>
        </w:rPr>
        <w:t xml:space="preserve">Frequency = how many claims. Severity = how much each claim costs. Inflation raises severity even when frequency stays flat.</w:t>
      </w:r>
    </w:p>
    <w:p>
      <w:pPr>
        <w:spacing w:after="100"/>
      </w:pPr>
      <w:r>
        <w:rPr>
          <w:rFonts w:ascii="Arial" w:cs="Arial" w:eastAsia="Arial" w:hAnsi="Arial"/>
          <w:b/>
          <w:bCs/>
          <w:sz w:val="24"/>
          <w:szCs w:val="24"/>
        </w:rPr>
        <w:t xml:space="preserve">Signal vs Noise: </w:t>
      </w:r>
      <w:r>
        <w:rPr>
          <w:rFonts w:ascii="Arial" w:cs="Arial" w:eastAsia="Arial" w:hAnsi="Arial"/>
          <w:sz w:val="24"/>
          <w:szCs w:val="24"/>
        </w:rPr>
        <w:t xml:space="preserve">A spike in claims may be caused by the rate cycle (signal) or a catastrophe event like a flood (noise). IBC data helps separate the two.</w:t>
      </w:r>
    </w:p>
    <w:p>
      <w:pPr>
        <w:spacing w:after="100"/>
      </w:pPr>
      <w:r>
        <w:rPr>
          <w:rFonts w:ascii="Arial" w:cs="Arial" w:eastAsia="Arial" w:hAnsi="Arial"/>
          <w:b/>
          <w:bCs/>
          <w:sz w:val="24"/>
          <w:szCs w:val="24"/>
        </w:rPr>
        <w:t xml:space="preserve">Idempotency: </w:t>
      </w:r>
      <w:r>
        <w:rPr>
          <w:rFonts w:ascii="Arial" w:cs="Arial" w:eastAsia="Arial" w:hAnsi="Arial"/>
          <w:sz w:val="24"/>
          <w:szCs w:val="24"/>
        </w:rPr>
        <w:t xml:space="preserve">Running the pipeline multiple times gives the same result. No duplicates, no corruption. Gold layer uses upsert — insert if new, update if exists.</w:t>
      </w:r>
    </w:p>
    <w:p>
      <w:pPr>
        <w:spacing w:after="100"/>
      </w:pPr>
      <w:r>
        <w:rPr>
          <w:rFonts w:ascii="Arial" w:cs="Arial" w:eastAsia="Arial" w:hAnsi="Arial"/>
          <w:b/>
          <w:bCs/>
          <w:sz w:val="24"/>
          <w:szCs w:val="24"/>
        </w:rPr>
        <w:t xml:space="preserve">Macro vs Micro: </w:t>
      </w:r>
      <w:r>
        <w:rPr>
          <w:rFonts w:ascii="Arial" w:cs="Arial" w:eastAsia="Arial" w:hAnsi="Arial"/>
          <w:sz w:val="24"/>
          <w:szCs w:val="24"/>
        </w:rPr>
        <w:t xml:space="preserve">Macro = big picture economy wide (BOC rates, inflation, GDP). Micro = individual or company level (one homeowner deferring repairs, one insurer repricing). Micro events can escalate into macro signals — Canada Post strike is a good example.</w:t>
      </w:r>
    </w:p>
    <w:p>
      <w:pPr>
        <w:spacing w:after="100"/>
      </w:pPr>
      <w:r>
        <w:rPr>
          <w:rFonts w:ascii="Arial" w:cs="Arial" w:eastAsia="Arial" w:hAnsi="Arial"/>
          <w:b/>
          <w:bCs/>
          <w:sz w:val="24"/>
          <w:szCs w:val="24"/>
        </w:rPr>
        <w:t xml:space="preserve">Year Over Year Change: </w:t>
      </w:r>
      <w:r>
        <w:rPr>
          <w:rFonts w:ascii="Arial" w:cs="Arial" w:eastAsia="Arial" w:hAnsi="Arial"/>
          <w:sz w:val="24"/>
          <w:szCs w:val="24"/>
        </w:rPr>
        <w:t xml:space="preserve">The standard way to compare index values across different sources with different base years. Removes base year dependency. Used in transform.py for all index comparisons.</w:t>
      </w:r>
    </w:p>
    <w:p>
      <w:pPr>
        <w:pBdr>
          <w:bottom w:val="single" w:color="CCCCCC" w:sz="4" w:space="1"/>
        </w:pBdr>
        <w:spacing w:after="200"/>
      </w:pPr>
    </w:p>
    <w:p>
      <w:pPr>
        <w:pStyle w:val="Heading2"/>
      </w:pPr>
      <w:r>
        <w:rPr>
          <w:rFonts w:ascii="Arial" w:cs="Arial" w:eastAsia="Arial" w:hAnsi="Arial"/>
          <w:b/>
          <w:bCs/>
          <w:color w:val="2E5FA3"/>
          <w:sz w:val="28"/>
          <w:szCs w:val="28"/>
        </w:rPr>
        <w:t xml:space="preserve">6. Project Roadmap &amp; Reusable Framework</w:t>
      </w:r>
    </w:p>
    <w:p>
      <w:pPr>
        <w:pStyle w:val="Heading3"/>
      </w:pPr>
      <w:r>
        <w:rPr>
          <w:rFonts w:ascii="Arial" w:cs="Arial" w:eastAsia="Arial" w:hAnsi="Arial"/>
          <w:b/>
          <w:bCs/>
          <w:color w:val="444444"/>
          <w:sz w:val="24"/>
          <w:szCs w:val="24"/>
        </w:rPr>
        <w:t xml:space="preserve">Project 1 — Rate Ripple (Current)</w:t>
      </w:r>
    </w:p>
    <w:p>
      <w:pPr>
        <w:pStyle w:val="ListParagraph"/>
        <w:numPr>
          <w:ilvl w:val="0"/>
          <w:numId w:val="2"/>
        </w:numPr>
        <w:spacing w:after="80"/>
      </w:pPr>
      <w:r>
        <w:rPr>
          <w:rFonts w:ascii="Arial" w:cs="Arial" w:eastAsia="Arial" w:hAnsi="Arial"/>
          <w:sz w:val="24"/>
          <w:szCs w:val="24"/>
        </w:rPr>
        <w:t xml:space="preserve">Angle: Macro rates → P&amp;C insurance impact</w:t>
      </w:r>
    </w:p>
    <w:p>
      <w:pPr>
        <w:pStyle w:val="ListParagraph"/>
        <w:numPr>
          <w:ilvl w:val="0"/>
          <w:numId w:val="2"/>
        </w:numPr>
        <w:spacing w:after="80"/>
      </w:pPr>
      <w:r>
        <w:rPr>
          <w:rFonts w:ascii="Arial" w:cs="Arial" w:eastAsia="Arial" w:hAnsi="Arial"/>
          <w:sz w:val="24"/>
          <w:szCs w:val="24"/>
        </w:rPr>
        <w:t xml:space="preserve">Audience: Insurance analytics roles, Big 5 bank insurance divisions</w:t>
      </w:r>
    </w:p>
    <w:p>
      <w:pPr>
        <w:pStyle w:val="Heading3"/>
      </w:pPr>
      <w:r>
        <w:rPr>
          <w:rFonts w:ascii="Arial" w:cs="Arial" w:eastAsia="Arial" w:hAnsi="Arial"/>
          <w:b/>
          <w:bCs/>
          <w:color w:val="444444"/>
          <w:sz w:val="24"/>
          <w:szCs w:val="24"/>
        </w:rPr>
        <w:t xml:space="preserve">Project 2 — Mortgage Default Extension</w:t>
      </w:r>
    </w:p>
    <w:p>
      <w:pPr>
        <w:pStyle w:val="ListParagraph"/>
        <w:numPr>
          <w:ilvl w:val="0"/>
          <w:numId w:val="2"/>
        </w:numPr>
        <w:spacing w:after="80"/>
      </w:pPr>
      <w:r>
        <w:rPr>
          <w:rFonts w:ascii="Arial" w:cs="Arial" w:eastAsia="Arial" w:hAnsi="Arial"/>
          <w:sz w:val="24"/>
          <w:szCs w:val="24"/>
        </w:rPr>
        <w:t xml:space="preserve">Angle: Macro rates → borrower stress → arrears and mortgage defaults</w:t>
      </w:r>
    </w:p>
    <w:p>
      <w:pPr>
        <w:pStyle w:val="ListParagraph"/>
        <w:numPr>
          <w:ilvl w:val="0"/>
          <w:numId w:val="2"/>
        </w:numPr>
        <w:spacing w:after="80"/>
      </w:pPr>
      <w:r>
        <w:rPr>
          <w:rFonts w:ascii="Arial" w:cs="Arial" w:eastAsia="Arial" w:hAnsi="Arial"/>
          <w:sz w:val="24"/>
          <w:szCs w:val="24"/>
        </w:rPr>
        <w:t xml:space="preserve">Audience: Big 5 bank credit risk teams, fintech lending roles</w:t>
      </w:r>
    </w:p>
    <w:p>
      <w:pPr>
        <w:pStyle w:val="ListParagraph"/>
        <w:numPr>
          <w:ilvl w:val="0"/>
          <w:numId w:val="2"/>
        </w:numPr>
        <w:spacing w:after="80"/>
      </w:pPr>
      <w:r>
        <w:rPr>
          <w:rFonts w:ascii="Arial" w:cs="Arial" w:eastAsia="Arial" w:hAnsi="Arial"/>
          <w:sz w:val="24"/>
          <w:szCs w:val="24"/>
        </w:rPr>
        <w:t xml:space="preserve">Same sources plus CMHC public data</w:t>
      </w:r>
    </w:p>
    <w:p>
      <w:pPr>
        <w:pStyle w:val="Heading3"/>
      </w:pPr>
      <w:r>
        <w:rPr>
          <w:rFonts w:ascii="Arial" w:cs="Arial" w:eastAsia="Arial" w:hAnsi="Arial"/>
          <w:b/>
          <w:bCs/>
          <w:color w:val="444444"/>
          <w:sz w:val="24"/>
          <w:szCs w:val="24"/>
        </w:rPr>
        <w:t xml:space="preserve">Interview Framing Line</w:t>
      </w:r>
    </w:p>
    <w:p>
      <w:pPr>
        <w:spacing w:after="120"/>
      </w:pPr>
      <w:r>
        <w:rPr>
          <w:rFonts w:ascii="Arial" w:cs="Arial" w:eastAsia="Arial" w:hAnsi="Arial"/>
          <w:sz w:val="24"/>
          <w:szCs w:val="24"/>
        </w:rPr>
        <w:t xml:space="preserve">"I built a reusable analytics framework on Canadian public data. I applied it first to P&amp;C insurance risk, and then extended it to mortgage default analysis using the same pipeline."</w:t>
      </w:r>
    </w:p>
    <w:p>
      <w:pPr>
        <w:pBdr>
          <w:bottom w:val="single" w:color="CCCCCC" w:sz="4" w:space="1"/>
        </w:pBdr>
        <w:spacing w:after="200"/>
      </w:pPr>
    </w:p>
    <w:p>
      <w:pPr>
        <w:pStyle w:val="Heading2"/>
      </w:pPr>
      <w:r>
        <w:rPr>
          <w:rFonts w:ascii="Arial" w:cs="Arial" w:eastAsia="Arial" w:hAnsi="Arial"/>
          <w:b/>
          <w:bCs/>
          <w:color w:val="2E5FA3"/>
          <w:sz w:val="28"/>
          <w:szCs w:val="28"/>
        </w:rPr>
        <w:t xml:space="preserve">7. Documented Decisions &amp; Tradeoffs</w:t>
      </w:r>
    </w:p>
    <w:p>
      <w:pPr>
        <w:pStyle w:val="Heading3"/>
      </w:pPr>
      <w:r>
        <w:rPr>
          <w:rFonts w:ascii="Arial" w:cs="Arial" w:eastAsia="Arial" w:hAnsi="Arial"/>
          <w:b/>
          <w:bCs/>
          <w:color w:val="444444"/>
          <w:sz w:val="24"/>
          <w:szCs w:val="24"/>
        </w:rPr>
        <w:t xml:space="preserve">Decision: Annual Granularity</w:t>
      </w:r>
    </w:p>
    <w:p>
      <w:pPr>
        <w:spacing w:after="120"/>
      </w:pPr>
      <w:r>
        <w:rPr>
          <w:rFonts w:ascii="Arial" w:cs="Arial" w:eastAsia="Arial" w:hAnsi="Arial"/>
          <w:sz w:val="24"/>
          <w:szCs w:val="24"/>
        </w:rPr>
        <w:t xml:space="preserve">BOC rate changes occur intra-year. However OSFI publishes P&amp;C insurance data annually. Annual granularity chosen for all sources so the joining key is consistent.</w:t>
      </w:r>
    </w:p>
    <w:p>
      <w:pPr>
        <w:spacing w:after="120"/>
      </w:pPr>
      <w:r>
        <w:rPr>
          <w:rFonts w:ascii="Arial" w:cs="Arial" w:eastAsia="Arial" w:hAnsi="Arial"/>
          <w:sz w:val="24"/>
          <w:szCs w:val="24"/>
        </w:rPr>
        <w:t xml:space="preserve">Interview framing: "BOC rate changes occur intra-year. Annual averages are used for consistency with OSFI reporting granularity. Key rate cycle periods are flagged explicitly."</w:t>
      </w:r>
    </w:p>
    <w:p>
      <w:pPr>
        <w:pStyle w:val="Heading3"/>
      </w:pPr>
      <w:r>
        <w:rPr>
          <w:rFonts w:ascii="Arial" w:cs="Arial" w:eastAsia="Arial" w:hAnsi="Arial"/>
          <w:b/>
          <w:bCs/>
          <w:color w:val="444444"/>
          <w:sz w:val="24"/>
          <w:szCs w:val="24"/>
        </w:rPr>
        <w:t xml:space="preserve">Decision: Toronto as Construction Cost Proxy</w:t>
      </w:r>
    </w:p>
    <w:p>
      <w:pPr>
        <w:spacing w:after="120"/>
      </w:pPr>
      <w:r>
        <w:rPr>
          <w:rFonts w:ascii="Arial" w:cs="Arial" w:eastAsia="Arial" w:hAnsi="Arial"/>
          <w:sz w:val="24"/>
          <w:szCs w:val="24"/>
        </w:rPr>
        <w:t xml:space="preserve">The Building Construction Price Index does not publish a single Canada level composite. Toronto is the largest housing market and most widely used proxy in Canadian research. City level expansion planned as a Could Have in Phase 2.</w:t>
      </w:r>
    </w:p>
    <w:p>
      <w:pPr>
        <w:pStyle w:val="Heading3"/>
      </w:pPr>
      <w:r>
        <w:rPr>
          <w:rFonts w:ascii="Arial" w:cs="Arial" w:eastAsia="Arial" w:hAnsi="Arial"/>
          <w:b/>
          <w:bCs/>
          <w:color w:val="444444"/>
          <w:sz w:val="24"/>
          <w:szCs w:val="24"/>
        </w:rPr>
        <w:t xml:space="preserve">Decision: Year Over Year Change for Index Comparisons</w:t>
      </w:r>
    </w:p>
    <w:p>
      <w:pPr>
        <w:spacing w:after="120"/>
      </w:pPr>
      <w:r>
        <w:rPr>
          <w:rFonts w:ascii="Arial" w:cs="Arial" w:eastAsia="Arial" w:hAnsi="Arial"/>
          <w:sz w:val="24"/>
          <w:szCs w:val="24"/>
        </w:rPr>
        <w:t xml:space="preserve">Different indexes use different base years — HPI uses December 2016, BCPI uses 2023. Direct comparison of raw index values is meaningless. Year over year percentage change removes base year dependency and makes all indexes comparable.</w:t>
      </w:r>
    </w:p>
    <w:p>
      <w:pPr>
        <w:pStyle w:val="Heading3"/>
      </w:pPr>
      <w:r>
        <w:rPr>
          <w:rFonts w:ascii="Arial" w:cs="Arial" w:eastAsia="Arial" w:hAnsi="Arial"/>
          <w:b/>
          <w:bCs/>
          <w:color w:val="444444"/>
          <w:sz w:val="24"/>
          <w:szCs w:val="24"/>
        </w:rPr>
        <w:t xml:space="preserve">Decision: 2yr vs 10yr Bond Yield</w:t>
      </w:r>
    </w:p>
    <w:p>
      <w:pPr>
        <w:spacing w:after="120"/>
      </w:pPr>
      <w:r>
        <w:rPr>
          <w:rFonts w:ascii="Arial" w:cs="Arial" w:eastAsia="Arial" w:hAnsi="Arial"/>
          <w:sz w:val="24"/>
          <w:szCs w:val="24"/>
        </w:rPr>
        <w:t xml:space="preserve">Industry standard pair for monitoring yield curve. When 2yr exceeds 10yr it is called an inversion — historically a recession signal. This occurred in 2022-2023 in Canada and the US.</w:t>
      </w:r>
    </w:p>
    <w:p>
      <w:pPr>
        <w:pStyle w:val="Heading3"/>
      </w:pPr>
      <w:r>
        <w:rPr>
          <w:rFonts w:ascii="Arial" w:cs="Arial" w:eastAsia="Arial" w:hAnsi="Arial"/>
          <w:b/>
          <w:bCs/>
          <w:color w:val="444444"/>
          <w:sz w:val="24"/>
          <w:szCs w:val="24"/>
        </w:rPr>
        <w:t xml:space="preserve">Decision: Data Start Date 2005</w:t>
      </w:r>
    </w:p>
    <w:p>
      <w:pPr>
        <w:spacing w:after="120"/>
      </w:pPr>
      <w:r>
        <w:rPr>
          <w:rFonts w:ascii="Arial" w:cs="Arial" w:eastAsia="Arial" w:hAnsi="Arial"/>
          <w:sz w:val="24"/>
          <w:szCs w:val="24"/>
        </w:rPr>
        <w:t xml:space="preserve">Starting from 2005 provides 2-3 years of pre-recession stability before the 2008 global financial crisis. This gives the full story — calm before storm, recession, recovery, COVID, aggressive hikes, easing.</w:t>
      </w:r>
    </w:p>
    <w:p>
      <w:pPr>
        <w:pBdr>
          <w:bottom w:val="single" w:color="CCCCCC" w:sz="4" w:space="1"/>
        </w:pBdr>
        <w:spacing w:after="200"/>
      </w:pPr>
    </w:p>
    <w:p>
      <w:pPr>
        <w:pStyle w:val="Heading2"/>
      </w:pPr>
      <w:r>
        <w:rPr>
          <w:rFonts w:ascii="Arial" w:cs="Arial" w:eastAsia="Arial" w:hAnsi="Arial"/>
          <w:b/>
          <w:bCs/>
          <w:color w:val="2E5FA3"/>
          <w:sz w:val="28"/>
          <w:szCs w:val="28"/>
        </w:rPr>
        <w:t xml:space="preserve">8. Build Progress</w:t>
      </w:r>
    </w:p>
    <w:p>
      <w:pPr>
        <w:pStyle w:val="Heading3"/>
      </w:pPr>
      <w:r>
        <w:rPr>
          <w:rFonts w:ascii="Arial" w:cs="Arial" w:eastAsia="Arial" w:hAnsi="Arial"/>
          <w:b/>
          <w:bCs/>
          <w:color w:val="444444"/>
          <w:sz w:val="24"/>
          <w:szCs w:val="24"/>
        </w:rPr>
        <w:t xml:space="preserve">Completed</w:t>
      </w:r>
    </w:p>
    <w:p>
      <w:pPr>
        <w:pStyle w:val="ListParagraph"/>
        <w:numPr>
          <w:ilvl w:val="0"/>
          <w:numId w:val="2"/>
        </w:numPr>
        <w:spacing w:after="80"/>
      </w:pPr>
      <w:r>
        <w:rPr>
          <w:rFonts w:ascii="Arial" w:cs="Arial" w:eastAsia="Arial" w:hAnsi="Arial"/>
          <w:sz w:val="24"/>
          <w:szCs w:val="24"/>
        </w:rPr>
        <w:t xml:space="preserve">Folder structure created with Medallion architecture (bronze/silver/gold)</w:t>
      </w:r>
    </w:p>
    <w:p>
      <w:pPr>
        <w:pStyle w:val="ListParagraph"/>
        <w:numPr>
          <w:ilvl w:val="0"/>
          <w:numId w:val="2"/>
        </w:numPr>
        <w:spacing w:after="80"/>
      </w:pPr>
      <w:r>
        <w:rPr>
          <w:rFonts w:ascii="Arial" w:cs="Arial" w:eastAsia="Arial" w:hAnsi="Arial"/>
          <w:sz w:val="24"/>
          <w:szCs w:val="24"/>
        </w:rPr>
        <w:t xml:space="preserve">GitHub repo live at github.com/anushahegde10/rate-ripple</w:t>
      </w:r>
    </w:p>
    <w:p>
      <w:pPr>
        <w:pStyle w:val="ListParagraph"/>
        <w:numPr>
          <w:ilvl w:val="0"/>
          <w:numId w:val="2"/>
        </w:numPr>
        <w:spacing w:after="80"/>
      </w:pPr>
      <w:r>
        <w:rPr>
          <w:rFonts w:ascii="Arial" w:cs="Arial" w:eastAsia="Arial" w:hAnsi="Arial"/>
          <w:sz w:val="24"/>
          <w:szCs w:val="24"/>
        </w:rPr>
        <w:t xml:space="preserve">.gitignore protecting credentials and large data files</w:t>
      </w:r>
    </w:p>
    <w:p>
      <w:pPr>
        <w:pStyle w:val="ListParagraph"/>
        <w:numPr>
          <w:ilvl w:val="0"/>
          <w:numId w:val="2"/>
        </w:numPr>
        <w:spacing w:after="80"/>
      </w:pPr>
      <w:r>
        <w:rPr>
          <w:rFonts w:ascii="Arial" w:cs="Arial" w:eastAsia="Arial" w:hAnsi="Arial"/>
          <w:sz w:val="24"/>
          <w:szCs w:val="24"/>
        </w:rPr>
        <w:t xml:space="preserve">requirements.txt capturing all Python dependencies</w:t>
      </w:r>
    </w:p>
    <w:p>
      <w:pPr>
        <w:pStyle w:val="ListParagraph"/>
        <w:numPr>
          <w:ilvl w:val="0"/>
          <w:numId w:val="2"/>
        </w:numPr>
        <w:spacing w:after="80"/>
      </w:pPr>
      <w:r>
        <w:rPr>
          <w:rFonts w:ascii="Arial" w:cs="Arial" w:eastAsia="Arial" w:hAnsi="Arial"/>
          <w:sz w:val="24"/>
          <w:szCs w:val="24"/>
        </w:rPr>
        <w:t xml:space="preserve">PRD.md and ADR.md in docs folder</w:t>
      </w:r>
    </w:p>
    <w:p>
      <w:pPr>
        <w:pStyle w:val="ListParagraph"/>
        <w:numPr>
          <w:ilvl w:val="0"/>
          <w:numId w:val="2"/>
        </w:numPr>
        <w:spacing w:after="80"/>
      </w:pPr>
      <w:r>
        <w:rPr>
          <w:rFonts w:ascii="Arial" w:cs="Arial" w:eastAsia="Arial" w:hAnsi="Arial"/>
          <w:sz w:val="24"/>
          <w:szCs w:val="24"/>
        </w:rPr>
        <w:t xml:space="preserve">extract.py pulling 4 BOC series to bronze — policy rate, CPI, 2yr yield, 10yr yield</w:t>
      </w:r>
    </w:p>
    <w:p>
      <w:pPr>
        <w:pStyle w:val="ListParagraph"/>
        <w:numPr>
          <w:ilvl w:val="0"/>
          <w:numId w:val="2"/>
        </w:numPr>
        <w:spacing w:after="80"/>
      </w:pPr>
      <w:r>
        <w:rPr>
          <w:rFonts w:ascii="Arial" w:cs="Arial" w:eastAsia="Arial" w:hAnsi="Arial"/>
          <w:sz w:val="24"/>
          <w:szCs w:val="24"/>
        </w:rPr>
        <w:t xml:space="preserve">extract.py pulling StatsCan Housing Price Index (v111955442) to bronze</w:t>
      </w:r>
    </w:p>
    <w:p>
      <w:pPr>
        <w:pStyle w:val="ListParagraph"/>
        <w:numPr>
          <w:ilvl w:val="0"/>
          <w:numId w:val="2"/>
        </w:numPr>
        <w:spacing w:after="80"/>
      </w:pPr>
      <w:r>
        <w:rPr>
          <w:rFonts w:ascii="Arial" w:cs="Arial" w:eastAsia="Arial" w:hAnsi="Arial"/>
          <w:sz w:val="24"/>
          <w:szCs w:val="24"/>
        </w:rPr>
        <w:t xml:space="preserve">StatsCan JSON structure understood — data is at response[0]['object']['vectorDataPoint']</w:t>
      </w:r>
    </w:p>
    <w:p>
      <w:pPr>
        <w:pStyle w:val="ListParagraph"/>
        <w:numPr>
          <w:ilvl w:val="0"/>
          <w:numId w:val="2"/>
        </w:numPr>
        <w:spacing w:after="80"/>
      </w:pPr>
      <w:r>
        <w:rPr>
          <w:rFonts w:ascii="Arial" w:cs="Arial" w:eastAsia="Arial" w:hAnsi="Arial"/>
          <w:sz w:val="24"/>
          <w:szCs w:val="24"/>
        </w:rPr>
        <w:t xml:space="preserve">Feature branch created: feature/statcan-extraction</w:t>
      </w:r>
    </w:p>
    <w:p>
      <w:pPr>
        <w:pStyle w:val="Heading3"/>
      </w:pPr>
      <w:r>
        <w:rPr>
          <w:rFonts w:ascii="Arial" w:cs="Arial" w:eastAsia="Arial" w:hAnsi="Arial"/>
          <w:b/>
          <w:bCs/>
          <w:color w:val="444444"/>
          <w:sz w:val="24"/>
          <w:szCs w:val="24"/>
        </w:rPr>
        <w:t xml:space="preserve">Next Steps</w:t>
      </w:r>
    </w:p>
    <w:p>
      <w:pPr>
        <w:pStyle w:val="ListParagraph"/>
        <w:numPr>
          <w:ilvl w:val="0"/>
          <w:numId w:val="2"/>
        </w:numPr>
        <w:spacing w:after="80"/>
      </w:pPr>
      <w:r>
        <w:rPr>
          <w:rFonts w:ascii="Arial" w:cs="Arial" w:eastAsia="Arial" w:hAnsi="Arial"/>
          <w:sz w:val="24"/>
          <w:szCs w:val="24"/>
        </w:rPr>
        <w:t xml:space="preserve">Find Toronto construction cost vector ID from table 18-10-0289-01</w:t>
      </w:r>
    </w:p>
    <w:p>
      <w:pPr>
        <w:pStyle w:val="ListParagraph"/>
        <w:numPr>
          <w:ilvl w:val="0"/>
          <w:numId w:val="2"/>
        </w:numPr>
        <w:spacing w:after="80"/>
      </w:pPr>
      <w:r>
        <w:rPr>
          <w:rFonts w:ascii="Arial" w:cs="Arial" w:eastAsia="Arial" w:hAnsi="Arial"/>
          <w:sz w:val="24"/>
          <w:szCs w:val="24"/>
        </w:rPr>
        <w:t xml:space="preserve">Add construction cost extraction to extract.py</w:t>
      </w:r>
    </w:p>
    <w:p>
      <w:pPr>
        <w:pStyle w:val="ListParagraph"/>
        <w:numPr>
          <w:ilvl w:val="0"/>
          <w:numId w:val="2"/>
        </w:numPr>
        <w:spacing w:after="80"/>
      </w:pPr>
      <w:r>
        <w:rPr>
          <w:rFonts w:ascii="Arial" w:cs="Arial" w:eastAsia="Arial" w:hAnsi="Arial"/>
          <w:sz w:val="24"/>
          <w:szCs w:val="24"/>
        </w:rPr>
        <w:t xml:space="preserve">Handle OSFI data — no API, manual download approach</w:t>
      </w:r>
    </w:p>
    <w:p>
      <w:pPr>
        <w:pStyle w:val="ListParagraph"/>
        <w:numPr>
          <w:ilvl w:val="0"/>
          <w:numId w:val="2"/>
        </w:numPr>
        <w:spacing w:after="80"/>
      </w:pPr>
      <w:r>
        <w:rPr>
          <w:rFonts w:ascii="Arial" w:cs="Arial" w:eastAsia="Arial" w:hAnsi="Arial"/>
          <w:sz w:val="24"/>
          <w:szCs w:val="24"/>
        </w:rPr>
        <w:t xml:space="preserve">Build transform.py — clean bronze, calculate year over year changes, save to silver</w:t>
      </w:r>
    </w:p>
    <w:p>
      <w:pPr>
        <w:pStyle w:val="ListParagraph"/>
        <w:numPr>
          <w:ilvl w:val="0"/>
          <w:numId w:val="2"/>
        </w:numPr>
        <w:spacing w:after="80"/>
      </w:pPr>
      <w:r>
        <w:rPr>
          <w:rFonts w:ascii="Arial" w:cs="Arial" w:eastAsia="Arial" w:hAnsi="Arial"/>
          <w:sz w:val="24"/>
          <w:szCs w:val="24"/>
        </w:rPr>
        <w:t xml:space="preserve">Build load.py — join silver tables on year, upsert to PostgreSQL gold layer</w:t>
      </w:r>
    </w:p>
    <w:p>
      <w:pPr>
        <w:pBdr>
          <w:bottom w:val="single" w:color="CCCCCC" w:sz="4" w:space="1"/>
        </w:pBdr>
        <w:spacing w:after="200"/>
      </w:pPr>
    </w:p>
    <w:p>
      <w:pPr>
        <w:pStyle w:val="Heading2"/>
      </w:pPr>
      <w:r>
        <w:rPr>
          <w:rFonts w:ascii="Arial" w:cs="Arial" w:eastAsia="Arial" w:hAnsi="Arial"/>
          <w:b/>
          <w:bCs/>
          <w:color w:val="2E5FA3"/>
          <w:sz w:val="28"/>
          <w:szCs w:val="28"/>
        </w:rPr>
        <w:t xml:space="preserve">9. Session Log</w:t>
      </w:r>
    </w:p>
    <w:p>
      <w:pPr>
        <w:pStyle w:val="Heading3"/>
      </w:pPr>
      <w:r>
        <w:rPr>
          <w:rFonts w:ascii="Arial" w:cs="Arial" w:eastAsia="Arial" w:hAnsi="Arial"/>
          <w:b/>
          <w:bCs/>
          <w:color w:val="444444"/>
          <w:sz w:val="24"/>
          <w:szCs w:val="24"/>
        </w:rPr>
        <w:t xml:space="preserve">Session 1 — Project Orientation</w:t>
      </w:r>
    </w:p>
    <w:p>
      <w:pPr>
        <w:pStyle w:val="ListParagraph"/>
        <w:numPr>
          <w:ilvl w:val="0"/>
          <w:numId w:val="2"/>
        </w:numPr>
        <w:spacing w:after="80"/>
      </w:pPr>
      <w:r>
        <w:rPr>
          <w:rFonts w:ascii="Arial" w:cs="Arial" w:eastAsia="Arial" w:hAnsi="Arial"/>
          <w:sz w:val="24"/>
          <w:szCs w:val="24"/>
        </w:rPr>
        <w:t xml:space="preserve">Confirmed project scope: P&amp;C insurance, not mortgage default</w:t>
      </w:r>
    </w:p>
    <w:p>
      <w:pPr>
        <w:pStyle w:val="ListParagraph"/>
        <w:numPr>
          <w:ilvl w:val="0"/>
          <w:numId w:val="2"/>
        </w:numPr>
        <w:spacing w:after="80"/>
      </w:pPr>
      <w:r>
        <w:rPr>
          <w:rFonts w:ascii="Arial" w:cs="Arial" w:eastAsia="Arial" w:hAnsi="Arial"/>
          <w:sz w:val="24"/>
          <w:szCs w:val="24"/>
        </w:rPr>
        <w:t xml:space="preserve">Built the full chain reaction from BOC rates to insurer loss ratios</w:t>
      </w:r>
    </w:p>
    <w:p>
      <w:pPr>
        <w:pStyle w:val="ListParagraph"/>
        <w:numPr>
          <w:ilvl w:val="0"/>
          <w:numId w:val="2"/>
        </w:numPr>
        <w:spacing w:after="80"/>
      </w:pPr>
      <w:r>
        <w:rPr>
          <w:rFonts w:ascii="Arial" w:cs="Arial" w:eastAsia="Arial" w:hAnsi="Arial"/>
          <w:sz w:val="24"/>
          <w:szCs w:val="24"/>
        </w:rPr>
        <w:t xml:space="preserve">Clarified CMHC vs P&amp;C — completely different products</w:t>
      </w:r>
    </w:p>
    <w:p>
      <w:pPr>
        <w:pStyle w:val="ListParagraph"/>
        <w:numPr>
          <w:ilvl w:val="0"/>
          <w:numId w:val="2"/>
        </w:numPr>
        <w:spacing w:after="80"/>
      </w:pPr>
      <w:r>
        <w:rPr>
          <w:rFonts w:ascii="Arial" w:cs="Arial" w:eastAsia="Arial" w:hAnsi="Arial"/>
          <w:sz w:val="24"/>
          <w:szCs w:val="24"/>
        </w:rPr>
        <w:t xml:space="preserve">Established the human cost angle: deferred maintenance, rising premiums, quality of life</w:t>
      </w:r>
    </w:p>
    <w:p>
      <w:pPr>
        <w:pStyle w:val="ListParagraph"/>
        <w:numPr>
          <w:ilvl w:val="0"/>
          <w:numId w:val="2"/>
        </w:numPr>
        <w:spacing w:after="80"/>
      </w:pPr>
      <w:r>
        <w:rPr>
          <w:rFonts w:ascii="Arial" w:cs="Arial" w:eastAsia="Arial" w:hAnsi="Arial"/>
          <w:sz w:val="24"/>
          <w:szCs w:val="24"/>
        </w:rPr>
        <w:t xml:space="preserve">Reviewed all 4 data sources and all 3 tools</w:t>
      </w:r>
    </w:p>
    <w:p>
      <w:pPr>
        <w:pStyle w:val="ListParagraph"/>
        <w:numPr>
          <w:ilvl w:val="0"/>
          <w:numId w:val="2"/>
        </w:numPr>
        <w:spacing w:after="80"/>
      </w:pPr>
      <w:r>
        <w:rPr>
          <w:rFonts w:ascii="Arial" w:cs="Arial" w:eastAsia="Arial" w:hAnsi="Arial"/>
          <w:sz w:val="24"/>
          <w:szCs w:val="24"/>
        </w:rPr>
        <w:t xml:space="preserve">Drafted the Why P&amp;C paragraph — consultant grade positioning statement</w:t>
      </w:r>
    </w:p>
    <w:p>
      <w:pPr>
        <w:pStyle w:val="Heading3"/>
      </w:pPr>
      <w:r>
        <w:rPr>
          <w:rFonts w:ascii="Arial" w:cs="Arial" w:eastAsia="Arial" w:hAnsi="Arial"/>
          <w:b/>
          <w:bCs/>
          <w:color w:val="444444"/>
          <w:sz w:val="24"/>
          <w:szCs w:val="24"/>
        </w:rPr>
        <w:t xml:space="preserve">Session 2 — BOC API Exploration</w:t>
      </w:r>
    </w:p>
    <w:p>
      <w:pPr>
        <w:pStyle w:val="ListParagraph"/>
        <w:numPr>
          <w:ilvl w:val="0"/>
          <w:numId w:val="2"/>
        </w:numPr>
        <w:spacing w:after="80"/>
      </w:pPr>
      <w:r>
        <w:rPr>
          <w:rFonts w:ascii="Arial" w:cs="Arial" w:eastAsia="Arial" w:hAnsi="Arial"/>
          <w:sz w:val="24"/>
          <w:szCs w:val="24"/>
        </w:rPr>
        <w:t xml:space="preserve">Explored BOC Valet API — understood 3 parts of JSON response</w:t>
      </w:r>
    </w:p>
    <w:p>
      <w:pPr>
        <w:pStyle w:val="ListParagraph"/>
        <w:numPr>
          <w:ilvl w:val="0"/>
          <w:numId w:val="2"/>
        </w:numPr>
        <w:spacing w:after="80"/>
      </w:pPr>
      <w:r>
        <w:rPr>
          <w:rFonts w:ascii="Arial" w:cs="Arial" w:eastAsia="Arial" w:hAnsi="Arial"/>
          <w:sz w:val="24"/>
          <w:szCs w:val="24"/>
        </w:rPr>
        <w:t xml:space="preserve">V39079 is BOC's series code for overnight policy rate</w:t>
      </w:r>
    </w:p>
    <w:p>
      <w:pPr>
        <w:pStyle w:val="ListParagraph"/>
        <w:numPr>
          <w:ilvl w:val="0"/>
          <w:numId w:val="2"/>
        </w:numPr>
        <w:spacing w:after="80"/>
      </w:pPr>
      <w:r>
        <w:rPr>
          <w:rFonts w:ascii="Arial" w:cs="Arial" w:eastAsia="Arial" w:hAnsi="Arial"/>
          <w:sz w:val="24"/>
          <w:szCs w:val="24"/>
        </w:rPr>
        <w:t xml:space="preserve">API returns daily data — averaged to annual in transform.py</w:t>
      </w:r>
    </w:p>
    <w:p>
      <w:pPr>
        <w:pStyle w:val="ListParagraph"/>
        <w:numPr>
          <w:ilvl w:val="0"/>
          <w:numId w:val="2"/>
        </w:numPr>
        <w:spacing w:after="80"/>
      </w:pPr>
      <w:r>
        <w:rPr>
          <w:rFonts w:ascii="Arial" w:cs="Arial" w:eastAsia="Arial" w:hAnsi="Arial"/>
          <w:sz w:val="24"/>
          <w:szCs w:val="24"/>
        </w:rPr>
        <w:t xml:space="preserve">Annual granularity decision locked in — OSFI constraint</w:t>
      </w:r>
    </w:p>
    <w:p>
      <w:pPr>
        <w:pStyle w:val="ListParagraph"/>
        <w:numPr>
          <w:ilvl w:val="0"/>
          <w:numId w:val="2"/>
        </w:numPr>
        <w:spacing w:after="80"/>
      </w:pPr>
      <w:r>
        <w:rPr>
          <w:rFonts w:ascii="Arial" w:cs="Arial" w:eastAsia="Arial" w:hAnsi="Arial"/>
          <w:sz w:val="24"/>
          <w:szCs w:val="24"/>
        </w:rPr>
        <w:t xml:space="preserve">Added CPI (V41690914) and bond yields (2yr and 10yr) to extract.py</w:t>
      </w:r>
    </w:p>
    <w:p>
      <w:pPr>
        <w:pStyle w:val="Heading3"/>
      </w:pPr>
      <w:r>
        <w:rPr>
          <w:rFonts w:ascii="Arial" w:cs="Arial" w:eastAsia="Arial" w:hAnsi="Arial"/>
          <w:b/>
          <w:bCs/>
          <w:color w:val="444444"/>
          <w:sz w:val="24"/>
          <w:szCs w:val="24"/>
        </w:rPr>
        <w:t xml:space="preserve">Session 3 — Environment Setup</w:t>
      </w:r>
    </w:p>
    <w:p>
      <w:pPr>
        <w:pStyle w:val="ListParagraph"/>
        <w:numPr>
          <w:ilvl w:val="0"/>
          <w:numId w:val="2"/>
        </w:numPr>
        <w:spacing w:after="80"/>
      </w:pPr>
      <w:r>
        <w:rPr>
          <w:rFonts w:ascii="Arial" w:cs="Arial" w:eastAsia="Arial" w:hAnsi="Arial"/>
          <w:sz w:val="24"/>
          <w:szCs w:val="24"/>
        </w:rPr>
        <w:t xml:space="preserve">Docker Desktop configured, rate_ripple_pg container running on port 5435</w:t>
      </w:r>
    </w:p>
    <w:p>
      <w:pPr>
        <w:pStyle w:val="ListParagraph"/>
        <w:numPr>
          <w:ilvl w:val="0"/>
          <w:numId w:val="2"/>
        </w:numPr>
        <w:spacing w:after="80"/>
      </w:pPr>
      <w:r>
        <w:rPr>
          <w:rFonts w:ascii="Arial" w:cs="Arial" w:eastAsia="Arial" w:hAnsi="Arial"/>
          <w:sz w:val="24"/>
          <w:szCs w:val="24"/>
        </w:rPr>
        <w:t xml:space="preserve">DbVisualizer connected to rate_ripple database</w:t>
      </w:r>
    </w:p>
    <w:p>
      <w:pPr>
        <w:pStyle w:val="ListParagraph"/>
        <w:numPr>
          <w:ilvl w:val="0"/>
          <w:numId w:val="2"/>
        </w:numPr>
        <w:spacing w:after="80"/>
      </w:pPr>
      <w:r>
        <w:rPr>
          <w:rFonts w:ascii="Arial" w:cs="Arial" w:eastAsia="Arial" w:hAnsi="Arial"/>
          <w:sz w:val="24"/>
          <w:szCs w:val="24"/>
        </w:rPr>
        <w:t xml:space="preserve">GitHub repo initialized, PRD and ADR pushed</w:t>
      </w:r>
    </w:p>
    <w:p>
      <w:pPr>
        <w:pStyle w:val="ListParagraph"/>
        <w:numPr>
          <w:ilvl w:val="0"/>
          <w:numId w:val="2"/>
        </w:numPr>
        <w:spacing w:after="80"/>
      </w:pPr>
      <w:r>
        <w:rPr>
          <w:rFonts w:ascii="Arial" w:cs="Arial" w:eastAsia="Arial" w:hAnsi="Arial"/>
          <w:sz w:val="24"/>
          <w:szCs w:val="24"/>
        </w:rPr>
        <w:t xml:space="preserve">extract.py written and tested — all 4 BOC series pulling to bronze</w:t>
      </w:r>
    </w:p>
    <w:p>
      <w:pPr>
        <w:pStyle w:val="Heading3"/>
      </w:pPr>
      <w:r>
        <w:rPr>
          <w:rFonts w:ascii="Arial" w:cs="Arial" w:eastAsia="Arial" w:hAnsi="Arial"/>
          <w:b/>
          <w:bCs/>
          <w:color w:val="444444"/>
          <w:sz w:val="24"/>
          <w:szCs w:val="24"/>
        </w:rPr>
        <w:t xml:space="preserve">Session 4 — StatsCan API</w:t>
      </w:r>
    </w:p>
    <w:p>
      <w:pPr>
        <w:pStyle w:val="ListParagraph"/>
        <w:numPr>
          <w:ilvl w:val="0"/>
          <w:numId w:val="2"/>
        </w:numPr>
        <w:spacing w:after="80"/>
      </w:pPr>
      <w:r>
        <w:rPr>
          <w:rFonts w:ascii="Arial" w:cs="Arial" w:eastAsia="Arial" w:hAnsi="Arial"/>
          <w:sz w:val="24"/>
          <w:szCs w:val="24"/>
        </w:rPr>
        <w:t xml:space="preserve">Learned StatsCan WDS API — POST request vs BOC GET request</w:t>
      </w:r>
    </w:p>
    <w:p>
      <w:pPr>
        <w:pStyle w:val="ListParagraph"/>
        <w:numPr>
          <w:ilvl w:val="0"/>
          <w:numId w:val="2"/>
        </w:numPr>
        <w:spacing w:after="80"/>
      </w:pPr>
      <w:r>
        <w:rPr>
          <w:rFonts w:ascii="Arial" w:cs="Arial" w:eastAsia="Arial" w:hAnsi="Arial"/>
          <w:sz w:val="24"/>
          <w:szCs w:val="24"/>
        </w:rPr>
        <w:t xml:space="preserve">Found Housing Price Index vector v111955442 — Canada total, house and land</w:t>
      </w:r>
    </w:p>
    <w:p>
      <w:pPr>
        <w:pStyle w:val="ListParagraph"/>
        <w:numPr>
          <w:ilvl w:val="0"/>
          <w:numId w:val="2"/>
        </w:numPr>
        <w:spacing w:after="80"/>
      </w:pPr>
      <w:r>
        <w:rPr>
          <w:rFonts w:ascii="Arial" w:cs="Arial" w:eastAsia="Arial" w:hAnsi="Arial"/>
          <w:sz w:val="24"/>
          <w:szCs w:val="24"/>
        </w:rPr>
        <w:t xml:space="preserve">Verified base year December 2016=100 by checking value in raw data</w:t>
      </w:r>
    </w:p>
    <w:p>
      <w:pPr>
        <w:pStyle w:val="ListParagraph"/>
        <w:numPr>
          <w:ilvl w:val="0"/>
          <w:numId w:val="2"/>
        </w:numPr>
        <w:spacing w:after="80"/>
      </w:pPr>
      <w:r>
        <w:rPr>
          <w:rFonts w:ascii="Arial" w:cs="Arial" w:eastAsia="Arial" w:hAnsi="Arial"/>
          <w:sz w:val="24"/>
          <w:szCs w:val="24"/>
        </w:rPr>
        <w:t xml:space="preserve">StatsCan extraction added to extract.py and tested successfully</w:t>
      </w:r>
    </w:p>
    <w:p>
      <w:pPr>
        <w:pStyle w:val="ListParagraph"/>
        <w:numPr>
          <w:ilvl w:val="0"/>
          <w:numId w:val="2"/>
        </w:numPr>
        <w:spacing w:after="80"/>
      </w:pPr>
      <w:r>
        <w:rPr>
          <w:rFonts w:ascii="Arial" w:cs="Arial" w:eastAsia="Arial" w:hAnsi="Arial"/>
          <w:sz w:val="24"/>
          <w:szCs w:val="24"/>
        </w:rPr>
        <w:t xml:space="preserve">Feature branch feature/statcan-extraction created</w:t>
      </w:r>
    </w:p>
    <w:p>
      <w:pPr>
        <w:pStyle w:val="ListParagraph"/>
        <w:numPr>
          <w:ilvl w:val="0"/>
          <w:numId w:val="2"/>
        </w:numPr>
        <w:spacing w:after="80"/>
      </w:pPr>
      <w:r>
        <w:rPr>
          <w:rFonts w:ascii="Arial" w:cs="Arial" w:eastAsia="Arial" w:hAnsi="Arial"/>
          <w:sz w:val="24"/>
          <w:szCs w:val="24"/>
        </w:rPr>
        <w:t xml:space="preserve">Learned about Building Construction Price Index — table 18-10-0289-01</w:t>
      </w:r>
    </w:p>
    <w:p>
      <w:pPr>
        <w:pStyle w:val="ListParagraph"/>
        <w:numPr>
          <w:ilvl w:val="0"/>
          <w:numId w:val="2"/>
        </w:numPr>
        <w:spacing w:after="80"/>
      </w:pPr>
      <w:r>
        <w:rPr>
          <w:rFonts w:ascii="Arial" w:cs="Arial" w:eastAsia="Arial" w:hAnsi="Arial"/>
          <w:sz w:val="24"/>
          <w:szCs w:val="24"/>
        </w:rPr>
        <w:t xml:space="preserve">Toronto chosen as national proxy — no Canada composite available</w:t>
      </w:r>
    </w:p>
    <w:p>
      <w:pPr>
        <w:pStyle w:val="ListParagraph"/>
        <w:numPr>
          <w:ilvl w:val="0"/>
          <w:numId w:val="2"/>
        </w:numPr>
        <w:spacing w:after="80"/>
      </w:pPr>
      <w:r>
        <w:rPr>
          <w:rFonts w:ascii="Arial" w:cs="Arial" w:eastAsia="Arial" w:hAnsi="Arial"/>
          <w:sz w:val="24"/>
          <w:szCs w:val="24"/>
        </w:rPr>
        <w:t xml:space="preserve">Year over year change approach confirmed for all index comparisons</w:t>
      </w:r>
    </w:p>
    <w:p>
      <w:pPr>
        <w:pStyle w:val="ListParagraph"/>
        <w:numPr>
          <w:ilvl w:val="0"/>
          <w:numId w:val="2"/>
        </w:numPr>
        <w:spacing w:after="80"/>
      </w:pPr>
      <w:r>
        <w:rPr>
          <w:rFonts w:ascii="Arial" w:cs="Arial" w:eastAsia="Arial" w:hAnsi="Arial"/>
          <w:sz w:val="24"/>
          <w:szCs w:val="24"/>
        </w:rPr>
        <w:t xml:space="preserve">Macro vs micro concepts covered — Canada Post strike example</w:t>
      </w:r>
    </w:p>
    <w:p>
      <w:pPr>
        <w:pStyle w:val="ListParagraph"/>
        <w:numPr>
          <w:ilvl w:val="0"/>
          <w:numId w:val="2"/>
        </w:numPr>
        <w:spacing w:after="80"/>
      </w:pPr>
      <w:r>
        <w:rPr>
          <w:rFonts w:ascii="Arial" w:cs="Arial" w:eastAsia="Arial" w:hAnsi="Arial"/>
          <w:sz w:val="24"/>
          <w:szCs w:val="24"/>
        </w:rPr>
        <w:t xml:space="preserve">Domain knowledge covered: overnight rate, open market operations, government bonds, yield curve, CPI, base years, index comparisons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2026-06-23T01:29:34.220Z</dcterms:created>
  <dcterms:modified xsi:type="dcterms:W3CDTF">2026-06-23T01:29:34.237Z</dcterms:modified>
</cp:coreProperties>
</file>

<file path=docProps/custom.xml><?xml version="1.0" encoding="utf-8"?>
<Properties xmlns="http://schemas.openxmlformats.org/officeDocument/2006/custom-properties" xmlns:vt="http://schemas.openxmlformats.org/officeDocument/2006/docPropsVTypes"/>
</file>