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The Rate Ripple — Running Notes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A living document capturing key concepts, decisions, and insights as the project is built. Updated session by session.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1. What We Are Solving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The Bank of Canada raised interest rates from 0.25% to 5.00% between 2022 and 2023. This project traces how that rate cycle rippled through the Canadian economy and landed on P&amp;C insurers. Interest rates are both a cause and an effect — they drive housing stress, insurance claims, and mortgage defaults, while being driven by inflation, Fed policy, and micro-level economic signals.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The Chain Reaction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Rates go up → mortgage payments jump → homeowners cash strapped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Cash strapped homeowners defer maintenance → small problems become big claims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Inflation raises rebuild costs → fewer claims still cost more to settle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Insurers raise premiums to protect margins → homeowners squeezed further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2. Why P&amp;C Insurance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Most analyses focus on mortgage default. P&amp;C insurance — home insurance — is rarely analyzed in an integrated data-driven way. This project fills that gap using real Canadian public data. Behind every loss ratio is a homeowner whose quality of life depends on the system working.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Note: </w:t>
      </w:r>
      <w:r>
        <w:rPr>
          <w:rFonts w:ascii="Arial" w:cs="Arial" w:eastAsia="Arial" w:hAnsi="Arial"/>
          <w:sz w:val="24"/>
          <w:szCs w:val="24"/>
        </w:rPr>
        <w:t xml:space="preserve">CMHC = mortgage default insurance (protects the bank). P&amp;C = home insurance (protects the homeowner). Completely different products.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3. Data Sources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Bank of Canada Valet API: </w:t>
      </w:r>
      <w:r>
        <w:rPr>
          <w:rFonts w:ascii="Arial" w:cs="Arial" w:eastAsia="Arial" w:hAnsi="Arial"/>
          <w:sz w:val="24"/>
          <w:szCs w:val="24"/>
        </w:rPr>
        <w:t xml:space="preserve">Anchor layer. Policy rate (V39079), CPI (V41690914), 2yr bond yield (BD.CDN.2YR.DQ.YLD), 10yr bond yield (BD.CDN.10YR.DQ.YLD). Free REST API — GET request. Daily data averaged to annual in silver.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Statistics Canada WDS API: </w:t>
      </w:r>
      <w:r>
        <w:rPr>
          <w:rFonts w:ascii="Arial" w:cs="Arial" w:eastAsia="Arial" w:hAnsi="Arial"/>
          <w:sz w:val="24"/>
          <w:szCs w:val="24"/>
        </w:rPr>
        <w:t xml:space="preserve">Bridge layer. Housing Price Index (v111955442, base Dec 2016=100), Construction Cost Index Toronto proxy (v1617912756, table 18-10-0289-01, base 2023=100). Free REST API — POST request.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OSFI — Open Government Portal: </w:t>
      </w:r>
      <w:r>
        <w:rPr>
          <w:rFonts w:ascii="Arial" w:cs="Arial" w:eastAsia="Arial" w:hAnsi="Arial"/>
          <w:sz w:val="24"/>
          <w:szCs w:val="24"/>
        </w:rPr>
        <w:t xml:space="preserve">Impact layer. Three files covering full date range: PC1 Annual (1996-2013), 1Q Quarterly (2015-2023 filter Q4), PC2 Quarterly (2023-2026 filter Q4). Note: 2014 gap exists — documented limitation. IFRS 17 accounting change from 2023 affects metric names.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IBC/CatIQ Catastrophe Data: </w:t>
      </w:r>
      <w:r>
        <w:rPr>
          <w:rFonts w:ascii="Arial" w:cs="Arial" w:eastAsia="Arial" w:hAnsi="Arial"/>
          <w:sz w:val="24"/>
          <w:szCs w:val="24"/>
        </w:rPr>
        <w:t xml:space="preserve">Context layer. Annual total insured catastrophic losses 2005-2025. Manually curated from CatIQ annual press releases and IBC public reports. Saved as ibc_catastrophe_losses_raw.csv in bronze. Future enhancement: automate via web scraping CatIQ press releases.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4. Tools &amp; Why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Python: </w:t>
      </w:r>
      <w:r>
        <w:rPr>
          <w:rFonts w:ascii="Arial" w:cs="Arial" w:eastAsia="Arial" w:hAnsi="Arial"/>
          <w:sz w:val="24"/>
          <w:szCs w:val="24"/>
        </w:rPr>
        <w:t xml:space="preserve">Data collection and transformation. Standard tool for API calls, CSV processing, dataframe operations.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PostgreSQL on Docker: </w:t>
      </w:r>
      <w:r>
        <w:rPr>
          <w:rFonts w:ascii="Arial" w:cs="Arial" w:eastAsia="Arial" w:hAnsi="Arial"/>
          <w:sz w:val="24"/>
          <w:szCs w:val="24"/>
        </w:rPr>
        <w:t xml:space="preserve">Enterprise-grade database. Port 5435. Database: rate_ripple. Password: ripple123. Same pattern used by Big 5 banks.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Tableau Public: </w:t>
      </w:r>
      <w:r>
        <w:rPr>
          <w:rFonts w:ascii="Arial" w:cs="Arial" w:eastAsia="Arial" w:hAnsi="Arial"/>
          <w:sz w:val="24"/>
          <w:szCs w:val="24"/>
        </w:rPr>
        <w:t xml:space="preserve">Free, shareable, portfolio-ready visualization. Connects to gold layer.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DbVisualizer: </w:t>
      </w:r>
      <w:r>
        <w:rPr>
          <w:rFonts w:ascii="Arial" w:cs="Arial" w:eastAsia="Arial" w:hAnsi="Arial"/>
          <w:sz w:val="24"/>
          <w:szCs w:val="24"/>
        </w:rPr>
        <w:t xml:space="preserve">GUI for PostgreSQL. Connected to rate_ripple_pg container.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5. Key Concepts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Loss Ratio: </w:t>
      </w:r>
      <w:r>
        <w:rPr>
          <w:rFonts w:ascii="Arial" w:cs="Arial" w:eastAsia="Arial" w:hAnsi="Arial"/>
          <w:sz w:val="24"/>
          <w:szCs w:val="24"/>
        </w:rPr>
        <w:t xml:space="preserve">Claims paid / premiums collected. 72% = paid $72 per $100 collected. Higher = worse financial health.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Overnight Rate: </w:t>
      </w:r>
      <w:r>
        <w:rPr>
          <w:rFonts w:ascii="Arial" w:cs="Arial" w:eastAsia="Arial" w:hAnsi="Arial"/>
          <w:sz w:val="24"/>
          <w:szCs w:val="24"/>
        </w:rPr>
        <w:t xml:space="preserve">Rate at which banks lend to each other overnight. BOC sets the target. V39079 in BOC API.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Open Market Operations: </w:t>
      </w:r>
      <w:r>
        <w:rPr>
          <w:rFonts w:ascii="Arial" w:cs="Arial" w:eastAsia="Arial" w:hAnsi="Arial"/>
          <w:sz w:val="24"/>
          <w:szCs w:val="24"/>
        </w:rPr>
        <w:t xml:space="preserve">How BOC controls rates. Buy bonds = inject cash = rates drop. Sell bonds = pull cash = rates rise.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Government Bond: </w:t>
      </w:r>
      <w:r>
        <w:rPr>
          <w:rFonts w:ascii="Arial" w:cs="Arial" w:eastAsia="Arial" w:hAnsi="Arial"/>
          <w:sz w:val="24"/>
          <w:szCs w:val="24"/>
        </w:rPr>
        <w:t xml:space="preserve">IOU from government to investors. Bond prices move OPPOSITE to interest rates.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Yield Curve: </w:t>
      </w:r>
      <w:r>
        <w:rPr>
          <w:rFonts w:ascii="Arial" w:cs="Arial" w:eastAsia="Arial" w:hAnsi="Arial"/>
          <w:sz w:val="24"/>
          <w:szCs w:val="24"/>
        </w:rPr>
        <w:t xml:space="preserve">2yr vs 10yr bond yield. Inversion (2yr &gt; 10yr) = recession signal. Happened in 2022-2023.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CPI Index: </w:t>
      </w:r>
      <w:r>
        <w:rPr>
          <w:rFonts w:ascii="Arial" w:cs="Arial" w:eastAsia="Arial" w:hAnsi="Arial"/>
          <w:sz w:val="24"/>
          <w:szCs w:val="24"/>
        </w:rPr>
        <w:t xml:space="preserve">Not a percentage. Base year Canada = 2002=100. Year over year % change = inflation rate.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HPI: </w:t>
      </w:r>
      <w:r>
        <w:rPr>
          <w:rFonts w:ascii="Arial" w:cs="Arial" w:eastAsia="Arial" w:hAnsi="Arial"/>
          <w:sz w:val="24"/>
          <w:szCs w:val="24"/>
        </w:rPr>
        <w:t xml:space="preserve">Housing Price Index. Base Dec 2016=100. Shows relative house price changes not dollar values.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BCPI: </w:t>
      </w:r>
      <w:r>
        <w:rPr>
          <w:rFonts w:ascii="Arial" w:cs="Arial" w:eastAsia="Arial" w:hAnsi="Arial"/>
          <w:sz w:val="24"/>
          <w:szCs w:val="24"/>
        </w:rPr>
        <w:t xml:space="preserve">Building Construction Price Index. Base 2023=100. Toronto proxy for national construction costs.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Year Over Year Change: </w:t>
      </w:r>
      <w:r>
        <w:rPr>
          <w:rFonts w:ascii="Arial" w:cs="Arial" w:eastAsia="Arial" w:hAnsi="Arial"/>
          <w:sz w:val="24"/>
          <w:szCs w:val="24"/>
        </w:rPr>
        <w:t xml:space="preserve">Standard way to compare indexes with different base years. Removes base year dependency.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Idempotency: </w:t>
      </w:r>
      <w:r>
        <w:rPr>
          <w:rFonts w:ascii="Arial" w:cs="Arial" w:eastAsia="Arial" w:hAnsi="Arial"/>
          <w:sz w:val="24"/>
          <w:szCs w:val="24"/>
        </w:rPr>
        <w:t xml:space="preserve">Pipeline safe to run multiple times. No duplicates. Gold layer uses upsert.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Macro vs Micro: </w:t>
      </w:r>
      <w:r>
        <w:rPr>
          <w:rFonts w:ascii="Arial" w:cs="Arial" w:eastAsia="Arial" w:hAnsi="Arial"/>
          <w:sz w:val="24"/>
          <w:szCs w:val="24"/>
        </w:rPr>
        <w:t xml:space="preserve">Macro = economy-wide (BOC rates, inflation). Micro = individual level (one homeowner, one insurer). Micro events can aggregate into macro signals — e.g. Canada Post strike.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IFRS 17: </w:t>
      </w:r>
      <w:r>
        <w:rPr>
          <w:rFonts w:ascii="Arial" w:cs="Arial" w:eastAsia="Arial" w:hAnsi="Arial"/>
          <w:sz w:val="24"/>
          <w:szCs w:val="24"/>
        </w:rPr>
        <w:t xml:space="preserve">New insurance accounting standard effective 2023. Changed metric names in OSFI data — creates historical comparison challenge across pre/post 2023 data.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6. Reusable Scripts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data_profile.py: </w:t>
      </w:r>
      <w:r>
        <w:rPr>
          <w:rFonts w:ascii="Arial" w:cs="Arial" w:eastAsia="Arial" w:hAnsi="Arial"/>
          <w:sz w:val="24"/>
          <w:szCs w:val="24"/>
        </w:rPr>
        <w:t xml:space="preserve">Reusable profiling script for any CSV. Usage: python scripts/data_profile.py &lt;path_to_csv&gt;. Outputs row/column counts, null analysis, unique values, date ranges, numeric stats, value distribution. Saves timestamped report to docs/profiles/.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data_search.py: </w:t>
      </w:r>
      <w:r>
        <w:rPr>
          <w:rFonts w:ascii="Arial" w:cs="Arial" w:eastAsia="Arial" w:hAnsi="Arial"/>
          <w:sz w:val="24"/>
          <w:szCs w:val="24"/>
        </w:rPr>
        <w:t xml:space="preserve">Planned. Keyword search across any CSV column. Usage: python scripts/data_search.py &lt;file&gt; &lt;column&gt; &lt;keywords&gt;. Equivalent of grep for CSV datasets.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7. Project Roadmap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Phase 1 — Rate Ripple (Current)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P&amp;C insurance impact of BOC rate cycles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Audience: Insurance analytics, Big 5 bank insurance divisions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Phase 2 — Mortgage Default Extension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Same pipeline, new business questions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Add CMHC public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Audience: Big 5 bank credit risk, fintech lending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Future AI Layer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Natural language query layer for executives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Ollama for local LLM — zero cost, works offline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Predictive analytics — loss ratio forecasting by rate scenario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Future Enhancement — IBC Web Scraping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Automate IBC catastrophe data extraction from CatIQ annual press releases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Currently manual — update each January from public.catiq.com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8. Documented Decisions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Annual Granularity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OSFI publishes annually. All sources standardized to annual. BOC daily data averaged to annual in silver. Q4 quarterly = annual year-end figure.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Toronto Construction Cost Proxy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No Canada composite exists in BCPI. Toronto used as proxy. City level expansion planned for Phase 2.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Year Over Year Change for Index Comparisons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HPI base Dec 2016, BCPI base 2023. Raw index values not comparable. YoY % change removes dependency.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IBC Data — Manual Curation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CatIQ detailed database is subscription-based. Annual totals compiled from public press releases. Source cited per row in CSV. Future enhancement: automate via web scraping.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OSFI Three-File Strategy</w:t>
      </w:r>
    </w:p>
    <w:p>
      <w:pPr>
        <w:spacing w:after="120"/>
      </w:pPr>
      <w:r>
        <w:rPr>
          <w:rFonts w:ascii="Arial" w:cs="Arial" w:eastAsia="Arial" w:hAnsi="Arial"/>
          <w:sz w:val="24"/>
          <w:szCs w:val="24"/>
        </w:rPr>
        <w:t xml:space="preserve">Coverage: PC1 Annual (1996-2013) + 1Q Quarterly Q4 filter (2015-2023) + PC2 Quarterly Q4 filter (2023-2026). One year gap in 2014 — documented limitation. IFRS 17 transition from 2023 affects metric names — handled in transform.py.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9. Build Progress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Bronze Layer — COMPLETE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BOC: policy rate, CPI, 2yr yield, 10yr yield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StatsCan: Housing Price Index, Toronto Construction Cost Index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OSFI: PC1 annual, 1Q quarterly, PC2 quarterly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IBC: catastrophe losses 2005-2025 manually curated CSV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Next Steps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Build data_search.py — keyword search tool for CSV columns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Find exact metric labels in OSFI files using data_search.py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Merge feature/statcan-extraction branch to main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Build transform.py — clean bronze, calculate YoY changes, save to silver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Build load.py — join silver on year, upsert to PostgreSQL gold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Build validate.py — row count checks and logging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Build run_pipeline.py — master script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Tableau dashboard — 3 panel layout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README.md — portfolio ready documentation</w:t>
      </w:r>
    </w:p>
    <w:p>
      <w:pPr>
        <w:pBdr>
          <w:bottom w:val="single" w:color="CCCCCC" w:sz="4" w:space="1"/>
        </w:pBdr>
        <w:spacing w:after="200"/>
      </w:pPr>
    </w:p>
    <w:p>
      <w:pPr>
        <w:pStyle w:val="Heading2"/>
      </w:pPr>
      <w:r>
        <w:rPr>
          <w:rFonts w:ascii="Arial" w:cs="Arial" w:eastAsia="Arial" w:hAnsi="Arial"/>
          <w:b/>
          <w:bCs/>
          <w:color w:val="2E5FA3"/>
          <w:sz w:val="28"/>
          <w:szCs w:val="28"/>
        </w:rPr>
        <w:t xml:space="preserve">10. Session Log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Sessions 1-3 — Foundation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Project scoping, BOC API exploration, Docker setup, GitHub initialized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PRD and ADR created in docs folder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extract.py built and tested for BOC data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Session 4 — StatsCan API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StatsCan WDS API understood — POST request vs BOC GET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HPI vector v111955442 found and tested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Construction cost Toronto vector v1617912756 added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feature/statcan-extraction branch created</w:t>
      </w:r>
    </w:p>
    <w:p>
      <w:pPr>
        <w:pStyle w:val="Heading3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Session 5 — OSFI and IBC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OSFI data complexity navigated — three file strategy decided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PC1 Annual (1996-2013), 1Q Quarterly (2015-2023), PC2 Quarterly (2023-2026) downloaded to bronze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data_profile.py built — reusable profiling script for any CSV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IBC catastrophe loss CSV manually compiled from CatIQ/IBC public sources (2005-2025)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Future enhancement noted: automate IBC data via CatIQ press release web scraping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Bronze layer declared complete — all data sources loaded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5FA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2026-08-15T15:32:11.216Z</dcterms:created>
  <dcterms:modified xsi:type="dcterms:W3CDTF">2026-08-15T15:32:11.231Z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