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b/>
          <w:color w:val="1B365D"/>
          <w:sz w:val="40"/>
        </w:rPr>
        <w:t>ONLINE COMPLAINT REGISTRATION (POLICE GRIEVANCE PORTAL)</w:t>
      </w:r>
    </w:p>
    <w:p>
      <w:pPr>
        <w:spacing w:after="360"/>
        <w:jc w:val="center"/>
      </w:pPr>
      <w:r>
        <w:rPr>
          <w:i/>
          <w:color w:val="4A5568"/>
          <w:sz w:val="24"/>
        </w:rPr>
        <w:t>A Full-Stack MERN Application for Public Grievance Management and Resolution</w:t>
        <w:br/>
        <w:t>Comprehensive Technical Framework and Project Report</w:t>
      </w:r>
    </w:p>
    <w:p>
      <w:pPr>
        <w:pStyle w:val="Heading2"/>
        <w:keepNext/>
        <w:spacing w:before="240" w:after="120"/>
      </w:pPr>
      <w:r>
        <w:rPr>
          <w:rFonts w:ascii="Arial" w:hAnsi="Arial"/>
          <w:b/>
          <w:color w:val="2B6CA3"/>
          <w:sz w:val="26"/>
        </w:rPr>
        <w:t>Project Team</w:t>
      </w:r>
    </w:p>
    <w:tbl>
      <w:tblPr>
        <w:tblW w:type="auto" w:w="0"/>
        <w:tblLayout w:type="fixed"/>
        <w:tblLook w:firstColumn="1" w:firstRow="1" w:lastColumn="0" w:lastRow="0" w:noHBand="0" w:noVBand="1" w:val="04A0"/>
      </w:tblPr>
      <w:tblGrid>
        <w:gridCol w:w="3600"/>
        <w:gridCol w:w="5760"/>
      </w:tblGrid>
      <w:tr>
        <w:tc>
          <w:tcPr>
            <w:tcW w:type="dxa" w:w="4680"/>
            <w:tcMar>
              <w:top w:w="120" w:type="dxa"/>
              <w:bottom w:w="120" w:type="dxa"/>
              <w:left w:w="150" w:type="dxa"/>
              <w:right w:w="150" w:type="dxa"/>
            </w:tcMar>
            <w:shd w:fill="1B365D"/>
          </w:tcPr>
          <w:p>
            <w:pPr>
              <w:spacing w:before="40" w:after="40"/>
            </w:pPr>
            <w:r>
              <w:rPr>
                <w:rFonts w:ascii="Arial" w:hAnsi="Arial"/>
                <w:b/>
                <w:color w:val="FFFFFF"/>
                <w:sz w:val="21"/>
              </w:rPr>
              <w:t>Role Within Project</w:t>
            </w:r>
          </w:p>
        </w:tc>
        <w:tc>
          <w:tcPr>
            <w:tcW w:type="dxa" w:w="4680"/>
            <w:tcMar>
              <w:top w:w="120" w:type="dxa"/>
              <w:bottom w:w="120" w:type="dxa"/>
              <w:left w:w="150" w:type="dxa"/>
              <w:right w:w="150" w:type="dxa"/>
            </w:tcMar>
            <w:shd w:fill="1B365D"/>
          </w:tcPr>
          <w:p>
            <w:pPr>
              <w:spacing w:before="40" w:after="40"/>
            </w:pPr>
            <w:r>
              <w:rPr>
                <w:rFonts w:ascii="Arial" w:hAnsi="Arial"/>
                <w:b/>
                <w:color w:val="FFFFFF"/>
                <w:sz w:val="21"/>
              </w:rPr>
              <w:t>Assigned Professional Engineer Name</w:t>
            </w:r>
          </w:p>
        </w:tc>
      </w:tr>
      <w:tr>
        <w:tc>
          <w:tcPr>
            <w:tcW w:type="dxa" w:w="4680"/>
            <w:tcMar>
              <w:top w:w="120" w:type="dxa"/>
              <w:bottom w:w="120" w:type="dxa"/>
              <w:left w:w="150" w:type="dxa"/>
              <w:right w:w="150" w:type="dxa"/>
            </w:tcMar>
            <w:shd w:fill="FFFFFF"/>
          </w:tcPr>
          <w:p>
            <w:pPr>
              <w:spacing w:before="40" w:after="40"/>
            </w:pPr>
            <w:r>
              <w:rPr>
                <w:rFonts w:ascii="Arial" w:hAnsi="Arial"/>
                <w:color w:val="2D3748"/>
                <w:sz w:val="20"/>
              </w:rPr>
              <w:t>Team Leader</w:t>
            </w:r>
          </w:p>
        </w:tc>
        <w:tc>
          <w:tcPr>
            <w:tcW w:type="dxa" w:w="4680"/>
            <w:tcMar>
              <w:top w:w="120" w:type="dxa"/>
              <w:bottom w:w="120" w:type="dxa"/>
              <w:left w:w="150" w:type="dxa"/>
              <w:right w:w="150" w:type="dxa"/>
            </w:tcMar>
            <w:shd w:fill="FFFFFF"/>
          </w:tcPr>
          <w:p>
            <w:pPr>
              <w:spacing w:before="40" w:after="40"/>
            </w:pPr>
            <w:r>
              <w:rPr>
                <w:rFonts w:ascii="Arial" w:hAnsi="Arial"/>
                <w:color w:val="2D3748"/>
                <w:sz w:val="20"/>
              </w:rPr>
              <w:t>Boddu Tharun</w:t>
            </w:r>
          </w:p>
        </w:tc>
      </w:tr>
      <w:tr>
        <w:tc>
          <w:tcPr>
            <w:tcW w:type="dxa" w:w="4680"/>
            <w:tcMar>
              <w:top w:w="120" w:type="dxa"/>
              <w:bottom w:w="120" w:type="dxa"/>
              <w:left w:w="150" w:type="dxa"/>
              <w:right w:w="150" w:type="dxa"/>
            </w:tcMar>
            <w:shd w:fill="F7FAFC"/>
          </w:tcPr>
          <w:p>
            <w:pPr>
              <w:spacing w:before="40" w:after="40"/>
            </w:pPr>
            <w:r>
              <w:rPr>
                <w:rFonts w:ascii="Arial" w:hAnsi="Arial"/>
                <w:color w:val="2D3748"/>
                <w:sz w:val="20"/>
              </w:rPr>
              <w:t>Team Member</w:t>
            </w:r>
          </w:p>
        </w:tc>
        <w:tc>
          <w:tcPr>
            <w:tcW w:type="dxa" w:w="4680"/>
            <w:tcMar>
              <w:top w:w="120" w:type="dxa"/>
              <w:bottom w:w="120" w:type="dxa"/>
              <w:left w:w="150" w:type="dxa"/>
              <w:right w:w="150" w:type="dxa"/>
            </w:tcMar>
            <w:shd w:fill="F7FAFC"/>
          </w:tcPr>
          <w:p>
            <w:pPr>
              <w:spacing w:before="40" w:after="40"/>
            </w:pPr>
            <w:r>
              <w:rPr>
                <w:rFonts w:ascii="Arial" w:hAnsi="Arial"/>
                <w:color w:val="2D3748"/>
                <w:sz w:val="20"/>
              </w:rPr>
              <w:t>Anusha Konatham</w:t>
            </w:r>
          </w:p>
        </w:tc>
      </w:tr>
      <w:tr>
        <w:tc>
          <w:tcPr>
            <w:tcW w:type="dxa" w:w="4680"/>
            <w:tcMar>
              <w:top w:w="120" w:type="dxa"/>
              <w:bottom w:w="120" w:type="dxa"/>
              <w:left w:w="150" w:type="dxa"/>
              <w:right w:w="150" w:type="dxa"/>
            </w:tcMar>
            <w:shd w:fill="FFFFFF"/>
          </w:tcPr>
          <w:p>
            <w:pPr>
              <w:spacing w:before="40" w:after="40"/>
            </w:pPr>
            <w:r>
              <w:rPr>
                <w:rFonts w:ascii="Arial" w:hAnsi="Arial"/>
                <w:color w:val="2D3748"/>
                <w:sz w:val="20"/>
              </w:rPr>
              <w:t>Team Member</w:t>
            </w:r>
          </w:p>
        </w:tc>
        <w:tc>
          <w:tcPr>
            <w:tcW w:type="dxa" w:w="4680"/>
            <w:tcMar>
              <w:top w:w="120" w:type="dxa"/>
              <w:bottom w:w="120" w:type="dxa"/>
              <w:left w:w="150" w:type="dxa"/>
              <w:right w:w="150" w:type="dxa"/>
            </w:tcMar>
            <w:shd w:fill="FFFFFF"/>
          </w:tcPr>
          <w:p>
            <w:pPr>
              <w:spacing w:before="40" w:after="40"/>
            </w:pPr>
            <w:r>
              <w:rPr>
                <w:rFonts w:ascii="Arial" w:hAnsi="Arial"/>
                <w:color w:val="2D3748"/>
                <w:sz w:val="20"/>
              </w:rPr>
              <w:t>Anumukonda Kranthi Kumar</w:t>
            </w:r>
          </w:p>
        </w:tc>
      </w:tr>
      <w:tr>
        <w:tc>
          <w:tcPr>
            <w:tcW w:type="dxa" w:w="4680"/>
            <w:tcMar>
              <w:top w:w="120" w:type="dxa"/>
              <w:bottom w:w="120" w:type="dxa"/>
              <w:left w:w="150" w:type="dxa"/>
              <w:right w:w="150" w:type="dxa"/>
            </w:tcMar>
            <w:shd w:fill="F7FAFC"/>
          </w:tcPr>
          <w:p>
            <w:pPr>
              <w:spacing w:before="40" w:after="40"/>
            </w:pPr>
            <w:r>
              <w:rPr>
                <w:rFonts w:ascii="Arial" w:hAnsi="Arial"/>
                <w:color w:val="2D3748"/>
                <w:sz w:val="20"/>
              </w:rPr>
              <w:t>Team Member</w:t>
            </w:r>
          </w:p>
        </w:tc>
        <w:tc>
          <w:tcPr>
            <w:tcW w:type="dxa" w:w="4680"/>
            <w:tcMar>
              <w:top w:w="120" w:type="dxa"/>
              <w:bottom w:w="120" w:type="dxa"/>
              <w:left w:w="150" w:type="dxa"/>
              <w:right w:w="150" w:type="dxa"/>
            </w:tcMar>
            <w:shd w:fill="F7FAFC"/>
          </w:tcPr>
          <w:p>
            <w:pPr>
              <w:spacing w:before="40" w:after="40"/>
            </w:pPr>
            <w:r>
              <w:rPr>
                <w:rFonts w:ascii="Arial" w:hAnsi="Arial"/>
                <w:color w:val="2D3748"/>
                <w:sz w:val="20"/>
              </w:rPr>
              <w:t>Vaka Siva Sankar</w:t>
            </w:r>
          </w:p>
        </w:tc>
      </w:tr>
      <w:tr>
        <w:tc>
          <w:tcPr>
            <w:tcW w:type="dxa" w:w="4680"/>
            <w:tcMar>
              <w:top w:w="120" w:type="dxa"/>
              <w:bottom w:w="120" w:type="dxa"/>
              <w:left w:w="150" w:type="dxa"/>
              <w:right w:w="150" w:type="dxa"/>
            </w:tcMar>
            <w:shd w:fill="FFFFFF"/>
          </w:tcPr>
          <w:p>
            <w:pPr>
              <w:spacing w:before="40" w:after="40"/>
            </w:pPr>
            <w:r>
              <w:rPr>
                <w:rFonts w:ascii="Arial" w:hAnsi="Arial"/>
                <w:color w:val="2D3748"/>
                <w:sz w:val="20"/>
              </w:rPr>
              <w:t>Team Member</w:t>
            </w:r>
          </w:p>
        </w:tc>
        <w:tc>
          <w:tcPr>
            <w:tcW w:type="dxa" w:w="4680"/>
            <w:tcMar>
              <w:top w:w="120" w:type="dxa"/>
              <w:bottom w:w="120" w:type="dxa"/>
              <w:left w:w="150" w:type="dxa"/>
              <w:right w:w="150" w:type="dxa"/>
            </w:tcMar>
            <w:shd w:fill="FFFFFF"/>
          </w:tcPr>
          <w:p>
            <w:pPr>
              <w:spacing w:before="40" w:after="40"/>
            </w:pPr>
            <w:r>
              <w:rPr>
                <w:rFonts w:ascii="Arial" w:hAnsi="Arial"/>
                <w:color w:val="2D3748"/>
                <w:sz w:val="20"/>
              </w:rPr>
              <w:t>Veliva Harshitha</w:t>
            </w:r>
          </w:p>
        </w:tc>
      </w:tr>
    </w:tbl>
    <w:p>
      <w:pPr>
        <w:pStyle w:val="Heading1"/>
        <w:keepNext/>
        <w:spacing w:before="320" w:after="120"/>
      </w:pPr>
      <w:r>
        <w:rPr>
          <w:rFonts w:ascii="Arial" w:hAnsi="Arial"/>
          <w:b/>
          <w:color w:val="1B365D"/>
          <w:sz w:val="32"/>
        </w:rPr>
        <w:t>Phase 1: Brainstorming &amp; Ideation</w:t>
      </w:r>
    </w:p>
    <w:p>
      <w:pPr>
        <w:pStyle w:val="Heading2"/>
        <w:keepNext/>
        <w:spacing w:before="320" w:after="120"/>
      </w:pPr>
      <w:r>
        <w:rPr>
          <w:rFonts w:ascii="Arial" w:hAnsi="Arial"/>
          <w:b/>
          <w:color w:val="2B6CA3"/>
          <w:sz w:val="26"/>
        </w:rPr>
        <w:t>Understanding the Problem</w:t>
      </w:r>
    </w:p>
    <w:p>
      <w:pPr>
        <w:spacing w:after="120" w:line="288" w:lineRule="auto"/>
      </w:pPr>
      <w:r>
        <w:rPr>
          <w:rFonts w:ascii="Arial" w:hAnsi="Arial"/>
          <w:color w:val="2D3748"/>
          <w:sz w:val="22"/>
        </w:rPr>
        <w:t>The domain of contemporary public grievance reporting encounters systemic structural blockages, specifically concerning real-time complaint tracking and portfolio visibility. Traditional law enforcement operations and legacy portals routinely rely upon outdated manual systems or localized paper frameworks. These methods lack transparency, fail under high-volume reporting, and lead to unbalanced case management. Concurrently, citizens lack analytical dashboards to evaluate real-time case updates, automate evidence intake pipelines, or manage operational communications efficiently. This absence of structural balance and digital visibility leads to increased administrative friction, poor public trust, and communication breakdowns. To resolve these interconnected technical gaps, the engineering cohort targeted the construction of a distributed multi-tenant online registration system to modernize police grievance operations.</w:t>
      </w:r>
    </w:p>
    <w:p>
      <w:pPr>
        <w:pStyle w:val="Heading2"/>
        <w:keepNext/>
        <w:spacing w:before="320" w:after="120"/>
      </w:pPr>
      <w:r>
        <w:rPr>
          <w:rFonts w:ascii="Arial" w:hAnsi="Arial"/>
          <w:b/>
          <w:color w:val="2B6CA3"/>
          <w:sz w:val="26"/>
        </w:rPr>
        <w:t>Ideating the Solution</w:t>
      </w:r>
    </w:p>
    <w:p>
      <w:pPr>
        <w:spacing w:after="120" w:line="288" w:lineRule="auto"/>
      </w:pPr>
      <w:r>
        <w:rPr>
          <w:rFonts w:ascii="Arial" w:hAnsi="Arial"/>
          <w:color w:val="2D3748"/>
          <w:sz w:val="22"/>
        </w:rPr>
        <w:t>The project architecture cohort proposed a distributed full-stack solution utilizing the modern MERN architecture blueprint (MongoDB, Express, React, and Node.js). This web application framework provides a secure, reactive environment that automates user verification, handles real-time complaint logging, and streamlines case records. By decoupling presentation modules from underlying persistent database controllers, the system delivers high transaction throughput and seamless real-time interactions. The application incorporates advanced AI services, such as a Gemini AI integration and priority detectors, to analyze and route complaints dynamically. Furthermore, a visual Incident Map intelligently distributes geospatial data, mitigating administrative bottlenecks during high-volume periods.</w:t>
      </w:r>
    </w:p>
    <w:p>
      <w:pPr>
        <w:pStyle w:val="ListBullet"/>
        <w:spacing w:after="120" w:line="288" w:lineRule="auto"/>
      </w:pPr>
      <w:r>
        <w:rPr>
          <w:rFonts w:ascii="Arial" w:hAnsi="Arial"/>
          <w:color w:val="2D3748"/>
          <w:sz w:val="22"/>
        </w:rPr>
        <w:t>Granular Role-Based Access Control (RBAC) establishing segregated execution contexts for Citizens (Public) and Portal Administrators (Police).</w:t>
      </w:r>
    </w:p>
    <w:p>
      <w:pPr>
        <w:pStyle w:val="ListBullet"/>
        <w:spacing w:after="120" w:line="288" w:lineRule="auto"/>
      </w:pPr>
      <w:r>
        <w:rPr>
          <w:rFonts w:ascii="Arial" w:hAnsi="Arial"/>
          <w:color w:val="2D3748"/>
          <w:sz w:val="22"/>
        </w:rPr>
        <w:t>Tokenized authorization mechanics to isolate, protect, and regulate multi-tenant database records against unauthorized leakages.</w:t>
      </w:r>
    </w:p>
    <w:p>
      <w:pPr>
        <w:pStyle w:val="ListBullet"/>
        <w:spacing w:after="120" w:line="288" w:lineRule="auto"/>
      </w:pPr>
      <w:r>
        <w:rPr>
          <w:rFonts w:ascii="Arial" w:hAnsi="Arial"/>
          <w:color w:val="2D3748"/>
          <w:sz w:val="22"/>
        </w:rPr>
        <w:t>AI-Driven state controllers to prioritize complaints and balance administrative workflows without processing vulnerabilities.</w:t>
      </w:r>
    </w:p>
    <w:p>
      <w:pPr>
        <w:pStyle w:val="Heading2"/>
        <w:keepNext/>
        <w:spacing w:before="320" w:after="120"/>
      </w:pPr>
      <w:r>
        <w:rPr>
          <w:rFonts w:ascii="Arial" w:hAnsi="Arial"/>
          <w:b/>
          <w:color w:val="2B6CA3"/>
          <w:sz w:val="26"/>
        </w:rPr>
        <w:t>Target Users</w:t>
      </w:r>
    </w:p>
    <w:p>
      <w:pPr>
        <w:spacing w:after="120" w:line="288" w:lineRule="auto"/>
      </w:pPr>
      <w:r>
        <w:rPr>
          <w:rFonts w:ascii="Arial" w:hAnsi="Arial"/>
          <w:color w:val="2D3748"/>
          <w:sz w:val="22"/>
        </w:rPr>
        <w:t>The application ecosystem serves core user personas, each operating within specialized interfaces and permission parameters. Citizens require intuitive, fast interfaces to submit complaints, track status, and view incident maps. Platform Administrators (Police/Authorities) operate at the highest privilege tier, utilizing system dashboards and analytics to verify users, audit complaints, monitor system performance, and maintain platform integrity across the entire application lifespan.</w:t>
      </w:r>
    </w:p>
    <w:p>
      <w:pPr>
        <w:pStyle w:val="Heading2"/>
        <w:keepNext/>
        <w:spacing w:before="320" w:after="120"/>
      </w:pPr>
      <w:r>
        <w:rPr>
          <w:rFonts w:ascii="Arial" w:hAnsi="Arial"/>
          <w:b/>
          <w:color w:val="2B6CA3"/>
          <w:sz w:val="26"/>
        </w:rPr>
        <w:t>Ideation Deliverables</w:t>
      </w:r>
    </w:p>
    <w:p>
      <w:pPr>
        <w:spacing w:after="120" w:line="288" w:lineRule="auto"/>
      </w:pPr>
      <w:r>
        <w:rPr>
          <w:rFonts w:ascii="Arial" w:hAnsi="Arial"/>
          <w:color w:val="2D3748"/>
          <w:sz w:val="22"/>
        </w:rPr>
        <w:t>The final ideation outcome established a comprehensive technical problem statement: to architect a resilient, role-stratified digital platform capable of secure complaint registration, real-time status allocations, and integrated AI analysis. The framework ensures data reliability by tracking database state changes deterministically, keeping all user endpoints synchronized with minimum network latency.</w:t>
      </w:r>
    </w:p>
    <w:p>
      <w:pPr>
        <w:pStyle w:val="Heading1"/>
        <w:keepNext/>
        <w:spacing w:before="320" w:after="120"/>
      </w:pPr>
      <w:r>
        <w:rPr>
          <w:rFonts w:ascii="Arial" w:hAnsi="Arial"/>
          <w:b/>
          <w:color w:val="1B365D"/>
          <w:sz w:val="32"/>
        </w:rPr>
        <w:t>Phase 2: Requirement Analysis</w:t>
      </w:r>
    </w:p>
    <w:p>
      <w:pPr>
        <w:pStyle w:val="Heading2"/>
        <w:keepNext/>
        <w:spacing w:before="320" w:after="120"/>
      </w:pPr>
      <w:r>
        <w:rPr>
          <w:rFonts w:ascii="Arial" w:hAnsi="Arial"/>
          <w:b/>
          <w:color w:val="2B6CA3"/>
          <w:sz w:val="26"/>
        </w:rPr>
        <w:t>Technical Requirements</w:t>
      </w:r>
    </w:p>
    <w:p>
      <w:pPr>
        <w:spacing w:after="120" w:line="288" w:lineRule="auto"/>
      </w:pPr>
      <w:r>
        <w:rPr>
          <w:rFonts w:ascii="Arial" w:hAnsi="Arial"/>
          <w:color w:val="2D3748"/>
          <w:sz w:val="22"/>
        </w:rPr>
        <w:t>The system uses a completely decoupled full-stack architecture designed to handle concurrent operations while maintaining data consistency. The structural layout utilizes a single-page application frontend framework to maximize execution speed and responsiveness on user devices. The backend layer runs on an asynchronous event-driven runtime environment, optimizing thread resource consumption during heavy I/O workloads.</w:t>
      </w:r>
    </w:p>
    <w:tbl>
      <w:tblPr>
        <w:tblW w:type="auto" w:w="0"/>
        <w:tblLayout w:type="fixed"/>
        <w:tblLook w:firstColumn="1" w:firstRow="1" w:lastColumn="0" w:lastRow="0" w:noHBand="0" w:noVBand="1" w:val="04A0"/>
      </w:tblPr>
      <w:tblGrid>
        <w:gridCol w:w="3600"/>
        <w:gridCol w:w="5760"/>
      </w:tblGrid>
      <w:tr>
        <w:tc>
          <w:tcPr>
            <w:tcW w:type="dxa" w:w="4680"/>
            <w:tcMar>
              <w:top w:w="120" w:type="dxa"/>
              <w:bottom w:w="120" w:type="dxa"/>
              <w:left w:w="150" w:type="dxa"/>
              <w:right w:w="150" w:type="dxa"/>
            </w:tcMar>
            <w:shd w:fill="1B365D"/>
          </w:tcPr>
          <w:p>
            <w:pPr>
              <w:spacing w:before="40" w:after="40"/>
            </w:pPr>
            <w:r>
              <w:rPr>
                <w:rFonts w:ascii="Arial" w:hAnsi="Arial"/>
                <w:b/>
                <w:color w:val="FFFFFF"/>
                <w:sz w:val="21"/>
              </w:rPr>
              <w:t>Architectural Layer</w:t>
            </w:r>
          </w:p>
        </w:tc>
        <w:tc>
          <w:tcPr>
            <w:tcW w:type="dxa" w:w="4680"/>
            <w:tcMar>
              <w:top w:w="120" w:type="dxa"/>
              <w:bottom w:w="120" w:type="dxa"/>
              <w:left w:w="150" w:type="dxa"/>
              <w:right w:w="150" w:type="dxa"/>
            </w:tcMar>
            <w:shd w:fill="1B365D"/>
          </w:tcPr>
          <w:p>
            <w:pPr>
              <w:spacing w:before="40" w:after="40"/>
            </w:pPr>
            <w:r>
              <w:rPr>
                <w:rFonts w:ascii="Arial" w:hAnsi="Arial"/>
                <w:b/>
                <w:color w:val="FFFFFF"/>
                <w:sz w:val="21"/>
              </w:rPr>
              <w:t>Technological Stack Implemented</w:t>
            </w:r>
          </w:p>
        </w:tc>
      </w:tr>
      <w:tr>
        <w:tc>
          <w:tcPr>
            <w:tcW w:type="dxa" w:w="4680"/>
            <w:tcMar>
              <w:top w:w="120" w:type="dxa"/>
              <w:bottom w:w="120" w:type="dxa"/>
              <w:left w:w="150" w:type="dxa"/>
              <w:right w:w="150" w:type="dxa"/>
            </w:tcMar>
            <w:shd w:fill="FFFFFF"/>
          </w:tcPr>
          <w:p>
            <w:pPr>
              <w:spacing w:before="40" w:after="40"/>
            </w:pPr>
            <w:r>
              <w:rPr>
                <w:rFonts w:ascii="Arial" w:hAnsi="Arial"/>
                <w:color w:val="2D3748"/>
                <w:sz w:val="20"/>
              </w:rPr>
              <w:t>Frontend UI Architecture</w:t>
            </w:r>
          </w:p>
        </w:tc>
        <w:tc>
          <w:tcPr>
            <w:tcW w:type="dxa" w:w="4680"/>
            <w:tcMar>
              <w:top w:w="120" w:type="dxa"/>
              <w:bottom w:w="120" w:type="dxa"/>
              <w:left w:w="150" w:type="dxa"/>
              <w:right w:w="150" w:type="dxa"/>
            </w:tcMar>
            <w:shd w:fill="FFFFFF"/>
          </w:tcPr>
          <w:p>
            <w:pPr>
              <w:spacing w:before="40" w:after="40"/>
            </w:pPr>
            <w:r>
              <w:rPr>
                <w:rFonts w:ascii="Arial" w:hAnsi="Arial"/>
                <w:color w:val="2D3748"/>
                <w:sz w:val="20"/>
              </w:rPr>
              <w:t>React.js (Vite Tooling Ecosystem, Tailwind CSS, i18n support)</w:t>
            </w:r>
          </w:p>
        </w:tc>
      </w:tr>
      <w:tr>
        <w:tc>
          <w:tcPr>
            <w:tcW w:type="dxa" w:w="4680"/>
            <w:tcMar>
              <w:top w:w="120" w:type="dxa"/>
              <w:bottom w:w="120" w:type="dxa"/>
              <w:left w:w="150" w:type="dxa"/>
              <w:right w:w="150" w:type="dxa"/>
            </w:tcMar>
            <w:shd w:fill="F7FAFC"/>
          </w:tcPr>
          <w:p>
            <w:pPr>
              <w:spacing w:before="40" w:after="40"/>
            </w:pPr>
            <w:r>
              <w:rPr>
                <w:rFonts w:ascii="Arial" w:hAnsi="Arial"/>
                <w:color w:val="2D3748"/>
                <w:sz w:val="20"/>
              </w:rPr>
              <w:t>Backend API Routing Engine</w:t>
            </w:r>
          </w:p>
        </w:tc>
        <w:tc>
          <w:tcPr>
            <w:tcW w:type="dxa" w:w="4680"/>
            <w:tcMar>
              <w:top w:w="120" w:type="dxa"/>
              <w:bottom w:w="120" w:type="dxa"/>
              <w:left w:w="150" w:type="dxa"/>
              <w:right w:w="150" w:type="dxa"/>
            </w:tcMar>
            <w:shd w:fill="F7FAFC"/>
          </w:tcPr>
          <w:p>
            <w:pPr>
              <w:spacing w:before="40" w:after="40"/>
            </w:pPr>
            <w:r>
              <w:rPr>
                <w:rFonts w:ascii="Arial" w:hAnsi="Arial"/>
                <w:color w:val="2D3748"/>
                <w:sz w:val="20"/>
              </w:rPr>
              <w:t>Node.js Runtime Environment with Express.js Framework</w:t>
            </w:r>
          </w:p>
        </w:tc>
      </w:tr>
      <w:tr>
        <w:tc>
          <w:tcPr>
            <w:tcW w:type="dxa" w:w="4680"/>
            <w:tcMar>
              <w:top w:w="120" w:type="dxa"/>
              <w:bottom w:w="120" w:type="dxa"/>
              <w:left w:w="150" w:type="dxa"/>
              <w:right w:w="150" w:type="dxa"/>
            </w:tcMar>
            <w:shd w:fill="FFFFFF"/>
          </w:tcPr>
          <w:p>
            <w:pPr>
              <w:spacing w:before="40" w:after="40"/>
            </w:pPr>
            <w:r>
              <w:rPr>
                <w:rFonts w:ascii="Arial" w:hAnsi="Arial"/>
                <w:color w:val="2D3748"/>
                <w:sz w:val="20"/>
              </w:rPr>
              <w:t>Data Persistence Storage</w:t>
            </w:r>
          </w:p>
        </w:tc>
        <w:tc>
          <w:tcPr>
            <w:tcW w:type="dxa" w:w="4680"/>
            <w:tcMar>
              <w:top w:w="120" w:type="dxa"/>
              <w:bottom w:w="120" w:type="dxa"/>
              <w:left w:w="150" w:type="dxa"/>
              <w:right w:w="150" w:type="dxa"/>
            </w:tcMar>
            <w:shd w:fill="FFFFFF"/>
          </w:tcPr>
          <w:p>
            <w:pPr>
              <w:spacing w:before="40" w:after="40"/>
            </w:pPr>
            <w:r>
              <w:rPr>
                <w:rFonts w:ascii="Arial" w:hAnsi="Arial"/>
                <w:color w:val="2D3748"/>
                <w:sz w:val="20"/>
              </w:rPr>
              <w:t>MongoDB (Distributed Cloud Cluster via Mongoose ODM)</w:t>
            </w:r>
          </w:p>
        </w:tc>
      </w:tr>
      <w:tr>
        <w:tc>
          <w:tcPr>
            <w:tcW w:type="dxa" w:w="4680"/>
            <w:tcMar>
              <w:top w:w="120" w:type="dxa"/>
              <w:bottom w:w="120" w:type="dxa"/>
              <w:left w:w="150" w:type="dxa"/>
              <w:right w:w="150" w:type="dxa"/>
            </w:tcMar>
            <w:shd w:fill="F7FAFC"/>
          </w:tcPr>
          <w:p>
            <w:pPr>
              <w:spacing w:before="40" w:after="40"/>
            </w:pPr>
            <w:r>
              <w:rPr>
                <w:rFonts w:ascii="Arial" w:hAnsi="Arial"/>
                <w:color w:val="2D3748"/>
                <w:sz w:val="20"/>
              </w:rPr>
              <w:t>Security &amp; AI Verification</w:t>
            </w:r>
          </w:p>
        </w:tc>
        <w:tc>
          <w:tcPr>
            <w:tcW w:type="dxa" w:w="4680"/>
            <w:tcMar>
              <w:top w:w="120" w:type="dxa"/>
              <w:bottom w:w="120" w:type="dxa"/>
              <w:left w:w="150" w:type="dxa"/>
              <w:right w:w="150" w:type="dxa"/>
            </w:tcMar>
            <w:shd w:fill="F7FAFC"/>
          </w:tcPr>
          <w:p>
            <w:pPr>
              <w:spacing w:before="40" w:after="40"/>
            </w:pPr>
            <w:r>
              <w:rPr>
                <w:rFonts w:ascii="Arial" w:hAnsi="Arial"/>
                <w:color w:val="2D3748"/>
                <w:sz w:val="20"/>
              </w:rPr>
              <w:t>JSON Web Tokens (JWT), Gemini AI Service, Rate Limiter</w:t>
            </w:r>
          </w:p>
        </w:tc>
      </w:tr>
    </w:tbl>
    <w:p>
      <w:pPr>
        <w:pStyle w:val="Heading2"/>
        <w:keepNext/>
        <w:spacing w:before="320" w:after="120"/>
      </w:pPr>
      <w:r>
        <w:rPr>
          <w:rFonts w:ascii="Arial" w:hAnsi="Arial"/>
          <w:b/>
          <w:color w:val="2B6CA3"/>
          <w:sz w:val="26"/>
        </w:rPr>
        <w:t>Functional Requirements</w:t>
      </w:r>
    </w:p>
    <w:p>
      <w:pPr>
        <w:spacing w:after="120" w:line="288" w:lineRule="auto"/>
      </w:pPr>
      <w:r>
        <w:rPr>
          <w:rFonts w:ascii="Arial" w:hAnsi="Arial"/>
          <w:color w:val="2D3748"/>
          <w:sz w:val="22"/>
        </w:rPr>
        <w:t>Functional requirements outline the core operations and automated business rules that the application must execute to ensure smooth performance. The system manages user authentication profiles securely, verifying identities before granting access to sensitive portals.</w:t>
      </w:r>
    </w:p>
    <w:p>
      <w:pPr>
        <w:pStyle w:val="ListBullet"/>
        <w:spacing w:after="120" w:line="288" w:lineRule="auto"/>
      </w:pPr>
      <w:r>
        <w:rPr>
          <w:rFonts w:ascii="Arial" w:hAnsi="Arial"/>
          <w:b/>
          <w:color w:val="2D3748"/>
          <w:sz w:val="22"/>
        </w:rPr>
        <w:t xml:space="preserve">Authentication Security: </w:t>
      </w:r>
      <w:r>
        <w:rPr>
          <w:rFonts w:ascii="Arial" w:hAnsi="Arial"/>
          <w:color w:val="2D3748"/>
          <w:sz w:val="22"/>
        </w:rPr>
        <w:t>Implements stateful user registration and login workflows protected by JWT access tokens and secure hashing middleware.</w:t>
      </w:r>
    </w:p>
    <w:p>
      <w:pPr>
        <w:pStyle w:val="ListBullet"/>
        <w:spacing w:after="120" w:line="288" w:lineRule="auto"/>
      </w:pPr>
      <w:r>
        <w:rPr>
          <w:rFonts w:ascii="Arial" w:hAnsi="Arial"/>
          <w:b/>
          <w:color w:val="2D3748"/>
          <w:sz w:val="22"/>
        </w:rPr>
        <w:t xml:space="preserve">Role-Based Verification: </w:t>
      </w:r>
      <w:r>
        <w:rPr>
          <w:rFonts w:ascii="Arial" w:hAnsi="Arial"/>
          <w:color w:val="2D3748"/>
          <w:sz w:val="22"/>
        </w:rPr>
        <w:t>Restricts data mutations using middleware checks, separating Citizen and Admin operational scopes.</w:t>
      </w:r>
    </w:p>
    <w:p>
      <w:pPr>
        <w:pStyle w:val="ListBullet"/>
        <w:spacing w:after="120" w:line="288" w:lineRule="auto"/>
      </w:pPr>
      <w:r>
        <w:rPr>
          <w:rFonts w:ascii="Arial" w:hAnsi="Arial"/>
          <w:b/>
          <w:color w:val="2D3748"/>
          <w:sz w:val="22"/>
        </w:rPr>
        <w:t xml:space="preserve">Complaint Discovery &amp; Registration: </w:t>
      </w:r>
      <w:r>
        <w:rPr>
          <w:rFonts w:ascii="Arial" w:hAnsi="Arial"/>
          <w:color w:val="2D3748"/>
          <w:sz w:val="22"/>
        </w:rPr>
        <w:t>Advanced routing lets citizens submit evidence, evaluate case status, and utilize multi-language selectors.</w:t>
      </w:r>
    </w:p>
    <w:p>
      <w:pPr>
        <w:pStyle w:val="ListBullet"/>
        <w:spacing w:after="120" w:line="288" w:lineRule="auto"/>
      </w:pPr>
      <w:r>
        <w:rPr>
          <w:rFonts w:ascii="Arial" w:hAnsi="Arial"/>
          <w:b/>
          <w:color w:val="2D3748"/>
          <w:sz w:val="22"/>
        </w:rPr>
        <w:t xml:space="preserve">AI &amp; Map State Machine: </w:t>
      </w:r>
      <w:r>
        <w:rPr>
          <w:rFonts w:ascii="Arial" w:hAnsi="Arial"/>
          <w:color w:val="2D3748"/>
          <w:sz w:val="22"/>
        </w:rPr>
        <w:t>Allows the system to update complaint severity using Priority Detectors and plot them on an Incident Map.</w:t>
      </w:r>
    </w:p>
    <w:p>
      <w:pPr>
        <w:pStyle w:val="ListBullet"/>
        <w:spacing w:after="120" w:line="288" w:lineRule="auto"/>
      </w:pPr>
      <w:r>
        <w:rPr>
          <w:rFonts w:ascii="Arial" w:hAnsi="Arial"/>
          <w:b/>
          <w:color w:val="2D3748"/>
          <w:sz w:val="22"/>
        </w:rPr>
        <w:t xml:space="preserve">Notification Streaming: </w:t>
      </w:r>
      <w:r>
        <w:rPr>
          <w:rFonts w:ascii="Arial" w:hAnsi="Arial"/>
          <w:color w:val="2D3748"/>
          <w:sz w:val="22"/>
        </w:rPr>
        <w:t>Delivers real-time, context-aware user alerts via a Notification Bell component whenever case updates occur on the platform.</w:t>
      </w:r>
    </w:p>
    <w:p>
      <w:pPr>
        <w:pStyle w:val="Heading2"/>
        <w:keepNext/>
        <w:spacing w:before="320" w:after="120"/>
      </w:pPr>
      <w:r>
        <w:rPr>
          <w:rFonts w:ascii="Arial" w:hAnsi="Arial"/>
          <w:b/>
          <w:color w:val="2B6CA3"/>
          <w:sz w:val="26"/>
        </w:rPr>
        <w:t>Constraints and Challenges</w:t>
      </w:r>
    </w:p>
    <w:p>
      <w:pPr>
        <w:pStyle w:val="ListBullet"/>
        <w:spacing w:after="120" w:line="288" w:lineRule="auto"/>
      </w:pPr>
      <w:r>
        <w:rPr>
          <w:rFonts w:ascii="Arial" w:hAnsi="Arial"/>
          <w:color w:val="2D3748"/>
          <w:sz w:val="22"/>
        </w:rPr>
        <w:t>High Concurrency Overlaps: Synchronizing multiple public reports simultaneously requires stable database indexing to avoid submission collisions.</w:t>
      </w:r>
    </w:p>
    <w:p>
      <w:pPr>
        <w:pStyle w:val="ListBullet"/>
        <w:spacing w:after="120" w:line="288" w:lineRule="auto"/>
      </w:pPr>
      <w:r>
        <w:rPr>
          <w:rFonts w:ascii="Arial" w:hAnsi="Arial"/>
          <w:color w:val="2D3748"/>
          <w:sz w:val="22"/>
        </w:rPr>
        <w:t>Data Integrity Standards: Protecting sensitive citizen histories and profile records using strict validation rules and security middleware.</w:t>
      </w:r>
    </w:p>
    <w:p>
      <w:pPr>
        <w:pStyle w:val="ListBullet"/>
        <w:spacing w:after="120" w:line="288" w:lineRule="auto"/>
      </w:pPr>
      <w:r>
        <w:rPr>
          <w:rFonts w:ascii="Arial" w:hAnsi="Arial"/>
          <w:color w:val="2D3748"/>
          <w:sz w:val="22"/>
        </w:rPr>
        <w:t>AI API Latency: Overcoming potential delays from the Gemini AI analysis service by optimizing asynchronous data payload distributions.</w:t>
      </w:r>
    </w:p>
    <w:p>
      <w:pPr>
        <w:pStyle w:val="Heading1"/>
        <w:keepNext/>
        <w:spacing w:before="320" w:after="120"/>
      </w:pPr>
      <w:r>
        <w:rPr>
          <w:rFonts w:ascii="Arial" w:hAnsi="Arial"/>
          <w:b/>
          <w:color w:val="1B365D"/>
          <w:sz w:val="32"/>
        </w:rPr>
        <w:t>Phase 3: Project Design</w:t>
      </w:r>
    </w:p>
    <w:p>
      <w:pPr>
        <w:pStyle w:val="Heading2"/>
        <w:keepNext/>
        <w:spacing w:before="320" w:after="120"/>
      </w:pPr>
      <w:r>
        <w:rPr>
          <w:rFonts w:ascii="Arial" w:hAnsi="Arial"/>
          <w:b/>
          <w:color w:val="2B6CA3"/>
          <w:sz w:val="26"/>
        </w:rPr>
        <w:t>System Architecture</w:t>
      </w:r>
    </w:p>
    <w:p>
      <w:pPr>
        <w:spacing w:after="120" w:line="288" w:lineRule="auto"/>
      </w:pPr>
      <w:r>
        <w:rPr>
          <w:rFonts w:ascii="Arial" w:hAnsi="Arial"/>
          <w:color w:val="2D3748"/>
          <w:sz w:val="22"/>
        </w:rPr>
        <w:t>The platform utilizes a structured three-tier architecture that isolates presentation components, business logic, and database collections. The user interface communicates with the web server exclusively via asynchronous HTTP requests utilizing standardized JSON payloads. The backend tier processes these requests through modular controllers (such as complaintController.js and adminController.js), enforces permissions using custom validation middleware, and runs atomic operations against the data layer to guarantee system consistency.</w:t>
      </w:r>
    </w:p>
    <w:p>
      <w:pPr>
        <w:pStyle w:val="Heading2"/>
        <w:keepNext/>
        <w:spacing w:before="320" w:after="120"/>
      </w:pPr>
      <w:r>
        <w:rPr>
          <w:rFonts w:ascii="Arial" w:hAnsi="Arial"/>
          <w:b/>
          <w:color w:val="2B6CA3"/>
          <w:sz w:val="26"/>
        </w:rPr>
        <w:t>Data Model</w:t>
      </w:r>
    </w:p>
    <w:tbl>
      <w:tblPr>
        <w:tblW w:type="auto" w:w="0"/>
        <w:tblLayout w:type="fixed"/>
        <w:tblLook w:firstColumn="1" w:firstRow="1" w:lastColumn="0" w:lastRow="0" w:noHBand="0" w:noVBand="1" w:val="04A0"/>
      </w:tblPr>
      <w:tblGrid>
        <w:gridCol w:w="3600"/>
        <w:gridCol w:w="5760"/>
      </w:tblGrid>
      <w:tr>
        <w:tc>
          <w:tcPr>
            <w:tcW w:type="dxa" w:w="4680"/>
            <w:tcMar>
              <w:top w:w="120" w:type="dxa"/>
              <w:bottom w:w="120" w:type="dxa"/>
              <w:left w:w="150" w:type="dxa"/>
              <w:right w:w="150" w:type="dxa"/>
            </w:tcMar>
            <w:shd w:fill="1B365D"/>
          </w:tcPr>
          <w:p>
            <w:pPr>
              <w:spacing w:before="40" w:after="40"/>
            </w:pPr>
            <w:r>
              <w:rPr>
                <w:rFonts w:ascii="Arial" w:hAnsi="Arial"/>
                <w:b/>
                <w:color w:val="FFFFFF"/>
                <w:sz w:val="21"/>
              </w:rPr>
              <w:t>Database Entity Collection</w:t>
            </w:r>
          </w:p>
        </w:tc>
        <w:tc>
          <w:tcPr>
            <w:tcW w:type="dxa" w:w="4680"/>
            <w:tcMar>
              <w:top w:w="120" w:type="dxa"/>
              <w:bottom w:w="120" w:type="dxa"/>
              <w:left w:w="150" w:type="dxa"/>
              <w:right w:w="150" w:type="dxa"/>
            </w:tcMar>
            <w:shd w:fill="1B365D"/>
          </w:tcPr>
          <w:p>
            <w:pPr>
              <w:spacing w:before="40" w:after="40"/>
            </w:pPr>
            <w:r>
              <w:rPr>
                <w:rFonts w:ascii="Arial" w:hAnsi="Arial"/>
                <w:b/>
                <w:color w:val="FFFFFF"/>
                <w:sz w:val="21"/>
              </w:rPr>
              <w:t>Primary Core Fields &amp; Relational Mappings</w:t>
            </w:r>
          </w:p>
        </w:tc>
      </w:tr>
      <w:tr>
        <w:tc>
          <w:tcPr>
            <w:tcW w:type="dxa" w:w="4680"/>
            <w:tcMar>
              <w:top w:w="120" w:type="dxa"/>
              <w:bottom w:w="120" w:type="dxa"/>
              <w:left w:w="150" w:type="dxa"/>
              <w:right w:w="150" w:type="dxa"/>
            </w:tcMar>
            <w:shd w:fill="FFFFFF"/>
          </w:tcPr>
          <w:p>
            <w:pPr>
              <w:spacing w:before="40" w:after="40"/>
            </w:pPr>
            <w:r>
              <w:rPr>
                <w:rFonts w:ascii="Arial" w:hAnsi="Arial"/>
                <w:color w:val="2D3748"/>
                <w:sz w:val="20"/>
              </w:rPr>
              <w:t>User Schema</w:t>
            </w:r>
          </w:p>
        </w:tc>
        <w:tc>
          <w:tcPr>
            <w:tcW w:type="dxa" w:w="4680"/>
            <w:tcMar>
              <w:top w:w="120" w:type="dxa"/>
              <w:bottom w:w="120" w:type="dxa"/>
              <w:left w:w="150" w:type="dxa"/>
              <w:right w:w="150" w:type="dxa"/>
            </w:tcMar>
            <w:shd w:fill="FFFFFF"/>
          </w:tcPr>
          <w:p>
            <w:pPr>
              <w:spacing w:before="40" w:after="40"/>
            </w:pPr>
            <w:r>
              <w:rPr>
                <w:rFonts w:ascii="Arial" w:hAnsi="Arial"/>
                <w:color w:val="2D3748"/>
                <w:sz w:val="20"/>
              </w:rPr>
              <w:t>name, email, password, role (citizen / admin), createdAt</w:t>
            </w:r>
          </w:p>
        </w:tc>
      </w:tr>
      <w:tr>
        <w:tc>
          <w:tcPr>
            <w:tcW w:type="dxa" w:w="4680"/>
            <w:tcMar>
              <w:top w:w="120" w:type="dxa"/>
              <w:bottom w:w="120" w:type="dxa"/>
              <w:left w:w="150" w:type="dxa"/>
              <w:right w:w="150" w:type="dxa"/>
            </w:tcMar>
            <w:shd w:fill="F7FAFC"/>
          </w:tcPr>
          <w:p>
            <w:pPr>
              <w:spacing w:before="40" w:after="40"/>
            </w:pPr>
            <w:r>
              <w:rPr>
                <w:rFonts w:ascii="Arial" w:hAnsi="Arial"/>
                <w:color w:val="2D3748"/>
                <w:sz w:val="20"/>
              </w:rPr>
              <w:t>Complaint Schema</w:t>
            </w:r>
          </w:p>
        </w:tc>
        <w:tc>
          <w:tcPr>
            <w:tcW w:type="dxa" w:w="4680"/>
            <w:tcMar>
              <w:top w:w="120" w:type="dxa"/>
              <w:bottom w:w="120" w:type="dxa"/>
              <w:left w:w="150" w:type="dxa"/>
              <w:right w:w="150" w:type="dxa"/>
            </w:tcMar>
            <w:shd w:fill="F7FAFC"/>
          </w:tcPr>
          <w:p>
            <w:pPr>
              <w:spacing w:before="40" w:after="40"/>
            </w:pPr>
            <w:r>
              <w:rPr>
                <w:rFonts w:ascii="Arial" w:hAnsi="Arial"/>
                <w:color w:val="2D3748"/>
                <w:sz w:val="20"/>
              </w:rPr>
              <w:t>complaintId, userId, title, description, priorityLevel, status (pending / active / resolved), timestamps</w:t>
            </w:r>
          </w:p>
        </w:tc>
      </w:tr>
    </w:tbl>
    <w:p>
      <w:pPr>
        <w:pStyle w:val="Heading2"/>
        <w:keepNext/>
        <w:spacing w:before="320" w:after="120"/>
      </w:pPr>
      <w:r>
        <w:rPr>
          <w:rFonts w:ascii="Arial" w:hAnsi="Arial"/>
          <w:b/>
          <w:color w:val="2B6CA3"/>
          <w:sz w:val="26"/>
        </w:rPr>
        <w:t>Complaint Execution and Priority Logic</w:t>
      </w:r>
    </w:p>
    <w:p>
      <w:pPr>
        <w:spacing w:after="120" w:line="288" w:lineRule="auto"/>
      </w:pPr>
      <w:r>
        <w:rPr>
          <w:rFonts w:ascii="Arial" w:hAnsi="Arial"/>
          <w:color w:val="2D3748"/>
          <w:sz w:val="22"/>
        </w:rPr>
        <w:t>The core registration mechanism utilizes an AI-assisted pattern to prevent processing unstructured or low-context reports. When a citizen submits a complaint, the system utilizes the aiService.js and priorityDetector.js to evaluate the text and assign a severity level. If validation passes, the system creates the Complaint document and modifies the Admin's dashboard queue inside an isolated execution block. This deterministic state handling guarantees that the authorities address the most critical incidents first, preserving operational efficiency across the platform.</w:t>
      </w:r>
    </w:p>
    <w:p>
      <w:pPr>
        <w:pStyle w:val="Heading2"/>
        <w:keepNext/>
        <w:spacing w:before="320" w:after="120"/>
      </w:pPr>
      <w:r>
        <w:rPr>
          <w:rFonts w:ascii="Arial" w:hAnsi="Arial"/>
          <w:b/>
          <w:color w:val="2B6CA3"/>
          <w:sz w:val="26"/>
        </w:rPr>
        <w:t>User Flow</w:t>
      </w:r>
    </w:p>
    <w:p>
      <w:pPr>
        <w:spacing w:after="120" w:line="288" w:lineRule="auto"/>
      </w:pPr>
      <w:r>
        <w:rPr>
          <w:rFonts w:ascii="Arial" w:hAnsi="Arial"/>
          <w:color w:val="2D3748"/>
          <w:sz w:val="22"/>
        </w:rPr>
        <w:t>The system user flow guides individuals smoothly through specific operational pathways based on their authenticated access roles. Unregistered users must go through the authentication gateway (LoginPage.jsx / RegisterPage.jsx), providing verified credentials to establish a secure, role-assigned session. Citizens navigate to the SubmitComplaint.jsx page, input their grievance, and track it via the TrackComplaint.jsx portal. System administrators monitor overall operations on the AdminDashboard.jsx, managing user requests via AdminUsers.jsx and auditing cases via AdminAnalytics.jsx to maintain data health.</w:t>
      </w:r>
    </w:p>
    <w:p>
      <w:pPr>
        <w:pStyle w:val="Heading1"/>
        <w:keepNext/>
        <w:spacing w:before="320" w:after="120"/>
      </w:pPr>
      <w:r>
        <w:rPr>
          <w:rFonts w:ascii="Arial" w:hAnsi="Arial"/>
          <w:b/>
          <w:color w:val="1B365D"/>
          <w:sz w:val="32"/>
        </w:rPr>
        <w:t>Phase 4: Project Planning (Agile Methodology)</w:t>
      </w:r>
    </w:p>
    <w:tbl>
      <w:tblPr>
        <w:tblW w:type="auto" w:w="0"/>
        <w:tblLayout w:type="fixed"/>
        <w:tblLook w:firstColumn="1" w:firstRow="1" w:lastColumn="0" w:lastRow="0" w:noHBand="0" w:noVBand="1" w:val="04A0"/>
      </w:tblPr>
      <w:tblGrid>
        <w:gridCol w:w="1728"/>
        <w:gridCol w:w="4320"/>
        <w:gridCol w:w="3312"/>
      </w:tblGrid>
      <w:tr>
        <w:tc>
          <w:tcPr>
            <w:tcW w:type="dxa" w:w="3120"/>
            <w:tcMar>
              <w:top w:w="120" w:type="dxa"/>
              <w:bottom w:w="120" w:type="dxa"/>
              <w:left w:w="150" w:type="dxa"/>
              <w:right w:w="150" w:type="dxa"/>
            </w:tcMar>
            <w:shd w:fill="1B365D"/>
          </w:tcPr>
          <w:p>
            <w:pPr>
              <w:spacing w:before="40" w:after="40"/>
            </w:pPr>
            <w:r>
              <w:rPr>
                <w:rFonts w:ascii="Arial" w:hAnsi="Arial"/>
                <w:b/>
                <w:color w:val="FFFFFF"/>
                <w:sz w:val="21"/>
              </w:rPr>
              <w:t>Week Target</w:t>
            </w:r>
          </w:p>
        </w:tc>
        <w:tc>
          <w:tcPr>
            <w:tcW w:type="dxa" w:w="3120"/>
            <w:tcMar>
              <w:top w:w="120" w:type="dxa"/>
              <w:bottom w:w="120" w:type="dxa"/>
              <w:left w:w="150" w:type="dxa"/>
              <w:right w:w="150" w:type="dxa"/>
            </w:tcMar>
            <w:shd w:fill="1B365D"/>
          </w:tcPr>
          <w:p>
            <w:pPr>
              <w:spacing w:before="40" w:after="40"/>
            </w:pPr>
            <w:r>
              <w:rPr>
                <w:rFonts w:ascii="Arial" w:hAnsi="Arial"/>
                <w:b/>
                <w:color w:val="FFFFFF"/>
                <w:sz w:val="21"/>
              </w:rPr>
              <w:t>Sprint Definition &amp; Active Engineering Objectives</w:t>
            </w:r>
          </w:p>
        </w:tc>
        <w:tc>
          <w:tcPr>
            <w:tcW w:type="dxa" w:w="3120"/>
            <w:tcMar>
              <w:top w:w="120" w:type="dxa"/>
              <w:bottom w:w="120" w:type="dxa"/>
              <w:left w:w="150" w:type="dxa"/>
              <w:right w:w="150" w:type="dxa"/>
            </w:tcMar>
            <w:shd w:fill="1B365D"/>
          </w:tcPr>
          <w:p>
            <w:pPr>
              <w:spacing w:before="40" w:after="40"/>
            </w:pPr>
            <w:r>
              <w:rPr>
                <w:rFonts w:ascii="Arial" w:hAnsi="Arial"/>
                <w:b/>
                <w:color w:val="FFFFFF"/>
                <w:sz w:val="21"/>
              </w:rPr>
              <w:t>Core Functional Milestone Achieved</w:t>
            </w:r>
          </w:p>
        </w:tc>
      </w:tr>
      <w:tr>
        <w:tc>
          <w:tcPr>
            <w:tcW w:type="dxa" w:w="3120"/>
            <w:tcMar>
              <w:top w:w="120" w:type="dxa"/>
              <w:bottom w:w="120" w:type="dxa"/>
              <w:left w:w="150" w:type="dxa"/>
              <w:right w:w="150" w:type="dxa"/>
            </w:tcMar>
            <w:shd w:fill="FFFFFF"/>
          </w:tcPr>
          <w:p>
            <w:pPr>
              <w:spacing w:before="40" w:after="40"/>
            </w:pPr>
            <w:r>
              <w:rPr>
                <w:rFonts w:ascii="Arial" w:hAnsi="Arial"/>
                <w:color w:val="2D3748"/>
                <w:sz w:val="20"/>
              </w:rPr>
              <w:t>Week 1</w:t>
            </w:r>
          </w:p>
        </w:tc>
        <w:tc>
          <w:tcPr>
            <w:tcW w:type="dxa" w:w="3120"/>
            <w:tcMar>
              <w:top w:w="120" w:type="dxa"/>
              <w:bottom w:w="120" w:type="dxa"/>
              <w:left w:w="150" w:type="dxa"/>
              <w:right w:w="150" w:type="dxa"/>
            </w:tcMar>
            <w:shd w:fill="FFFFFF"/>
          </w:tcPr>
          <w:p>
            <w:pPr>
              <w:spacing w:before="40" w:after="40"/>
            </w:pPr>
            <w:r>
              <w:rPr>
                <w:rFonts w:ascii="Arial" w:hAnsi="Arial"/>
                <w:color w:val="2D3748"/>
                <w:sz w:val="20"/>
              </w:rPr>
              <w:t>Requirement finalization, NoSQL data modeling (User.js, Complaint.js), database indexing, and baseline JWT authentication setup.</w:t>
            </w:r>
          </w:p>
        </w:tc>
        <w:tc>
          <w:tcPr>
            <w:tcW w:type="dxa" w:w="3120"/>
            <w:tcMar>
              <w:top w:w="120" w:type="dxa"/>
              <w:bottom w:w="120" w:type="dxa"/>
              <w:left w:w="150" w:type="dxa"/>
              <w:right w:w="150" w:type="dxa"/>
            </w:tcMar>
            <w:shd w:fill="FFFFFF"/>
          </w:tcPr>
          <w:p>
            <w:pPr>
              <w:spacing w:before="40" w:after="40"/>
            </w:pPr>
            <w:r>
              <w:rPr>
                <w:rFonts w:ascii="Arial" w:hAnsi="Arial"/>
                <w:color w:val="2D3748"/>
                <w:sz w:val="20"/>
              </w:rPr>
              <w:t>Working user authorization pipeline and validated schemas.</w:t>
            </w:r>
          </w:p>
        </w:tc>
      </w:tr>
      <w:tr>
        <w:tc>
          <w:tcPr>
            <w:tcW w:type="dxa" w:w="3120"/>
            <w:tcMar>
              <w:top w:w="120" w:type="dxa"/>
              <w:bottom w:w="120" w:type="dxa"/>
              <w:left w:w="150" w:type="dxa"/>
              <w:right w:w="150" w:type="dxa"/>
            </w:tcMar>
            <w:shd w:fill="F7FAFC"/>
          </w:tcPr>
          <w:p>
            <w:pPr>
              <w:spacing w:before="40" w:after="40"/>
            </w:pPr>
            <w:r>
              <w:rPr>
                <w:rFonts w:ascii="Arial" w:hAnsi="Arial"/>
                <w:color w:val="2D3748"/>
                <w:sz w:val="20"/>
              </w:rPr>
              <w:t>Week 2</w:t>
            </w:r>
          </w:p>
        </w:tc>
        <w:tc>
          <w:tcPr>
            <w:tcW w:type="dxa" w:w="3120"/>
            <w:tcMar>
              <w:top w:w="120" w:type="dxa"/>
              <w:bottom w:w="120" w:type="dxa"/>
              <w:left w:w="150" w:type="dxa"/>
              <w:right w:w="150" w:type="dxa"/>
            </w:tcMar>
            <w:shd w:fill="F7FAFC"/>
          </w:tcPr>
          <w:p>
            <w:pPr>
              <w:spacing w:before="40" w:after="40"/>
            </w:pPr>
            <w:r>
              <w:rPr>
                <w:rFonts w:ascii="Arial" w:hAnsi="Arial"/>
                <w:color w:val="2D3748"/>
                <w:sz w:val="20"/>
              </w:rPr>
              <w:t>API routing orchestration, complaint state transitions, Gemini AI integration (geminiAI.js), and role validation middleware.</w:t>
            </w:r>
          </w:p>
        </w:tc>
        <w:tc>
          <w:tcPr>
            <w:tcW w:type="dxa" w:w="3120"/>
            <w:tcMar>
              <w:top w:w="120" w:type="dxa"/>
              <w:bottom w:w="120" w:type="dxa"/>
              <w:left w:w="150" w:type="dxa"/>
              <w:right w:w="150" w:type="dxa"/>
            </w:tcMar>
            <w:shd w:fill="F7FAFC"/>
          </w:tcPr>
          <w:p>
            <w:pPr>
              <w:spacing w:before="40" w:after="40"/>
            </w:pPr>
            <w:r>
              <w:rPr>
                <w:rFonts w:ascii="Arial" w:hAnsi="Arial"/>
                <w:color w:val="2D3748"/>
                <w:sz w:val="20"/>
              </w:rPr>
              <w:t>Functional REST API endpoints with secure role guards and AI.</w:t>
            </w:r>
          </w:p>
        </w:tc>
      </w:tr>
      <w:tr>
        <w:tc>
          <w:tcPr>
            <w:tcW w:type="dxa" w:w="3120"/>
            <w:tcMar>
              <w:top w:w="120" w:type="dxa"/>
              <w:bottom w:w="120" w:type="dxa"/>
              <w:left w:w="150" w:type="dxa"/>
              <w:right w:w="150" w:type="dxa"/>
            </w:tcMar>
            <w:shd w:fill="FFFFFF"/>
          </w:tcPr>
          <w:p>
            <w:pPr>
              <w:spacing w:before="40" w:after="40"/>
            </w:pPr>
            <w:r>
              <w:rPr>
                <w:rFonts w:ascii="Arial" w:hAnsi="Arial"/>
                <w:color w:val="2D3748"/>
                <w:sz w:val="20"/>
              </w:rPr>
              <w:t>Week 3</w:t>
            </w:r>
          </w:p>
        </w:tc>
        <w:tc>
          <w:tcPr>
            <w:tcW w:type="dxa" w:w="3120"/>
            <w:tcMar>
              <w:top w:w="120" w:type="dxa"/>
              <w:bottom w:w="120" w:type="dxa"/>
              <w:left w:w="150" w:type="dxa"/>
              <w:right w:w="150" w:type="dxa"/>
            </w:tcMar>
            <w:shd w:fill="FFFFFF"/>
          </w:tcPr>
          <w:p>
            <w:pPr>
              <w:spacing w:before="40" w:after="40"/>
            </w:pPr>
            <w:r>
              <w:rPr>
                <w:rFonts w:ascii="Arial" w:hAnsi="Arial"/>
                <w:color w:val="2D3748"/>
                <w:sz w:val="20"/>
              </w:rPr>
              <w:t>Frontend UI assembly, asynchronous state integrations (Context API), Incident Map, and Chatbot components (AIChatbot.jsx).</w:t>
            </w:r>
          </w:p>
        </w:tc>
        <w:tc>
          <w:tcPr>
            <w:tcW w:type="dxa" w:w="3120"/>
            <w:tcMar>
              <w:top w:w="120" w:type="dxa"/>
              <w:bottom w:w="120" w:type="dxa"/>
              <w:left w:w="150" w:type="dxa"/>
              <w:right w:w="150" w:type="dxa"/>
            </w:tcMar>
            <w:shd w:fill="FFFFFF"/>
          </w:tcPr>
          <w:p>
            <w:pPr>
              <w:spacing w:before="40" w:after="40"/>
            </w:pPr>
            <w:r>
              <w:rPr>
                <w:rFonts w:ascii="Arial" w:hAnsi="Arial"/>
                <w:color w:val="2D3748"/>
                <w:sz w:val="20"/>
              </w:rPr>
              <w:t>Connected client dashboard interfaces rendering live server data.</w:t>
            </w:r>
          </w:p>
        </w:tc>
      </w:tr>
      <w:tr>
        <w:tc>
          <w:tcPr>
            <w:tcW w:type="dxa" w:w="3120"/>
            <w:tcMar>
              <w:top w:w="120" w:type="dxa"/>
              <w:bottom w:w="120" w:type="dxa"/>
              <w:left w:w="150" w:type="dxa"/>
              <w:right w:w="150" w:type="dxa"/>
            </w:tcMar>
            <w:shd w:fill="F7FAFC"/>
          </w:tcPr>
          <w:p>
            <w:pPr>
              <w:spacing w:before="40" w:after="40"/>
            </w:pPr>
            <w:r>
              <w:rPr>
                <w:rFonts w:ascii="Arial" w:hAnsi="Arial"/>
                <w:color w:val="2D3748"/>
                <w:sz w:val="20"/>
              </w:rPr>
              <w:t>Week 4</w:t>
            </w:r>
          </w:p>
        </w:tc>
        <w:tc>
          <w:tcPr>
            <w:tcW w:type="dxa" w:w="3120"/>
            <w:tcMar>
              <w:top w:w="120" w:type="dxa"/>
              <w:bottom w:w="120" w:type="dxa"/>
              <w:left w:w="150" w:type="dxa"/>
              <w:right w:w="150" w:type="dxa"/>
            </w:tcMar>
            <w:shd w:fill="F7FAFC"/>
          </w:tcPr>
          <w:p>
            <w:pPr>
              <w:spacing w:before="40" w:after="40"/>
            </w:pPr>
            <w:r>
              <w:rPr>
                <w:rFonts w:ascii="Arial" w:hAnsi="Arial"/>
                <w:color w:val="2D3748"/>
                <w:sz w:val="20"/>
              </w:rPr>
              <w:t>Comprehensive integration testing, Vite build optimization (vite.config.js), cloud engine optimization, and system documentation.</w:t>
            </w:r>
          </w:p>
        </w:tc>
        <w:tc>
          <w:tcPr>
            <w:tcW w:type="dxa" w:w="3120"/>
            <w:tcMar>
              <w:top w:w="120" w:type="dxa"/>
              <w:bottom w:w="120" w:type="dxa"/>
              <w:left w:w="150" w:type="dxa"/>
              <w:right w:w="150" w:type="dxa"/>
            </w:tcMar>
            <w:shd w:fill="F7FAFC"/>
          </w:tcPr>
          <w:p>
            <w:pPr>
              <w:spacing w:before="40" w:after="40"/>
            </w:pPr>
            <w:r>
              <w:rPr>
                <w:rFonts w:ascii="Arial" w:hAnsi="Arial"/>
                <w:color w:val="2D3748"/>
                <w:sz w:val="20"/>
              </w:rPr>
              <w:t>Fully deployed multi-tenant ecosystem with finalized documentation.</w:t>
            </w:r>
          </w:p>
        </w:tc>
      </w:tr>
    </w:tbl>
    <w:p>
      <w:pPr>
        <w:pStyle w:val="Heading2"/>
        <w:keepNext/>
        <w:spacing w:before="320" w:after="120"/>
      </w:pPr>
      <w:r>
        <w:rPr>
          <w:rFonts w:ascii="Arial" w:hAnsi="Arial"/>
          <w:b/>
          <w:color w:val="2B6CA3"/>
          <w:sz w:val="26"/>
        </w:rPr>
        <w:t>Risk Awareness and Backup Plans</w:t>
      </w:r>
    </w:p>
    <w:p>
      <w:pPr>
        <w:pStyle w:val="ListBullet"/>
        <w:spacing w:after="120" w:line="288" w:lineRule="auto"/>
      </w:pPr>
      <w:r>
        <w:rPr>
          <w:rFonts w:ascii="Arial" w:hAnsi="Arial"/>
          <w:color w:val="2D3748"/>
          <w:sz w:val="22"/>
        </w:rPr>
        <w:t>Incomplete Submissions: Middleware upload checkers (uploadMiddleware.js) verify evidence files and text lengths before modifying database records.</w:t>
      </w:r>
    </w:p>
    <w:p>
      <w:pPr>
        <w:pStyle w:val="ListBullet"/>
        <w:spacing w:after="120" w:line="288" w:lineRule="auto"/>
      </w:pPr>
      <w:r>
        <w:rPr>
          <w:rFonts w:ascii="Arial" w:hAnsi="Arial"/>
          <w:color w:val="2D3748"/>
          <w:sz w:val="22"/>
        </w:rPr>
        <w:t>Security Breaches: Secure auth middleware isolates user records, rendering leaked data blocks unusable to external malicious entities.</w:t>
      </w:r>
    </w:p>
    <w:p>
      <w:pPr>
        <w:pStyle w:val="ListBullet"/>
        <w:spacing w:after="120" w:line="288" w:lineRule="auto"/>
      </w:pPr>
      <w:r>
        <w:rPr>
          <w:rFonts w:ascii="Arial" w:hAnsi="Arial"/>
          <w:color w:val="2D3748"/>
          <w:sz w:val="22"/>
        </w:rPr>
        <w:t>Scale Limitations: Highly modular backend route modeling (authRoutes.js, complaintRoutes.js) permits clean structural additions without breaking existing application APIs.</w:t>
      </w:r>
    </w:p>
    <w:p>
      <w:pPr>
        <w:pStyle w:val="Heading1"/>
        <w:keepNext/>
        <w:spacing w:before="320" w:after="120"/>
      </w:pPr>
      <w:r>
        <w:rPr>
          <w:rFonts w:ascii="Arial" w:hAnsi="Arial"/>
          <w:b/>
          <w:color w:val="1B365D"/>
          <w:sz w:val="32"/>
        </w:rPr>
        <w:t>Phase 5: Project Development</w:t>
      </w:r>
    </w:p>
    <w:p>
      <w:pPr>
        <w:pStyle w:val="Heading2"/>
        <w:keepNext/>
        <w:spacing w:before="320" w:after="120"/>
      </w:pPr>
      <w:r>
        <w:rPr>
          <w:rFonts w:ascii="Arial" w:hAnsi="Arial"/>
          <w:b/>
          <w:color w:val="2B6CA3"/>
          <w:sz w:val="26"/>
        </w:rPr>
        <w:t>Backend Development &amp; Coding Infrastructure</w:t>
      </w:r>
    </w:p>
    <w:p>
      <w:pPr>
        <w:spacing w:after="120" w:line="288" w:lineRule="auto"/>
      </w:pPr>
      <w:r>
        <w:rPr>
          <w:rFonts w:ascii="Arial" w:hAnsi="Arial"/>
          <w:color w:val="2D3748"/>
          <w:sz w:val="22"/>
        </w:rPr>
        <w:t>The application backend runs on an asynchronous event-driven JavaScript environment, providing high scaling capabilities and efficient resource handling. Database interaction is managed via Mongoose models, which standardize validation rules and ensure structured query execution.</w:t>
      </w:r>
    </w:p>
    <w:p>
      <w:pPr>
        <w:spacing w:after="120" w:line="288" w:lineRule="auto"/>
      </w:pPr>
      <w:r>
        <w:rPr>
          <w:rFonts w:ascii="Arial" w:hAnsi="Arial"/>
          <w:color w:val="2D3748"/>
          <w:sz w:val="22"/>
        </w:rPr>
        <w:t>Below is a representative backend logic routing module handling secure complaint submission (complaintController.js):</w:t>
      </w:r>
    </w:p>
    <w:p>
      <w:pPr>
        <w:spacing w:before="120" w:after="120"/>
        <w:ind w:left="576"/>
        <w:pBdr>
          <w:left w:val="single" w:sz="24" w:space="4" w:color="A0AEC0"/>
        </w:pBdr>
        <w:shd w:fill="F7FAFC"/>
      </w:pPr>
      <w:r>
        <w:rPr>
          <w:rFonts w:ascii="Courier New" w:hAnsi="Courier New"/>
          <w:color w:val="2D3748"/>
          <w:sz w:val="19"/>
        </w:rPr>
        <w:t>const Complaint = require('../models/Complaint');</w:t>
        <w:br/>
        <w:t>const priorityDetector = require('../utils/priorityDetector');</w:t>
        <w:br/>
        <w:br/>
        <w:t>exports.submitComplaint = async (req, res) =&gt; {</w:t>
        <w:br/>
        <w:t xml:space="preserve">  try {</w:t>
        <w:br/>
        <w:t xml:space="preserve">    const { title, description, category, location } = req.body;</w:t>
        <w:br/>
        <w:t xml:space="preserve">    </w:t>
        <w:br/>
        <w:t xml:space="preserve">    // AI Priority Detection</w:t>
        <w:br/>
        <w:t xml:space="preserve">    const priority = await priorityDetector.analyzeSeverity(description);</w:t>
        <w:br/>
        <w:br/>
        <w:t xml:space="preserve">    const complaint = await Complaint.create({</w:t>
        <w:br/>
        <w:t xml:space="preserve">      userId: req.user.id,</w:t>
        <w:br/>
        <w:t xml:space="preserve">      title,</w:t>
        <w:br/>
        <w:t xml:space="preserve">      description,</w:t>
        <w:br/>
        <w:t xml:space="preserve">      category,</w:t>
        <w:br/>
        <w:t xml:space="preserve">      location,</w:t>
        <w:br/>
        <w:t xml:space="preserve">      priorityLevel: priority,</w:t>
        <w:br/>
        <w:t xml:space="preserve">      status: 'pending'</w:t>
        <w:br/>
        <w:t xml:space="preserve">    });</w:t>
        <w:br/>
        <w:br/>
        <w:t xml:space="preserve">    res.status(201).json({ success: true, message: 'Complaint registered successfully', data: complaint });</w:t>
        <w:br/>
        <w:t xml:space="preserve">  } catch (error) {</w:t>
        <w:br/>
        <w:t xml:space="preserve">    res.status(500).json({ success: false, message: 'Server error processing complaint', error: error.message });</w:t>
        <w:br/>
        <w:t xml:space="preserve">  }</w:t>
        <w:br/>
        <w:t>};</w:t>
      </w:r>
    </w:p>
    <w:p>
      <w:pPr>
        <w:pStyle w:val="Heading2"/>
        <w:keepNext/>
        <w:spacing w:before="320" w:after="120"/>
      </w:pPr>
      <w:r>
        <w:rPr>
          <w:rFonts w:ascii="Arial" w:hAnsi="Arial"/>
          <w:b/>
          <w:color w:val="2B6CA3"/>
          <w:sz w:val="26"/>
        </w:rPr>
        <w:t>Frontend Development &amp; Interface Components</w:t>
      </w:r>
    </w:p>
    <w:p>
      <w:pPr>
        <w:spacing w:after="120" w:line="288" w:lineRule="auto"/>
      </w:pPr>
      <w:r>
        <w:rPr>
          <w:rFonts w:ascii="Arial" w:hAnsi="Arial"/>
          <w:color w:val="2D3748"/>
          <w:sz w:val="22"/>
        </w:rPr>
        <w:t>The application frontend is structured as a single-page React application (using Vite) focused on high interface speed and clear component separation. Network requests use standard API services configured with context providers to inject session tokens seamlessly (AuthContext.jsx). The system layout updates components dynamically based on authenticated states.</w:t>
      </w:r>
    </w:p>
    <w:p>
      <w:pPr>
        <w:spacing w:after="120" w:line="288" w:lineRule="auto"/>
      </w:pPr>
      <w:r>
        <w:rPr>
          <w:rFonts w:ascii="Arial" w:hAnsi="Arial"/>
          <w:color w:val="2D3748"/>
          <w:sz w:val="22"/>
        </w:rPr>
        <w:t>Below is a representative baseline application entry and secure route configuration layout (App.jsx):</w:t>
      </w:r>
    </w:p>
    <w:p>
      <w:pPr>
        <w:spacing w:before="120" w:after="120"/>
        <w:ind w:left="576"/>
        <w:pBdr>
          <w:left w:val="single" w:sz="24" w:space="4" w:color="A0AEC0"/>
        </w:pBdr>
        <w:shd w:fill="F7FAFC"/>
      </w:pPr>
      <w:r>
        <w:rPr>
          <w:rFonts w:ascii="Courier New" w:hAnsi="Courier New"/>
          <w:color w:val="2D3748"/>
          <w:sz w:val="19"/>
        </w:rPr>
        <w:t>import React from 'react';</w:t>
        <w:br/>
        <w:t>import { BrowserRouter as Router, Routes, Route } from 'react-router-dom';</w:t>
        <w:br/>
        <w:t>import LoginPage from './pages/public/LoginPage';</w:t>
        <w:br/>
        <w:t>import RegisterPage from './pages/public/RegisterPage';</w:t>
        <w:br/>
        <w:t>import CitizenDashboard from './pages/citizen/CitizenDashboard';</w:t>
        <w:br/>
        <w:t>import AdminDashboard from './pages/admin/AdminDashboard';</w:t>
        <w:br/>
        <w:t>import ProtectedRoute from './components/common/ProtectedRoute';</w:t>
        <w:br/>
        <w:br/>
        <w:t>function App() {</w:t>
        <w:br/>
        <w:t xml:space="preserve">  return (</w:t>
        <w:br/>
        <w:t xml:space="preserve">    &lt;Router&gt;</w:t>
        <w:br/>
        <w:t xml:space="preserve">      &lt;div className="app-container"&gt;</w:t>
        <w:br/>
        <w:t xml:space="preserve">        &lt;Routes&gt;</w:t>
        <w:br/>
        <w:t xml:space="preserve">          &lt;Route path="/login" element={&lt;LoginPage /&gt;} /&gt;</w:t>
        <w:br/>
        <w:t xml:space="preserve">          &lt;Route path="/register" element={&lt;RegisterPage /&gt;} /&gt;</w:t>
        <w:br/>
        <w:t xml:space="preserve">          &lt;Route path="/dashboard" element={</w:t>
        <w:br/>
        <w:t xml:space="preserve">            &lt;ProtectedRoute allowedRoles={['citizen']}&gt;</w:t>
        <w:br/>
        <w:t xml:space="preserve">              &lt;CitizenDashboard /&gt;</w:t>
        <w:br/>
        <w:t xml:space="preserve">            &lt;/ProtectedRoute&gt;</w:t>
        <w:br/>
        <w:t xml:space="preserve">          } /&gt;</w:t>
        <w:br/>
        <w:t xml:space="preserve">          &lt;Route path="/admin/dashboard" element={</w:t>
        <w:br/>
        <w:t xml:space="preserve">            &lt;ProtectedRoute allowedRoles={['admin']}&gt;</w:t>
        <w:br/>
        <w:t xml:space="preserve">              &lt;AdminDashboard /&gt;</w:t>
        <w:br/>
        <w:t xml:space="preserve">            &lt;/ProtectedRoute&gt;</w:t>
        <w:br/>
        <w:t xml:space="preserve">          } /&gt;</w:t>
        <w:br/>
        <w:t xml:space="preserve">        &lt;/Routes&gt;</w:t>
        <w:br/>
        <w:t xml:space="preserve">      &lt;/div&gt;</w:t>
        <w:br/>
        <w:t xml:space="preserve">    &lt;/Router&gt;</w:t>
        <w:br/>
        <w:t xml:space="preserve">  );</w:t>
        <w:br/>
        <w:t>}</w:t>
        <w:br/>
        <w:br/>
        <w:t>export default App;</w:t>
      </w:r>
    </w:p>
    <w:p>
      <w:pPr>
        <w:pStyle w:val="Heading2"/>
        <w:keepNext/>
        <w:spacing w:before="320" w:after="120"/>
      </w:pPr>
      <w:r>
        <w:rPr>
          <w:rFonts w:ascii="Arial" w:hAnsi="Arial"/>
          <w:b/>
          <w:color w:val="2B6CA3"/>
          <w:sz w:val="26"/>
        </w:rPr>
        <w:t>Deployment Setup and Operations</w:t>
      </w:r>
    </w:p>
    <w:p>
      <w:pPr>
        <w:spacing w:after="120" w:line="288" w:lineRule="auto"/>
      </w:pPr>
      <w:r>
        <w:rPr>
          <w:rFonts w:ascii="Arial" w:hAnsi="Arial"/>
          <w:color w:val="2D3748"/>
          <w:sz w:val="22"/>
        </w:rPr>
        <w:t>The application ecosystem utilizes a distributed cloud approach to maintain separate execution environments for frontend assets and backend APIs. The frontend package is built into optimized static distributions using Vite and served via global delivery networks. The backend node engine runs within an isolated runtime container connected directly to a MongoDB Atlas cluster.</w:t>
      </w:r>
    </w:p>
    <w:p>
      <w:pPr>
        <w:pStyle w:val="Heading2"/>
        <w:keepNext/>
        <w:spacing w:before="320" w:after="120"/>
      </w:pPr>
      <w:r>
        <w:rPr>
          <w:rFonts w:ascii="Arial" w:hAnsi="Arial"/>
          <w:b/>
          <w:color w:val="2B6CA3"/>
          <w:sz w:val="26"/>
        </w:rPr>
        <w:t>Challenges Faced During Development</w:t>
      </w:r>
    </w:p>
    <w:p>
      <w:pPr>
        <w:pStyle w:val="ListBullet"/>
        <w:spacing w:after="120" w:line="288" w:lineRule="auto"/>
      </w:pPr>
      <w:r>
        <w:rPr>
          <w:rFonts w:ascii="Arial" w:hAnsi="Arial"/>
          <w:color w:val="2D3748"/>
          <w:sz w:val="22"/>
        </w:rPr>
        <w:t>AI Context Analysis: Resolved by fine-tuning prompts in the geminiAI.js service to accurately classify public grievance severity without false positives.</w:t>
      </w:r>
    </w:p>
    <w:p>
      <w:pPr>
        <w:pStyle w:val="ListBullet"/>
        <w:spacing w:after="120" w:line="288" w:lineRule="auto"/>
      </w:pPr>
      <w:r>
        <w:rPr>
          <w:rFonts w:ascii="Arial" w:hAnsi="Arial"/>
          <w:color w:val="2D3748"/>
          <w:sz w:val="22"/>
        </w:rPr>
        <w:t>Geospatial Data Rendering: Standardized map coordinates inside the IncidentMap.jsx component to ensure accurate plotting of public complaints.</w:t>
      </w:r>
    </w:p>
    <w:p>
      <w:pPr>
        <w:pStyle w:val="ListBullet"/>
        <w:spacing w:after="120" w:line="288" w:lineRule="auto"/>
      </w:pPr>
      <w:r>
        <w:rPr>
          <w:rFonts w:ascii="Arial" w:hAnsi="Arial"/>
          <w:color w:val="2D3748"/>
          <w:sz w:val="22"/>
        </w:rPr>
        <w:t>UI Localization: Implemented a robust i18n.js service and LanguageSelector.jsx to dynamically switch languages without reloading the application state.</w:t>
      </w:r>
    </w:p>
    <w:p>
      <w:pPr>
        <w:pStyle w:val="Heading1"/>
        <w:keepNext/>
        <w:spacing w:before="320" w:after="120"/>
      </w:pPr>
      <w:r>
        <w:rPr>
          <w:rFonts w:ascii="Arial" w:hAnsi="Arial"/>
          <w:b/>
          <w:color w:val="1B365D"/>
          <w:sz w:val="32"/>
        </w:rPr>
        <w:t>Phase 6: Functional &amp; Performance Testing</w:t>
      </w:r>
    </w:p>
    <w:p>
      <w:pPr>
        <w:pStyle w:val="Heading2"/>
        <w:keepNext/>
        <w:spacing w:before="320" w:after="120"/>
      </w:pPr>
      <w:r>
        <w:rPr>
          <w:rFonts w:ascii="Arial" w:hAnsi="Arial"/>
          <w:b/>
          <w:color w:val="2B6CA3"/>
          <w:sz w:val="26"/>
        </w:rPr>
        <w:t>Functional Testing</w:t>
      </w:r>
    </w:p>
    <w:p>
      <w:pPr>
        <w:pStyle w:val="ListBullet"/>
        <w:spacing w:after="120" w:line="288" w:lineRule="auto"/>
      </w:pPr>
      <w:r>
        <w:rPr>
          <w:rFonts w:ascii="Arial" w:hAnsi="Arial"/>
          <w:color w:val="2D3748"/>
          <w:sz w:val="22"/>
        </w:rPr>
        <w:t>Authentication Flows: Verified registration, login validations, and token issuance mechanics across citizen and admin profiles.</w:t>
      </w:r>
    </w:p>
    <w:p>
      <w:pPr>
        <w:pStyle w:val="ListBullet"/>
        <w:spacing w:after="120" w:line="288" w:lineRule="auto"/>
      </w:pPr>
      <w:r>
        <w:rPr>
          <w:rFonts w:ascii="Arial" w:hAnsi="Arial"/>
          <w:color w:val="2D3748"/>
          <w:sz w:val="22"/>
        </w:rPr>
        <w:t>Role Guard Restrictions: Confirmed that citizen accounts attempting to access AdminAnalytics.jsx or AdminUsers.jsx are blocked by the ProtectedRoute.jsx components.</w:t>
      </w:r>
    </w:p>
    <w:p>
      <w:pPr>
        <w:pStyle w:val="ListBullet"/>
        <w:spacing w:after="120" w:line="288" w:lineRule="auto"/>
      </w:pPr>
      <w:r>
        <w:rPr>
          <w:rFonts w:ascii="Arial" w:hAnsi="Arial"/>
          <w:color w:val="2D3748"/>
          <w:sz w:val="22"/>
        </w:rPr>
        <w:t>AI Priority Edge Cases: Simulated various complaint descriptions to confirm the priorityDetector.js correctly flags critical emergencies versus standard requests.</w:t>
      </w:r>
    </w:p>
    <w:p>
      <w:pPr>
        <w:pStyle w:val="Heading2"/>
        <w:keepNext/>
        <w:spacing w:before="320" w:after="120"/>
      </w:pPr>
      <w:r>
        <w:rPr>
          <w:rFonts w:ascii="Arial" w:hAnsi="Arial"/>
          <w:b/>
          <w:color w:val="2B6CA3"/>
          <w:sz w:val="26"/>
        </w:rPr>
        <w:t>Performance &amp; Reliability Testing</w:t>
      </w:r>
    </w:p>
    <w:p>
      <w:pPr>
        <w:pStyle w:val="ListBullet"/>
        <w:spacing w:after="120" w:line="288" w:lineRule="auto"/>
      </w:pPr>
      <w:r>
        <w:rPr>
          <w:rFonts w:ascii="Arial" w:hAnsi="Arial"/>
          <w:color w:val="2D3748"/>
          <w:sz w:val="22"/>
        </w:rPr>
        <w:t>API Execution: Confirmed average query response times remain stable under typical operating conditions using optimized DB indexes.</w:t>
      </w:r>
    </w:p>
    <w:p>
      <w:pPr>
        <w:pStyle w:val="ListBullet"/>
        <w:spacing w:after="120" w:line="288" w:lineRule="auto"/>
      </w:pPr>
      <w:r>
        <w:rPr>
          <w:rFonts w:ascii="Arial" w:hAnsi="Arial"/>
          <w:color w:val="2D3748"/>
          <w:sz w:val="22"/>
        </w:rPr>
        <w:t>AI Integration Limits: Handled rate limiting via rateLimiter.js middleware to ensure third-party AI APIs do not exceed their query quotas during peak times.</w:t>
      </w:r>
    </w:p>
    <w:p>
      <w:pPr>
        <w:pStyle w:val="ListBullet"/>
        <w:spacing w:after="120" w:line="288" w:lineRule="auto"/>
      </w:pPr>
      <w:r>
        <w:rPr>
          <w:rFonts w:ascii="Arial" w:hAnsi="Arial"/>
          <w:color w:val="2D3748"/>
          <w:sz w:val="22"/>
        </w:rPr>
        <w:t>Authentication Capacity: Confirmed authMiddleware.js verifies continuous token streams without memory leaks.</w:t>
      </w:r>
    </w:p>
    <w:p>
      <w:pPr>
        <w:pStyle w:val="Heading2"/>
        <w:keepNext/>
        <w:spacing w:before="320" w:after="120"/>
      </w:pPr>
      <w:r>
        <w:rPr>
          <w:rFonts w:ascii="Arial" w:hAnsi="Arial"/>
          <w:b/>
          <w:color w:val="2B6CA3"/>
          <w:sz w:val="26"/>
        </w:rPr>
        <w:t>Known Limitations</w:t>
      </w:r>
    </w:p>
    <w:p>
      <w:pPr>
        <w:pStyle w:val="ListBullet"/>
        <w:spacing w:after="120" w:line="288" w:lineRule="auto"/>
      </w:pPr>
      <w:r>
        <w:rPr>
          <w:rFonts w:ascii="Arial" w:hAnsi="Arial"/>
          <w:color w:val="2D3748"/>
          <w:sz w:val="22"/>
        </w:rPr>
        <w:t>Map Rendering Loads: Loading a high density of points on the Incident Map may require further clustering optimizations on lower-end devices.</w:t>
      </w:r>
    </w:p>
    <w:p>
      <w:pPr>
        <w:pStyle w:val="ListBullet"/>
        <w:spacing w:after="120" w:line="288" w:lineRule="auto"/>
      </w:pPr>
      <w:r>
        <w:rPr>
          <w:rFonts w:ascii="Arial" w:hAnsi="Arial"/>
          <w:color w:val="2D3748"/>
          <w:sz w:val="22"/>
        </w:rPr>
        <w:t>Offline Support: Complaint submission relies on active internet states; progressive web app (PWA) caching features are needed for offline drafting.</w:t>
      </w:r>
    </w:p>
    <w:p>
      <w:pPr>
        <w:pStyle w:val="Heading1"/>
        <w:keepNext/>
        <w:spacing w:before="320" w:after="120"/>
      </w:pPr>
      <w:r>
        <w:rPr>
          <w:rFonts w:ascii="Arial" w:hAnsi="Arial"/>
          <w:b/>
          <w:color w:val="1B365D"/>
          <w:sz w:val="32"/>
        </w:rPr>
        <w:t>Conclusion</w:t>
      </w:r>
    </w:p>
    <w:p>
      <w:pPr>
        <w:pStyle w:val="ListBullet"/>
        <w:spacing w:after="120" w:line="288" w:lineRule="auto"/>
      </w:pPr>
      <w:r>
        <w:rPr>
          <w:rFonts w:ascii="Arial" w:hAnsi="Arial"/>
          <w:color w:val="2D3748"/>
          <w:sz w:val="22"/>
        </w:rPr>
        <w:t>Effective Framework: The decoupled MERN stack modernizes administrative workflows within public grievance networks.</w:t>
      </w:r>
    </w:p>
    <w:p>
      <w:pPr>
        <w:pStyle w:val="ListBullet"/>
        <w:spacing w:after="120" w:line="288" w:lineRule="auto"/>
      </w:pPr>
      <w:r>
        <w:rPr>
          <w:rFonts w:ascii="Arial" w:hAnsi="Arial"/>
          <w:color w:val="2D3748"/>
          <w:sz w:val="22"/>
        </w:rPr>
        <w:t>Reduced Friction: Stateful complaint structures replace manual ledger methods, removing processing delays and automating data distribution.</w:t>
      </w:r>
    </w:p>
    <w:p>
      <w:pPr>
        <w:pStyle w:val="ListBullet"/>
        <w:spacing w:after="120" w:line="288" w:lineRule="auto"/>
      </w:pPr>
      <w:r>
        <w:rPr>
          <w:rFonts w:ascii="Arial" w:hAnsi="Arial"/>
          <w:color w:val="2D3748"/>
          <w:sz w:val="22"/>
        </w:rPr>
        <w:t>Secure Isolation &amp; AI: Role-based security layers combined with AI-driven priority controllers guarantee safe data isolation and optimized law enforcement resource use.</w:t>
      </w:r>
    </w:p>
    <w:p>
      <w:pPr>
        <w:pStyle w:val="ListBullet"/>
        <w:spacing w:after="120" w:line="288" w:lineRule="auto"/>
      </w:pPr>
      <w:r>
        <w:rPr>
          <w:rFonts w:ascii="Arial" w:hAnsi="Arial"/>
          <w:color w:val="2D3748"/>
          <w:sz w:val="22"/>
        </w:rPr>
        <w:t>Production-Ready Outcome: The architecture delivers an efficient, secure ecosystem that minimizes overhead and improves citizen transparency.</w:t>
      </w:r>
    </w:p>
    <w:p>
      <w:pPr>
        <w:pStyle w:val="Heading1"/>
        <w:keepNext/>
        <w:spacing w:before="320" w:after="120"/>
      </w:pPr>
      <w:r>
        <w:rPr>
          <w:rFonts w:ascii="Arial" w:hAnsi="Arial"/>
          <w:b/>
          <w:color w:val="1B365D"/>
          <w:sz w:val="32"/>
        </w:rPr>
        <w:t>References</w:t>
      </w:r>
    </w:p>
    <w:p>
      <w:pPr>
        <w:spacing w:after="120" w:line="288" w:lineRule="auto"/>
      </w:pPr>
      <w:r>
        <w:rPr>
          <w:rFonts w:ascii="Arial" w:hAnsi="Arial"/>
          <w:color w:val="2D3748"/>
          <w:sz w:val="22"/>
        </w:rPr>
        <w:t>For further context regarding software specifications, installation guidelines, and live container distributions, reference the project's source repository:</w:t>
      </w:r>
    </w:p>
    <w:p>
      <w:pPr>
        <w:pStyle w:val="ListBullet"/>
        <w:spacing w:after="120" w:line="288" w:lineRule="auto"/>
      </w:pPr>
      <w:r>
        <w:rPr>
          <w:rFonts w:ascii="Arial" w:hAnsi="Arial"/>
          <w:color w:val="2D3748"/>
          <w:sz w:val="22"/>
        </w:rPr>
        <w:t>Comprehensive Source Repository: https://github.com/anushakonatham/ONLINE-COMPLAINT-REGISTRATION.git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