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B00FF" w14:textId="77777777" w:rsidR="00B53374" w:rsidRPr="00B53374" w:rsidRDefault="00B53374" w:rsidP="00B53374">
      <w:pPr>
        <w:rPr>
          <w:b/>
          <w:bCs/>
        </w:rPr>
      </w:pPr>
      <w:r w:rsidRPr="00B53374">
        <w:rPr>
          <w:b/>
          <w:bCs/>
        </w:rPr>
        <w:t>1. The melting ice cube</w:t>
      </w:r>
    </w:p>
    <w:p w14:paraId="3C4206E3" w14:textId="77777777" w:rsidR="00B53374" w:rsidRPr="00B53374" w:rsidRDefault="00B53374" w:rsidP="00B53374">
      <w:r w:rsidRPr="00B53374">
        <w:rPr>
          <w:b/>
          <w:bCs/>
        </w:rPr>
        <w:t>Claim: revenue that is priced on effort has no defence against a technology that removes effort.</w:t>
      </w:r>
    </w:p>
    <w:p w14:paraId="4C0EFA8C" w14:textId="77777777" w:rsidR="00B53374" w:rsidRPr="00B53374" w:rsidRDefault="00B53374" w:rsidP="00B53374">
      <w:r w:rsidRPr="00B53374">
        <w:t xml:space="preserve">The theoretical move is to deny that AMS/ADM revenue is a stock. It looks like a stock — a book of contracts, renewing, annuity-like, the thing SI multiples have always been built on. The chart asserts it's actually a </w:t>
      </w:r>
      <w:r w:rsidRPr="00B53374">
        <w:rPr>
          <w:i/>
          <w:iCs/>
        </w:rPr>
        <w:t>flow with a leak</w:t>
      </w:r>
      <w:r w:rsidRPr="00B53374">
        <w:t>, and the leak is proportional to how much of the price is labour.</w:t>
      </w:r>
    </w:p>
    <w:p w14:paraId="75AE9CA8" w14:textId="77777777" w:rsidR="00B53374" w:rsidRPr="00B53374" w:rsidRDefault="00B53374" w:rsidP="00B53374">
      <w:r w:rsidRPr="00B53374">
        <w:t xml:space="preserve">The corollary is the interesting bit: </w:t>
      </w:r>
      <w:r w:rsidRPr="00B53374">
        <w:rPr>
          <w:b/>
          <w:bCs/>
        </w:rPr>
        <w:t>you can win 100% of your renewals and still shrink.</w:t>
      </w:r>
      <w:r w:rsidRPr="00B53374">
        <w:t xml:space="preserve"> That breaks the normal diagnostic. Competitive share loss and structural deflation look identical in a revenue line but have opposite investment implications — one is fixable by management, the other isn't. The chart exists to force that distinction.</w:t>
      </w:r>
    </w:p>
    <w:p w14:paraId="46BCC407" w14:textId="77777777" w:rsidR="00B53374" w:rsidRPr="00B53374" w:rsidRDefault="00B53374" w:rsidP="00B53374">
      <w:r w:rsidRPr="00B53374">
        <w:t xml:space="preserve">What would falsify it: rate holding at renewal despite effort falling — i.e. clients paying for </w:t>
      </w:r>
      <w:r w:rsidRPr="00B53374">
        <w:rPr>
          <w:i/>
          <w:iCs/>
        </w:rPr>
        <w:t>outcome</w:t>
      </w:r>
      <w:r w:rsidRPr="00B53374">
        <w:t xml:space="preserve"> rather than </w:t>
      </w:r>
      <w:r w:rsidRPr="00B53374">
        <w:rPr>
          <w:i/>
          <w:iCs/>
        </w:rPr>
        <w:t>input</w:t>
      </w:r>
      <w:r w:rsidRPr="00B53374">
        <w:t>. That's the whole bull case, compressed to one sentence.</w:t>
      </w:r>
    </w:p>
    <w:p w14:paraId="40EC18AA" w14:textId="3932632E" w:rsidR="00B53374" w:rsidRPr="00B53374" w:rsidRDefault="00B53374" w:rsidP="00B53374">
      <w:pPr>
        <w:rPr>
          <w:b/>
          <w:bCs/>
        </w:rPr>
      </w:pPr>
      <w:r>
        <w:rPr>
          <w:b/>
          <w:bCs/>
        </w:rPr>
        <w:br/>
      </w:r>
      <w:r w:rsidRPr="00B53374">
        <w:rPr>
          <w:b/>
          <w:bCs/>
        </w:rPr>
        <w:t>The grammar</w:t>
      </w:r>
    </w:p>
    <w:p w14:paraId="3C7B0514" w14:textId="77777777" w:rsidR="00B53374" w:rsidRPr="00B53374" w:rsidRDefault="00B53374" w:rsidP="00B53374">
      <w:r w:rsidRPr="00B53374">
        <w:rPr>
          <w:b/>
          <w:bCs/>
        </w:rPr>
        <w:t>The dashed line at the top</w:t>
      </w:r>
      <w:r w:rsidRPr="00B53374">
        <w:t xml:space="preserve"> is the counterfactual: what this contract pays you if effort never changed. Note it's </w:t>
      </w:r>
      <w:r w:rsidRPr="00B53374">
        <w:rPr>
          <w:b/>
          <w:bCs/>
        </w:rPr>
        <w:t>flat, not rising</w:t>
      </w:r>
      <w:r w:rsidRPr="00B53374">
        <w:t xml:space="preserve">. That's deliberate. It says: even in a world with no AI at all, this book was going nowhere. So everything below it isn't foregone </w:t>
      </w:r>
      <w:r w:rsidRPr="00B53374">
        <w:rPr>
          <w:i/>
          <w:iCs/>
        </w:rPr>
        <w:t>growth</w:t>
      </w:r>
      <w:r w:rsidRPr="00B53374">
        <w:t xml:space="preserve"> — it's lost </w:t>
      </w:r>
      <w:r w:rsidRPr="00B53374">
        <w:rPr>
          <w:i/>
          <w:iCs/>
        </w:rPr>
        <w:t>base</w:t>
      </w:r>
      <w:r w:rsidRPr="00B53374">
        <w:t>.</w:t>
      </w:r>
    </w:p>
    <w:p w14:paraId="567EA981" w14:textId="77777777" w:rsidR="00B53374" w:rsidRPr="00B53374" w:rsidRDefault="00B53374" w:rsidP="00B53374">
      <w:r w:rsidRPr="00B53374">
        <w:rPr>
          <w:b/>
          <w:bCs/>
        </w:rPr>
        <w:t>The blue blocks</w:t>
      </w:r>
      <w:r w:rsidRPr="00B53374">
        <w:t xml:space="preserve"> are revenue you actually realise. </w:t>
      </w:r>
      <w:r w:rsidRPr="00B53374">
        <w:rPr>
          <w:b/>
          <w:bCs/>
        </w:rPr>
        <w:t>The red hatched wedge</w:t>
      </w:r>
      <w:r w:rsidRPr="00B53374">
        <w:t xml:space="preserve"> is the gap — revenue deflated away at each renewal.</w:t>
      </w:r>
    </w:p>
    <w:p w14:paraId="5439A084" w14:textId="77777777" w:rsidR="00B53374" w:rsidRPr="00B53374" w:rsidRDefault="00B53374" w:rsidP="00B53374">
      <w:r w:rsidRPr="00B53374">
        <w:rPr>
          <w:b/>
          <w:bCs/>
        </w:rPr>
        <w:t>The x-axis is renewals, not quarters.</w:t>
      </w:r>
      <w:r w:rsidRPr="00B53374">
        <w:t xml:space="preserve"> That is the single most important design choice in the chart, and I'll come back to it.</w:t>
      </w:r>
    </w:p>
    <w:p w14:paraId="41CFBBF3" w14:textId="77777777" w:rsidR="00B53374" w:rsidRPr="00B53374" w:rsidRDefault="00B53374" w:rsidP="00B53374">
      <w:pPr>
        <w:rPr>
          <w:b/>
          <w:bCs/>
        </w:rPr>
      </w:pPr>
      <w:r w:rsidRPr="00B53374">
        <w:rPr>
          <w:b/>
          <w:bCs/>
        </w:rPr>
        <w:t>The four steps</w:t>
      </w:r>
    </w:p>
    <w:p w14:paraId="596A2481" w14:textId="77777777" w:rsidR="00B53374" w:rsidRPr="00B53374" w:rsidRDefault="00B53374" w:rsidP="00B53374">
      <w:r w:rsidRPr="00B53374">
        <w:rPr>
          <w:b/>
          <w:bCs/>
        </w:rPr>
        <w:t>Today — effort-priced AMS.</w:t>
      </w:r>
      <w:r w:rsidRPr="00B53374">
        <w:t xml:space="preserve"> The contract is written as effort × rate. Say 100 FTEs at $50k = $5m a year. The block is full height. Nobody's disputing anything; this is a normal annuity book and it's what SI multiples have historically been built on.</w:t>
      </w:r>
    </w:p>
    <w:p w14:paraId="580750CA" w14:textId="77777777" w:rsidR="00B53374" w:rsidRPr="00B53374" w:rsidRDefault="00B53374" w:rsidP="00B53374">
      <w:r w:rsidRPr="00B53374">
        <w:rPr>
          <w:b/>
          <w:bCs/>
        </w:rPr>
        <w:t>Renewal 1 — AI removes effort.</w:t>
      </w:r>
      <w:r w:rsidRPr="00B53374">
        <w:t xml:space="preserve"> The same scope now genuinely needs 80 people. Here's the subtlety: </w:t>
      </w:r>
      <w:r w:rsidRPr="00B53374">
        <w:rPr>
          <w:b/>
          <w:bCs/>
        </w:rPr>
        <w:t>revenue does not fall the moment the technology arrives.</w:t>
      </w:r>
      <w:r w:rsidRPr="00B53374">
        <w:t xml:space="preserve"> Mid-term, the vendor keeps the contracted price and pockets the productivity as margin. This is the phase where management says "AI is margin-accretive for us." They're telling the truth. It's also temporary.</w:t>
      </w:r>
    </w:p>
    <w:p w14:paraId="2BB32CC0" w14:textId="77777777" w:rsidR="00B53374" w:rsidRPr="00B53374" w:rsidRDefault="00B53374" w:rsidP="00B53374">
      <w:r w:rsidRPr="00B53374">
        <w:rPr>
          <w:b/>
          <w:bCs/>
        </w:rPr>
        <w:t>Renewal 2 — rate reprices down.</w:t>
      </w:r>
      <w:r w:rsidRPr="00B53374">
        <w:t xml:space="preserve"> The contract comes up. The client has benchmarked, or a competitor has bid the smaller effort base, or the client simply reads the vendor's own AI press releases. Price resets to the new effort baseline. The productivity gain transfers from vendor to client. Revenue is now 80 × $50k = $4m for identical scope.</w:t>
      </w:r>
    </w:p>
    <w:p w14:paraId="13C893A6" w14:textId="77777777" w:rsidR="00B53374" w:rsidRPr="00B53374" w:rsidRDefault="00B53374" w:rsidP="00B53374">
      <w:r w:rsidRPr="00B53374">
        <w:rPr>
          <w:b/>
          <w:bCs/>
        </w:rPr>
        <w:t>Renewal 3 — volume cannot refill.</w:t>
      </w:r>
      <w:r w:rsidRPr="00B53374">
        <w:t xml:space="preserve"> The natural rejoinder is "fine, we'll just do more work." The block keeps shrinking anyway, because effort removal compounds faster than you can add scope </w:t>
      </w:r>
      <w:r w:rsidRPr="00B53374">
        <w:rPr>
          <w:i/>
          <w:iCs/>
        </w:rPr>
        <w:t>in a vertical where the client's budget is flat</w:t>
      </w:r>
      <w:r w:rsidRPr="00B53374">
        <w:t xml:space="preserve"> — which is precisely what Infosys' CFO conceded about Retail: clients expect AI savings to let them do more within similar budgets. Same envelope, less effort, lower price. It nets to shrinkage.</w:t>
      </w:r>
    </w:p>
    <w:p w14:paraId="10D50F3D" w14:textId="77777777" w:rsidR="00B53374" w:rsidRPr="00B53374" w:rsidRDefault="00B53374" w:rsidP="00B53374">
      <w:pPr>
        <w:rPr>
          <w:b/>
          <w:bCs/>
        </w:rPr>
      </w:pPr>
      <w:r w:rsidRPr="00B53374">
        <w:rPr>
          <w:b/>
          <w:bCs/>
        </w:rPr>
        <w:t>The two things the chart deliberately hides</w:t>
      </w:r>
    </w:p>
    <w:p w14:paraId="58B65905" w14:textId="77777777" w:rsidR="00B53374" w:rsidRPr="00B53374" w:rsidRDefault="00B53374" w:rsidP="00B53374">
      <w:r w:rsidRPr="00B53374">
        <w:rPr>
          <w:b/>
          <w:bCs/>
        </w:rPr>
        <w:lastRenderedPageBreak/>
        <w:t>Timing.</w:t>
      </w:r>
      <w:r w:rsidRPr="00B53374">
        <w:t xml:space="preserve"> Because the x-axis is renewals, the deflation is invisible in the quarterly P&amp;L until a contract cycle has run. </w:t>
      </w:r>
      <w:r w:rsidRPr="00B53374">
        <w:rPr>
          <w:b/>
          <w:bCs/>
        </w:rPr>
        <w:t>Margin expands first; revenue contracts later.</w:t>
      </w:r>
      <w:r w:rsidRPr="00B53374">
        <w:t xml:space="preserve"> So the reported numbers look fine — often </w:t>
      </w:r>
      <w:r w:rsidRPr="00B53374">
        <w:rPr>
          <w:i/>
          <w:iCs/>
        </w:rPr>
        <w:t>better</w:t>
      </w:r>
      <w:r w:rsidRPr="00B53374">
        <w:t xml:space="preserve"> than fine — right up to the moment they don't. Anyone reading today's expanding margins as evidence that AI is working for the SI is reading the margin-accretive phase and calling it a destination.</w:t>
      </w:r>
    </w:p>
    <w:p w14:paraId="6682080E" w14:textId="77777777" w:rsidR="00B53374" w:rsidRPr="00B53374" w:rsidRDefault="00B53374" w:rsidP="00B53374">
      <w:r w:rsidRPr="00B53374">
        <w:rPr>
          <w:b/>
          <w:bCs/>
        </w:rPr>
        <w:t>The floor.</w:t>
      </w:r>
      <w:r w:rsidRPr="00B53374">
        <w:t xml:space="preserve"> The ice cube doesn't melt to nothing. There's residue: accountability, regulatory sign-off, on-shore presence, the work that genuinely needs a human on the hook. The chart doesn't draw that floor, which is its main intellectual dishonesty. </w:t>
      </w:r>
      <w:r w:rsidRPr="00B53374">
        <w:rPr>
          <w:b/>
          <w:bCs/>
        </w:rPr>
        <w:t>Where the floor sits is the entire bull-bear argument</w:t>
      </w:r>
      <w:r w:rsidRPr="00B53374">
        <w:t>, and neither of us has estimated it.</w:t>
      </w:r>
    </w:p>
    <w:p w14:paraId="257BE8DD" w14:textId="77777777" w:rsidR="00B53374" w:rsidRPr="00B53374" w:rsidRDefault="00B53374" w:rsidP="00B53374">
      <w:pPr>
        <w:rPr>
          <w:b/>
          <w:bCs/>
        </w:rPr>
      </w:pPr>
      <w:r w:rsidRPr="00B53374">
        <w:rPr>
          <w:b/>
          <w:bCs/>
        </w:rPr>
        <w:t>The punchline</w:t>
      </w:r>
    </w:p>
    <w:p w14:paraId="1DA12FB8" w14:textId="77777777" w:rsidR="00B53374" w:rsidRPr="00B53374" w:rsidRDefault="00B53374" w:rsidP="00B53374">
      <w:r w:rsidRPr="00B53374">
        <w:t xml:space="preserve">The chart's whole job is to say: </w:t>
      </w:r>
      <w:r w:rsidRPr="00B53374">
        <w:rPr>
          <w:b/>
          <w:bCs/>
        </w:rPr>
        <w:t>you can win every renewal and still shrink.</w:t>
      </w:r>
      <w:r w:rsidRPr="00B53374">
        <w:t xml:space="preserve"> Which means the usual diagnostic — "are we losing share?" — returns a false negative. Share loss and structural deflation produce the same declining revenue line, but one is a management problem and the other is a valuation problem.</w:t>
      </w:r>
    </w:p>
    <w:p w14:paraId="4BB0599E" w14:textId="77777777" w:rsidR="00B53374" w:rsidRPr="00B53374" w:rsidRDefault="00B53374" w:rsidP="00B53374">
      <w:r w:rsidRPr="00B53374">
        <w:t>That's why the TCV-vs-revenue divergence test exists. It's the only way to tell them apart from the outside.</w:t>
      </w:r>
    </w:p>
    <w:p w14:paraId="02AC4319" w14:textId="56AD47E5" w:rsidR="00000000" w:rsidRDefault="00B53374">
      <w:r w:rsidRPr="00B53374">
        <w:drawing>
          <wp:inline distT="0" distB="0" distL="0" distR="0" wp14:anchorId="50ABF282" wp14:editId="6F8348A7">
            <wp:extent cx="5563082" cy="2987299"/>
            <wp:effectExtent l="0" t="0" r="0" b="3810"/>
            <wp:docPr id="1821960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60622" name=""/>
                    <pic:cNvPicPr/>
                  </pic:nvPicPr>
                  <pic:blipFill>
                    <a:blip r:embed="rId4"/>
                    <a:stretch>
                      <a:fillRect/>
                    </a:stretch>
                  </pic:blipFill>
                  <pic:spPr>
                    <a:xfrm>
                      <a:off x="0" y="0"/>
                      <a:ext cx="5563082" cy="2987299"/>
                    </a:xfrm>
                    <a:prstGeom prst="rect">
                      <a:avLst/>
                    </a:prstGeom>
                  </pic:spPr>
                </pic:pic>
              </a:graphicData>
            </a:graphic>
          </wp:inline>
        </w:drawing>
      </w:r>
    </w:p>
    <w:sectPr w:rsidR="008868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374"/>
    <w:rsid w:val="00051A35"/>
    <w:rsid w:val="008C0BA4"/>
    <w:rsid w:val="00B53374"/>
    <w:rsid w:val="00E665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B2706"/>
  <w15:chartTrackingRefBased/>
  <w15:docId w15:val="{5D4E8035-A88B-4D38-BD2A-B0BA673E0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337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5337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5337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5337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533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533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3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3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3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37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5337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5337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5337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533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533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3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3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374"/>
    <w:rPr>
      <w:rFonts w:eastAsiaTheme="majorEastAsia" w:cstheme="majorBidi"/>
      <w:color w:val="272727" w:themeColor="text1" w:themeTint="D8"/>
    </w:rPr>
  </w:style>
  <w:style w:type="paragraph" w:styleId="Title">
    <w:name w:val="Title"/>
    <w:basedOn w:val="Normal"/>
    <w:next w:val="Normal"/>
    <w:link w:val="TitleChar"/>
    <w:uiPriority w:val="10"/>
    <w:qFormat/>
    <w:rsid w:val="00B533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3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3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3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374"/>
    <w:pPr>
      <w:spacing w:before="160"/>
      <w:jc w:val="center"/>
    </w:pPr>
    <w:rPr>
      <w:i/>
      <w:iCs/>
      <w:color w:val="404040" w:themeColor="text1" w:themeTint="BF"/>
    </w:rPr>
  </w:style>
  <w:style w:type="character" w:customStyle="1" w:styleId="QuoteChar">
    <w:name w:val="Quote Char"/>
    <w:basedOn w:val="DefaultParagraphFont"/>
    <w:link w:val="Quote"/>
    <w:uiPriority w:val="29"/>
    <w:rsid w:val="00B53374"/>
    <w:rPr>
      <w:i/>
      <w:iCs/>
      <w:color w:val="404040" w:themeColor="text1" w:themeTint="BF"/>
    </w:rPr>
  </w:style>
  <w:style w:type="paragraph" w:styleId="ListParagraph">
    <w:name w:val="List Paragraph"/>
    <w:basedOn w:val="Normal"/>
    <w:uiPriority w:val="34"/>
    <w:qFormat/>
    <w:rsid w:val="00B53374"/>
    <w:pPr>
      <w:ind w:left="720"/>
      <w:contextualSpacing/>
    </w:pPr>
  </w:style>
  <w:style w:type="character" w:styleId="IntenseEmphasis">
    <w:name w:val="Intense Emphasis"/>
    <w:basedOn w:val="DefaultParagraphFont"/>
    <w:uiPriority w:val="21"/>
    <w:qFormat/>
    <w:rsid w:val="00B53374"/>
    <w:rPr>
      <w:i/>
      <w:iCs/>
      <w:color w:val="2E74B5" w:themeColor="accent1" w:themeShade="BF"/>
    </w:rPr>
  </w:style>
  <w:style w:type="paragraph" w:styleId="IntenseQuote">
    <w:name w:val="Intense Quote"/>
    <w:basedOn w:val="Normal"/>
    <w:next w:val="Normal"/>
    <w:link w:val="IntenseQuoteChar"/>
    <w:uiPriority w:val="30"/>
    <w:qFormat/>
    <w:rsid w:val="00B5337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53374"/>
    <w:rPr>
      <w:i/>
      <w:iCs/>
      <w:color w:val="2E74B5" w:themeColor="accent1" w:themeShade="BF"/>
    </w:rPr>
  </w:style>
  <w:style w:type="character" w:styleId="IntenseReference">
    <w:name w:val="Intense Reference"/>
    <w:basedOn w:val="DefaultParagraphFont"/>
    <w:uiPriority w:val="32"/>
    <w:qFormat/>
    <w:rsid w:val="00B5337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616</Words>
  <Characters>3513</Characters>
  <Application>Microsoft Office Word</Application>
  <DocSecurity>0</DocSecurity>
  <Lines>29</Lines>
  <Paragraphs>8</Paragraphs>
  <ScaleCrop>false</ScaleCrop>
  <Company/>
  <LinksUpToDate>false</LinksUpToDate>
  <CharactersWithSpaces>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Anusha Kumar</dc:creator>
  <cp:keywords/>
  <dc:description/>
  <cp:lastModifiedBy>Anusha Kumar</cp:lastModifiedBy>
  <cp:revision>1</cp:revision>
  <dcterms:created xsi:type="dcterms:W3CDTF">2026-07-14T10:37:00Z</dcterms:created>
  <dcterms:modified xsi:type="dcterms:W3CDTF">2026-07-14T10:40:00Z</dcterms:modified>
</cp:coreProperties>
</file>