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ASC 606 Revenue Recognition Memo</w:t>
      </w:r>
    </w:p>
    <w:p>
      <w:r>
        <w:rPr>
          <w:i/>
          <w:color w:val="6B7280"/>
          <w:sz w:val="19"/>
        </w:rPr>
        <w:t>Draft for review. Prepared by an automated analysis and not reviewed by a qualified accountant. Verify every conclusion against the contract and the codification before relying on it.</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9"/>
              </w:rPr>
              <w:t>Entity</w:t>
            </w:r>
          </w:p>
        </w:tc>
        <w:tc>
          <w:tcPr>
            <w:tcW w:type="dxa" w:w="4320"/>
          </w:tcPr>
          <w:p>
            <w:r>
              <w:rPr>
                <w:b w:val="0"/>
                <w:sz w:val="19"/>
              </w:rPr>
              <w:t>Garman Routing Systems, Inc.</w:t>
            </w:r>
          </w:p>
        </w:tc>
      </w:tr>
      <w:tr>
        <w:tc>
          <w:tcPr>
            <w:tcW w:type="dxa" w:w="4320"/>
          </w:tcPr>
          <w:p>
            <w:r>
              <w:rPr>
                <w:b/>
                <w:sz w:val="19"/>
              </w:rPr>
              <w:t>Customer</w:t>
            </w:r>
          </w:p>
        </w:tc>
        <w:tc>
          <w:tcPr>
            <w:tcW w:type="dxa" w:w="4320"/>
          </w:tcPr>
          <w:p>
            <w:r>
              <w:rPr>
                <w:b w:val="0"/>
                <w:sz w:val="19"/>
              </w:rPr>
              <w:t>Sparkling Spring Water Group Limited</w:t>
            </w:r>
          </w:p>
        </w:tc>
      </w:tr>
      <w:tr>
        <w:tc>
          <w:tcPr>
            <w:tcW w:type="dxa" w:w="4320"/>
          </w:tcPr>
          <w:p>
            <w:r>
              <w:rPr>
                <w:b/>
                <w:sz w:val="19"/>
              </w:rPr>
              <w:t>Contract</w:t>
            </w:r>
          </w:p>
        </w:tc>
        <w:tc>
          <w:tcPr>
            <w:tcW w:type="dxa" w:w="4320"/>
          </w:tcPr>
          <w:p>
            <w:r>
              <w:rPr>
                <w:b w:val="0"/>
                <w:sz w:val="19"/>
              </w:rPr>
              <w:t>Garman Routing Systems / Sparkling Spring software license and maintenance (On-premise software license with implementation and maintenance)</w:t>
            </w:r>
          </w:p>
        </w:tc>
      </w:tr>
      <w:tr>
        <w:tc>
          <w:tcPr>
            <w:tcW w:type="dxa" w:w="4320"/>
          </w:tcPr>
          <w:p>
            <w:r>
              <w:rPr>
                <w:b/>
                <w:sz w:val="19"/>
              </w:rPr>
              <w:t>Date</w:t>
            </w:r>
          </w:p>
        </w:tc>
        <w:tc>
          <w:tcPr>
            <w:tcW w:type="dxa" w:w="4320"/>
          </w:tcPr>
          <w:p>
            <w:r>
              <w:rPr>
                <w:b w:val="0"/>
                <w:sz w:val="19"/>
              </w:rPr>
              <w:t>September 25, 2026</w:t>
            </w:r>
          </w:p>
        </w:tc>
      </w:tr>
      <w:tr>
        <w:tc>
          <w:tcPr>
            <w:tcW w:type="dxa" w:w="4320"/>
          </w:tcPr>
          <w:p>
            <w:r>
              <w:rPr>
                <w:b/>
                <w:sz w:val="19"/>
              </w:rPr>
              <w:t>Prepared by</w:t>
            </w:r>
          </w:p>
        </w:tc>
        <w:tc>
          <w:tcPr>
            <w:tcW w:type="dxa" w:w="4320"/>
          </w:tcPr>
          <w:p>
            <w:r>
              <w:rPr>
                <w:b w:val="0"/>
                <w:sz w:val="19"/>
              </w:rPr>
              <w:t>six-oh-six agent (draft)</w:t>
            </w:r>
          </w:p>
        </w:tc>
      </w:tr>
    </w:tbl>
    <w:p>
      <w:pPr>
        <w:pStyle w:val="Heading1"/>
      </w:pPr>
      <w:r>
        <w:t>Purpose</w:t>
      </w:r>
    </w:p>
    <w:p>
      <w:r>
        <w:t>To document how Garman Routing Systems, Inc. should recognize revenue under ASC 606 for its contract with Sparkling Spring Water Group Limited: the performance obligations, the transaction price, and when each obligation is satisfied.</w:t>
      </w:r>
    </w:p>
    <w:p>
      <w:pPr>
        <w:pStyle w:val="Heading1"/>
      </w:pPr>
      <w:r>
        <w:t>Background</w:t>
      </w:r>
    </w:p>
    <w:p>
      <w:r>
        <w:t>Garman licenses on-premise routing software (executable object code) to Sparkling for use on Sparkling's own AS400 hardware at specified Authorized Locations, and bundles implementation (delivery, installation, data conversion, training, acceptance testing) with a renewable annual maintenance/support program. The agreement is written, signed, has identifiable rights and payment terms (Fee Schedule), and contains customary termination-for-cause/insolvency clauses; nothing in the text suggests collection is not probable, though the actual fee amounts sit in an unseen Fee Schedule (Schedule A), so pricing and collectability of those specific amounts cannot be independently confirmed from the clauses reviewed. A customer-favorable "Option to Reject" (full refund if the software cannot be made to meet Specifications within defined cure periods) makes final license acceptance a substantive condition, which affects the timing of license revenue recognition rather than contract existence, since the option lapses once acceptance testing succeeds under Section 6.</w:t>
      </w:r>
    </w:p>
    <w:p>
      <w:r>
        <w:t>Source: SPARKLINGSPRINGWATERHOLDINGSLTD_07_03_2002-EX-10.13-SOFTWARE LICENSE AND MAINTENANCE AGREEMENT.txt. The contract has 25 clauses; clause ids are cited in brackets.</w:t>
      </w:r>
    </w:p>
    <w:p>
      <w:pPr>
        <w:pStyle w:val="Heading1"/>
      </w:pPr>
      <w:r>
        <w:t>Analysis</w:t>
      </w:r>
    </w:p>
    <w:p>
      <w:pPr>
        <w:pStyle w:val="Heading2"/>
      </w:pPr>
      <w:r>
        <w:t>Step 1. Identify the contract</w:t>
      </w:r>
    </w:p>
    <w:p>
      <w:r>
        <w:t>The agreement is treated as a contract within the scope of ASC 606 (606-10-25-1). Any doubt about enforceability or collectability is listed under Open questions.</w:t>
      </w:r>
    </w:p>
    <w:p>
      <w:pPr>
        <w:pStyle w:val="Heading2"/>
      </w:pPr>
      <w:r>
        <w:t>Step 2. Identify the performance obligations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9"/>
              </w:rPr>
              <w:t>Obligation</w:t>
            </w:r>
          </w:p>
        </w:tc>
        <w:tc>
          <w:tcPr>
            <w:tcW w:type="dxa" w:w="1728"/>
          </w:tcPr>
          <w:p>
            <w:r>
              <w:rPr>
                <w:b/>
                <w:sz w:val="19"/>
              </w:rPr>
              <w:t>Timing</w:t>
            </w:r>
          </w:p>
        </w:tc>
        <w:tc>
          <w:tcPr>
            <w:tcW w:type="dxa" w:w="1728"/>
          </w:tcPr>
          <w:p>
            <w:r>
              <w:rPr>
                <w:b/>
                <w:sz w:val="19"/>
              </w:rPr>
              <w:t>Basis</w:t>
            </w:r>
          </w:p>
        </w:tc>
        <w:tc>
          <w:tcPr>
            <w:tcW w:type="dxa" w:w="1728"/>
          </w:tcPr>
          <w:p>
            <w:r>
              <w:rPr>
                <w:b/>
                <w:sz w:val="19"/>
              </w:rPr>
              <w:t>Clauses</w:t>
            </w:r>
          </w:p>
        </w:tc>
        <w:tc>
          <w:tcPr>
            <w:tcW w:type="dxa" w:w="1728"/>
          </w:tcPr>
          <w:p>
            <w:r>
              <w:rPr>
                <w:b/>
                <w:sz w:val="19"/>
              </w:rPr>
              <w:t>Guidance</w:t>
            </w:r>
          </w:p>
        </w:tc>
      </w:tr>
      <w:tr>
        <w:tc>
          <w:tcPr>
            <w:tcW w:type="dxa" w:w="1728"/>
          </w:tcPr>
          <w:p>
            <w:r>
              <w:rPr>
                <w:b w:val="0"/>
                <w:sz w:val="19"/>
              </w:rPr>
              <w:t>License to use IP as it exists</w:t>
              <w:br/>
              <w:t>Non-transferable, non-exclusive on-premise license to use the executable object-code Software and Documentation on Sparkling's own AS400 hardware at Authorized Locations; software has standalone functional utility and is used as it exists (with bug-fix/update rights delivered separately through maintenance).</w:t>
            </w:r>
          </w:p>
        </w:tc>
        <w:tc>
          <w:tcPr>
            <w:tcW w:type="dxa" w:w="1728"/>
          </w:tcPr>
          <w:p>
            <w:r>
              <w:rPr>
                <w:b w:val="0"/>
                <w:sz w:val="19"/>
              </w:rPr>
              <w:t>Point in time</w:t>
            </w:r>
          </w:p>
        </w:tc>
        <w:tc>
          <w:tcPr>
            <w:tcW w:type="dxa" w:w="1728"/>
          </w:tcPr>
          <w:p>
            <w:r>
              <w:rPr>
                <w:b w:val="0"/>
                <w:sz w:val="19"/>
              </w:rPr>
              <w:t>The license conveys a right to use functional IP as it exists (ASC 606-10-55-58/55-59/55-62), so revenue is recognized at a point in time. Control indicators under 606-10-25-30 (installation already completed, right to use granted, risks/rewards with customer) are present, but Sections 6-8 give Sparkling a substantive Option to Reject with full refund if the Software fails Specifications testing; acceptance is therefore the point at which control transfers for each Authorized Location, not the earlier physical delivery/installation date.</w:t>
            </w:r>
          </w:p>
        </w:tc>
        <w:tc>
          <w:tcPr>
            <w:tcW w:type="dxa" w:w="1728"/>
          </w:tcPr>
          <w:p>
            <w:r>
              <w:rPr>
                <w:b w:val="0"/>
                <w:sz w:val="19"/>
              </w:rPr>
              <w:t>c-004, c-003, c-005, c-006, c-008, c-009, c-010</w:t>
            </w:r>
          </w:p>
        </w:tc>
        <w:tc>
          <w:tcPr>
            <w:tcW w:type="dxa" w:w="1728"/>
          </w:tcPr>
          <w:p>
            <w:r>
              <w:rPr>
                <w:b w:val="0"/>
                <w:sz w:val="19"/>
              </w:rPr>
              <w:t>606-10-55-58, 606-10-55-59, 606-10-55-62, 606-10-25-30</w:t>
            </w:r>
          </w:p>
        </w:tc>
      </w:tr>
      <w:tr>
        <w:tc>
          <w:tcPr>
            <w:tcW w:type="dxa" w:w="1728"/>
          </w:tcPr>
          <w:p>
            <w:r>
              <w:rPr>
                <w:b w:val="0"/>
                <w:sz w:val="19"/>
              </w:rPr>
              <w:t>Services (implementation, development, consulting)</w:t>
              <w:br/>
              <w:t>Implementation services: delivery/installation of the Software onto Sparkling's AS400s, data conversion of Sparkling's existing data, pre-acceptance training of Sparkling personnel, and cooperative project-managed implementation leading to acceptance testing at each Authorized Location.</w:t>
            </w:r>
          </w:p>
        </w:tc>
        <w:tc>
          <w:tcPr>
            <w:tcW w:type="dxa" w:w="1728"/>
          </w:tcPr>
          <w:p>
            <w:r>
              <w:rPr>
                <w:b w:val="0"/>
                <w:sz w:val="19"/>
              </w:rPr>
              <w:t>Over time</w:t>
            </w:r>
          </w:p>
        </w:tc>
        <w:tc>
          <w:tcPr>
            <w:tcW w:type="dxa" w:w="1728"/>
          </w:tcPr>
          <w:p>
            <w:r>
              <w:rPr>
                <w:b w:val="0"/>
                <w:sz w:val="19"/>
              </w:rPr>
              <w:t>These services are performed on and enhance an asset (Sparkling's own AS400 systems/data) that Sparkling controls as the work is performed, satisfying the over-time criterion in 606-10-25-27(b). They are capable of being distinct (they could be obtained from other integrators) but Garman's role as project manager coordinating delivery, training and iterative acceptance testing (Sections 4-6, 9) makes this a separately identifiable, distinct service promise from the license itself.</w:t>
            </w:r>
          </w:p>
        </w:tc>
        <w:tc>
          <w:tcPr>
            <w:tcW w:type="dxa" w:w="1728"/>
          </w:tcPr>
          <w:p>
            <w:r>
              <w:rPr>
                <w:b w:val="0"/>
                <w:sz w:val="19"/>
              </w:rPr>
              <w:t>c-006, c-007, c-008, c-011</w:t>
            </w:r>
          </w:p>
        </w:tc>
        <w:tc>
          <w:tcPr>
            <w:tcW w:type="dxa" w:w="1728"/>
          </w:tcPr>
          <w:p>
            <w:r>
              <w:rPr>
                <w:b w:val="0"/>
                <w:sz w:val="19"/>
              </w:rPr>
              <w:t>606-10-25-27, 606-10-25-29, 606-10-25-19, 606-10-25-21</w:t>
            </w:r>
          </w:p>
        </w:tc>
      </w:tr>
      <w:tr>
        <w:tc>
          <w:tcPr>
            <w:tcW w:type="dxa" w:w="1728"/>
          </w:tcPr>
          <w:p>
            <w:r>
              <w:rPr>
                <w:b w:val="0"/>
                <w:sz w:val="19"/>
              </w:rPr>
              <w:t>Support, maintenance and updates</w:t>
              <w:br/>
              <w:t>Renewable one-year Maintenance Services comprising Software Update Service (bug fixes, improvements, new releases, updated manuals), Telephone Support Service, and Software Repair Service, commencing on the Maintenance Commencement Date and continuing so long as maintenance fees are paid; the related Specifications warranty (Section 12) runs coextensively with this maintenance period.</w:t>
            </w:r>
          </w:p>
        </w:tc>
        <w:tc>
          <w:tcPr>
            <w:tcW w:type="dxa" w:w="1728"/>
          </w:tcPr>
          <w:p>
            <w:r>
              <w:rPr>
                <w:b w:val="0"/>
                <w:sz w:val="19"/>
              </w:rPr>
              <w:t>Over time</w:t>
            </w:r>
          </w:p>
        </w:tc>
        <w:tc>
          <w:tcPr>
            <w:tcW w:type="dxa" w:w="1728"/>
          </w:tcPr>
          <w:p>
            <w:r>
              <w:rPr>
                <w:b w:val="0"/>
                <w:sz w:val="19"/>
              </w:rPr>
              <w:t>Maintenance is a stand-ready obligation to provide updates and support each day it is available; each period is substantially the same and is measured the same way (a time-based fee), so it is accounted for as a series of distinct services satisfied over time (606-10-25-14/25-15), consistent with the general over-time consumption criterion in 606-10-25-27(a). The Section 12 warranty is coextensive with, and effectively part of, this stand-ready support promise rather than a separate assurance-only warranty.</w:t>
            </w:r>
          </w:p>
        </w:tc>
        <w:tc>
          <w:tcPr>
            <w:tcW w:type="dxa" w:w="1728"/>
          </w:tcPr>
          <w:p>
            <w:r>
              <w:rPr>
                <w:b w:val="0"/>
                <w:sz w:val="19"/>
              </w:rPr>
              <w:t>c-012, c-013, c-015</w:t>
            </w:r>
          </w:p>
        </w:tc>
        <w:tc>
          <w:tcPr>
            <w:tcW w:type="dxa" w:w="1728"/>
          </w:tcPr>
          <w:p>
            <w:r>
              <w:rPr>
                <w:b w:val="0"/>
                <w:sz w:val="19"/>
              </w:rPr>
              <w:t>606-10-25-14, 606-10-25-15, 606-10-25-27</w:t>
            </w:r>
          </w:p>
        </w:tc>
      </w:tr>
    </w:tbl>
    <w:p>
      <w:pPr>
        <w:pStyle w:val="Heading2"/>
      </w:pPr>
      <w:r>
        <w:t>Step 3. Determine the transaction price</w:t>
      </w:r>
    </w:p>
    <w:p>
      <w:r>
        <w:t>Transaction price consists of a fixed one-time license/implementation fee and a fixed, renewable annual maintenance fee, both determined under the (unseen) Fee Schedule referenced in Section 11 and Section 10. No sales- or usage-based royalty is tied to the license; the only usage-contingent amounts are potential extra charges for Software Repair Service caused by Sparkling's own errors, unauthorized modifications, or environment changes (Section 10(c)), and additional license fees if Sparkling later uses the Software at locations beyond the Authorized Locations (Section 2) - both are optional, situational charges rather than variable pricing embedded in the promised goods/services already contracted for.</w:t>
      </w:r>
    </w:p>
    <w:p>
      <w:pPr>
        <w:pStyle w:val="Heading2"/>
      </w:pPr>
      <w:r>
        <w:t>Step 4. Allocate the transaction price</w:t>
      </w:r>
    </w:p>
    <w:p>
      <w:r>
        <w:t>Fixed consideration is allocated to the obligations above on a relative standalone selling price basis (606-10-32-28 to 32-31). Sales- or usage-based royalties that qualify for the exception are allocated to the license they relate to.</w:t>
      </w:r>
    </w:p>
    <w:p>
      <w:pPr>
        <w:pStyle w:val="Heading2"/>
      </w:pPr>
      <w:r>
        <w:t>Step 5. Recognize revenue as obligations are satisfied</w:t>
      </w:r>
    </w:p>
    <w:p>
      <w:pPr>
        <w:pStyle w:val="ListBullet"/>
      </w:pPr>
      <w:r>
        <w:rPr>
          <w:b/>
        </w:rPr>
        <w:t xml:space="preserve">License to use IP as it exists: </w:t>
      </w:r>
      <w:r>
        <w:t>point in time. The license conveys a right to use functional IP as it exists (ASC 606-10-55-58/55-59/55-62), so revenue is recognized at a point in time. Control indicators under 606-10-25-30 (installation already completed, right to use granted, risks/rewards with customer) are present, but Sections 6-8 give Sparkling a substantive Option to Reject with full refund if the Software fails Specifications testing; acceptance is therefore the point at which control transfers for each Authorized Location, not the earlier physical delivery/installation date.</w:t>
      </w:r>
    </w:p>
    <w:p>
      <w:pPr>
        <w:pStyle w:val="ListBullet"/>
      </w:pPr>
      <w:r>
        <w:rPr>
          <w:b/>
        </w:rPr>
        <w:t xml:space="preserve">Services (implementation, development, consulting): </w:t>
      </w:r>
      <w:r>
        <w:t>over time. These services are performed on and enhance an asset (Sparkling's own AS400 systems/data) that Sparkling controls as the work is performed, satisfying the over-time criterion in 606-10-25-27(b). They are capable of being distinct (they could be obtained from other integrators) but Garman's role as project manager coordinating delivery, training and iterative acceptance testing (Sections 4-6, 9) makes this a separately identifiable, distinct service promise from the license itself.</w:t>
      </w:r>
    </w:p>
    <w:p>
      <w:pPr>
        <w:pStyle w:val="ListBullet"/>
      </w:pPr>
      <w:r>
        <w:rPr>
          <w:b/>
        </w:rPr>
        <w:t xml:space="preserve">Support, maintenance and updates: </w:t>
      </w:r>
      <w:r>
        <w:t>over time. Maintenance is a stand-ready obligation to provide updates and support each day it is available; each period is substantially the same and is measured the same way (a time-based fee), so it is accounted for as a series of distinct services satisfied over time (606-10-25-14/25-15), consistent with the general over-time consumption criterion in 606-10-25-27(a). The Section 12 warranty is coextensive with, and effectively part of, this stand-ready support promise rather than a separate assurance-only warranty.</w:t>
      </w:r>
    </w:p>
    <w:p>
      <w:pPr>
        <w:pStyle w:val="Heading1"/>
      </w:pPr>
      <w:r>
        <w:t>Consideration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val="0"/>
                <w:sz w:val="19"/>
              </w:rPr>
              <w:t>Variable consideration</w:t>
            </w:r>
          </w:p>
        </w:tc>
        <w:tc>
          <w:tcPr>
            <w:tcW w:type="dxa" w:w="4320"/>
          </w:tcPr>
          <w:p>
            <w:r>
              <w:rPr>
                <w:b w:val="0"/>
                <w:sz w:val="19"/>
              </w:rPr>
              <w:t>No</w:t>
            </w:r>
          </w:p>
        </w:tc>
      </w:tr>
      <w:tr>
        <w:tc>
          <w:tcPr>
            <w:tcW w:type="dxa" w:w="4320"/>
          </w:tcPr>
          <w:p>
            <w:r>
              <w:rPr>
                <w:b w:val="0"/>
                <w:sz w:val="19"/>
              </w:rPr>
              <w:t>Sales- or usage-based royalty exception (606-10-55-65)</w:t>
            </w:r>
          </w:p>
        </w:tc>
        <w:tc>
          <w:tcPr>
            <w:tcW w:type="dxa" w:w="4320"/>
          </w:tcPr>
          <w:p>
            <w:r>
              <w:rPr>
                <w:b w:val="0"/>
                <w:sz w:val="19"/>
              </w:rPr>
              <w:t>Does not apply</w:t>
            </w:r>
          </w:p>
        </w:tc>
      </w:tr>
      <w:tr>
        <w:tc>
          <w:tcPr>
            <w:tcW w:type="dxa" w:w="4320"/>
          </w:tcPr>
          <w:p>
            <w:r>
              <w:rPr>
                <w:b w:val="0"/>
                <w:sz w:val="19"/>
              </w:rPr>
              <w:t>Clauses</w:t>
            </w:r>
          </w:p>
        </w:tc>
        <w:tc>
          <w:tcPr>
            <w:tcW w:type="dxa" w:w="4320"/>
          </w:tcPr>
          <w:p>
            <w:r>
              <w:rPr>
                <w:b w:val="0"/>
                <w:sz w:val="19"/>
              </w:rPr>
              <w:t>c-014, c-012, c-013, c-004, c-020</w:t>
            </w:r>
          </w:p>
        </w:tc>
      </w:tr>
    </w:tbl>
    <w:p/>
    <w:p>
      <w:r>
        <w:t>Fees under Sections 11 and 14 are stated as fixed schedule-based amounts, not tied to Sparkling's sales or usage of an IP license, so the sales/usage-based royalty exception in 606-10-55-65 does not apply. The contingent repair charges in Section 10(c) and additional-location fees in Section 2 are triggered only by future customer elections or faults outside the original scope, so they do not create variable consideration within the current transaction price under 606-10-32-5/32-6/32-8; they are flagged as open questions rather than estimated.</w:t>
      </w:r>
    </w:p>
    <w:p>
      <w:pPr>
        <w:pStyle w:val="Heading1"/>
      </w:pPr>
      <w:r>
        <w:t>Conclusion</w:t>
      </w:r>
    </w:p>
    <w:p>
      <w:r>
        <w:t>Garman Routing Systems, Inc. should recognize revenue for license to use ip as it exists at the point control transfers and recognize revenue for services (implementation, development, consulting); support, maintenance and updates over time as it performs.</w:t>
      </w:r>
    </w:p>
    <w:p>
      <w:pPr>
        <w:pStyle w:val="Heading1"/>
      </w:pPr>
      <w:r>
        <w:t>Open questions</w:t>
      </w:r>
    </w:p>
    <w:p>
      <w:pPr>
        <w:pStyle w:val="ListNumber"/>
      </w:pPr>
      <w:r>
        <w:t>The actual dollar amounts and allocation basis in the Fee Schedule (Schedule A) were not provided; standalone selling prices for the license, implementation services, and maintenance must be obtained to allocate the transaction price under a relative-SSP method.</w:t>
      </w:r>
    </w:p>
    <w:p>
      <w:pPr>
        <w:pStyle w:val="ListNumber"/>
      </w:pPr>
      <w:r>
        <w:t>Whether implementation/installation/training should be treated as a single combined performance obligation with the license (because the license may have little standalone value to Sparkling until installed and accepted) or as a separate distinct service, given the tight interdependency described in Sections 4-9.</w:t>
      </w:r>
    </w:p>
    <w:p>
      <w:pPr>
        <w:pStyle w:val="ListNumber"/>
      </w:pPr>
      <w:r>
        <w:t>Whether the Option to Reject (Sections 7-8) should be treated as a right of return that constrains revenue recognition until expiry, or whether history of successful acceptance makes exercise remote enough to recognize license revenue at installation rather than at final acceptance.</w:t>
      </w:r>
    </w:p>
    <w:p>
      <w:pPr>
        <w:pStyle w:val="ListNumber"/>
      </w:pPr>
      <w:r>
        <w:t>No information is provided on Sparkling's payment history or creditworthiness; collectability of substantially all consideration (606-10-25-1) is assumed but not independently evidenced by the clauses reviewed.</w:t>
      </w:r>
    </w:p>
    <w:p>
      <w:pPr>
        <w:pStyle w:val="ListNumber"/>
      </w:pPr>
      <w:r>
        <w:t>Whether the perpetual, fully paid escrow-code license granted in Section 16(b) (usable only upon Garman default/bankruptcy or cessation of support) represents a material right/performance obligation or is merely a contingent protective right outside the scope of ASC 606 performance obligations.</w:t>
      </w:r>
    </w:p>
    <w:p>
      <w:pPr>
        <w:pStyle w:val="Heading1"/>
      </w:pPr>
      <w:r>
        <w:t>Appendix: cited clauses</w:t>
      </w:r>
    </w:p>
    <w:p>
      <w:r>
        <w:rPr>
          <w:b/>
        </w:rPr>
        <w:t>[c-003] 1. DEFINITIONS AND SCHEDULES</w:t>
      </w:r>
    </w:p>
    <w:p>
      <w:r>
        <w:t>1. DEFINITIONS AND SCHEDULES</w:t>
        <w:br/>
        <w:t>In this Agreement the following definitions shall apply:</w:t>
        <w:br/>
        <w:t>(a) Authorized Locations means the locations listed in Schedule "C."</w:t>
        <w:br/>
        <w:t>(b) Confidential Information has the meaning specified in Section 14.</w:t>
        <w:br/>
        <w:t>(c) Documentation means the documentation related to use of the Software described in Schedule "B."</w:t>
        <w:br/>
        <w:t>(d) Maintenance Commencement Date means the date that acceptance testing is successfully completed at all of the Authorized Locations.</w:t>
        <w:br/>
        <w:t>(e) Maintenance Services means the Software Update Service, Telephone Support Service and Software Repair Service described in Section 10.</w:t>
        <w:br/>
        <w:t>(f) Modifications means the modifications set out in Schedule "D."</w:t>
        <w:br/>
        <w:t>(g) Person includes an individual, corporation, partnership, joint venture, trust, unincorporated organization, the Crown or any agency or instrumentality thereof or any other judicial entity recognized by law.</w:t>
        <w:br/>
        <w:t>(h) Software means the software described in Schedule "B."</w:t>
        <w:br/>
        <w:t>(i) Specifications means the specifications set out in Schedule "D."</w:t>
        <w:br/>
        <w:t>(j) Work means the Software and the Documentation collectively.</w:t>
        <w:br/>
        <w:t>The following is a summary of the Schedules, which shall form an integral part of this Agreement:</w:t>
        <w:br/>
        <w:t>Schedule "A": Fee Schedule.</w:t>
        <w:br/>
        <w:t>Schedule "B": Software and Documentation.</w:t>
        <w:br/>
        <w:t>Schedule "C": Authorized Locations and Software copies for Authorized Locations.</w:t>
        <w:br/>
        <w:t>Schedule "D": Specifications, Modifications, Data Conversion.</w:t>
        <w:br/>
        <w:t>Schedule "E": Implementation and Training.</w:t>
        <w:br/>
        <w:t>Schedule "F": Telephone Support Schedule.</w:t>
      </w:r>
    </w:p>
    <w:p>
      <w:r>
        <w:rPr>
          <w:b/>
        </w:rPr>
        <w:t>[c-004] 2. GRANT OF LICENSE</w:t>
      </w:r>
    </w:p>
    <w:p>
      <w:r>
        <w:t>2. GRANT OF LICENSE</w:t>
        <w:br/>
        <w:t>Garman hereby grants to Sparkling, for the use of Sparkling and affiliated companies of Sparkling operating at Authorized Locations, a non-transferable and non-exclusive licence to use: (i) the Software, safely in executable object code format, at each AS400 at each of the Authorized Locations; and (ii) the Documentation. Sparkling's right, if any, to use the Software and Documentation at locations other than the Authorized Locations is subject to the payment of additional fees in accordance with the Fee Schedule.</w:t>
      </w:r>
    </w:p>
    <w:p>
      <w:r>
        <w:rPr>
          <w:b/>
        </w:rPr>
        <w:t>[c-005] 3. RESTRICTIONS ON USE</w:t>
      </w:r>
    </w:p>
    <w:p>
      <w:r>
        <w:t>3. RESTRICTIONS ON USE</w:t>
        <w:br/>
        <w:t>Sparkling shall:</w:t>
        <w:br/>
        <w:t>(a) not copy the Software except to copy it onto another AS400 at the Authorized Locations and to make copies of the Software at each Authorized Location solely for backup purposes;</w:t>
        <w:br/>
        <w:t>(b) not copy any of the Documentation except as required for Sparkling's internal purposes related to Sparkling's use of the Software;</w:t>
        <w:br/>
        <w:t>(c) not assign this Agreement or transfer, lease, export or grant a sublicence of the Work to any Person, except as and when authorized to do so by Garman in writing;</w:t>
        <w:br/>
        <w:t>(d) not reverse engineer, decompile or disassemble the Software;</w:t>
        <w:br/>
        <w:t>(e) not use the Work except as authorized herein;</w:t>
        <w:br/>
        <w:t>(f) take all reasonable precautions to prevent third parties from using the Work in any way that would constitute a breach of this Agreement including, without limitation, such precautions as Sparkling would otherwise take to protect its own proprietary software or hardware or information; and</w:t>
        <w:br/>
        <w:t>(g) not use the Work to act as a service bureau in whole or in part, for any other Person, except for any affiliate of Sparkling operating at the Authorized Locations.</w:t>
      </w:r>
    </w:p>
    <w:p>
      <w:r>
        <w:rPr>
          <w:b/>
        </w:rPr>
        <w:t>[c-006] 4. DELIVERY, INSTALLATION AND DATA CONVERSION</w:t>
      </w:r>
    </w:p>
    <w:p>
      <w:r>
        <w:t>4. DELIVERY, INSTALLATION AND DATA CONVERSION</w:t>
        <w:br/>
        <w:t>(a) In accordance with Schedule "C," Garman has delivered the required number of copies of the executable object code of the Software to those Authorized Locations (together with copies of the Documentation as is reasonably required by Sparkling to operate the Software in the manner contemplated hereunder) and installed the Software on the applicable AS400's at each Authorized Location. The installation of the Software at each existing Authorized Location shall be deemed to be completed including contracted changes and has been properly installed, is in good working order. Modifications and changes shall fall within the 60 day testing period at which time they are deemed to be completed and has been properly installed, is in good working order.</w:t>
        <w:br/>
        <w:t>(b) For Future Installations and Conversions at an existing or new Authorized Location, Garman shall be available for Contracting required installation and conversion tasks as reasonably required, in consultation with and with the reasonable assistance of Sparkling, including conversion of Sparkling's data, as more particularly described in Schedule "D," from its current electronic form into a form suitable for processing with the Software and as required for the testing of the Software and for use of the Software as contemplated hereunder.</w:t>
      </w:r>
    </w:p>
    <w:p>
      <w:r>
        <w:rPr>
          <w:b/>
        </w:rPr>
        <w:t>[c-007] 5. TRAINING</w:t>
      </w:r>
    </w:p>
    <w:p>
      <w:r>
        <w:t>5. TRAINING</w:t>
        <w:br/>
        <w:t>In conjunction with the installation of the Software at each existing or new Authorized Location, and prior to the commencement of acceptance testing at each Authorized Location, Garman shall provide as contracted a qualified personnel as specified in Schedule "E." Garman shall also provide copies of reference documentation and manuals for training and reference by Sparkling's personnel.</w:t>
      </w:r>
    </w:p>
    <w:p>
      <w:r>
        <w:rPr>
          <w:b/>
        </w:rPr>
        <w:t>[c-008] 6. ACCEPTANCE TESTING AT EACH AUTHORIZED LOCATION</w:t>
      </w:r>
    </w:p>
    <w:p>
      <w:r>
        <w:t>6. ACCEPTANCE TESTING AT EACH AUTHORIZED LOCATION</w:t>
        <w:br/>
        <w:t>(a) For each new Authorized Location, upon written notice by Garman of the completion of the installation of the Software as contracted for in Section 4 including training provided for in Section 5, Sparkling shall operate and test the Software for an acceptance period of 30 business days in accordance with Sparkling's normal operating practices. At the end of each day during the acceptance period, Sparkling shall notify Garman of any instances in which the Software does not perform in accordance with the Specifications.</w:t>
        <w:br/>
        <w:t>(b) If Garman receives such notification, then it shall take the actions that are necessary to make the Software perform in accordance with the Specifications.</w:t>
        <w:br/>
        <w:t>Once it has completed such action, the Software shall be retested by Sparkling for a new 30 day period in accordance with Section 6(a). Such testing and notification by Sparkling and remedial action by Garman shall be repeated until the Software has been accepted by Sparkling, acting reasonably, as meeting the Specifications.</w:t>
        <w:br/>
        <w:t>(c) Notwithstanding (a) and (b) of this Section 6, Sparkling acknowledges and agrees that there may be minor deficiencies in the Software and provided that on notification thereof Garman promptly rectifies such deficiencies, the acceptance of the Software will not be delayed thereby.</w:t>
        <w:br/>
        <w:t>(d) If Garman does not receive notice of any deficiencies within ten (10) business days after the completion of the acceptance period, then Sparkling shall be deemed to have accepted the Software at that Authorized Location.</w:t>
      </w:r>
    </w:p>
    <w:p>
      <w:r>
        <w:rPr>
          <w:b/>
        </w:rPr>
        <w:t>[c-009] 7. OPTION TO REJECT SOFTWARE</w:t>
      </w:r>
    </w:p>
    <w:p>
      <w:r>
        <w:t>7. OPTION TO REJECT SOFTWARE</w:t>
        <w:br/>
        <w:t>If during the acceptance period described in Section 6, the Software has failed to perform in accordance with the Specifications and Garman has been unable to correct the deficiency within 45 business days of written notice being provided to Garman of such failure then Sparkling shall have the option, exercisable on 15 business days written notice to Garman, in lieu of any other remedy, to reject the Software. Such option shall terminate if in the interim, the Software successfully completes acceptance testing and meets the Specifications.</w:t>
      </w:r>
    </w:p>
    <w:p>
      <w:r>
        <w:rPr>
          <w:b/>
        </w:rPr>
        <w:t>[c-010] 8. OPTION TO REJECT EXERCISED</w:t>
      </w:r>
    </w:p>
    <w:p>
      <w:r>
        <w:t>8. OPTION TO REJECT EXERCISED</w:t>
        <w:br/>
        <w:t>If Sparkling exercises its option to reject the Software in accordance with Section 7, then the parties shall forthwith carry out the following actions and this Agreement will terminate upon their completion:</w:t>
        <w:br/>
        <w:t>(a) Sparkling shall return all copies of the Work and all of Garman's Confidential Information in its possession or control to Garman.</w:t>
        <w:br/>
        <w:t>(b) Garman shall return to Sparkling any and all amounts paid to Garman hereunder, and all of Sparkling's Confidential Information in its possession or control.</w:t>
      </w:r>
    </w:p>
    <w:p>
      <w:r>
        <w:rPr>
          <w:b/>
        </w:rPr>
        <w:t>[c-011] 9. CO-OPERATION AND IMPLEMENTATION</w:t>
      </w:r>
    </w:p>
    <w:p>
      <w:r>
        <w:t>9. CO-OPERATION AND IMPLEMENTATION</w:t>
        <w:br/>
        <w:t>(a) Both Garman and Sparkling have designated in Schedule "E" a responsible individual from their respective organizations with the authority and competence to act, and responsibility to serve, as a project manager hereunder and deal with the other party with respect to the Software. Sparkling's project manager shall also be responsible for providing or coordinating the provision of such information about Sparkling and its operations, external and internal procedures and such other information as Garman may reasonably require in order to perform its obligations hereunder. Sparkling's project manager shall have the authority on behalf of Sparkling to notify Garman that any acceptance tests provided for herein have been successfully passed or, where applicable, that Sparkling waives compliance with any such acceptance tests. Garman's project manager shall be responsible for coordinating with Sparkling's project manager the delivery and installation of the Software. The project managers shall meet for this purpose, as may be reasonably requested by either of them in writing.</w:t>
        <w:br/>
        <w:t>(b) Garman and Sparkling shall use their best efforts to carry out their respective obligations under this Agreement in accordance with the Implementation and Training Schedule.</w:t>
      </w:r>
    </w:p>
    <w:p>
      <w:r>
        <w:rPr>
          <w:b/>
        </w:rPr>
        <w:t>[c-012] 10. MAINTENANCE AND SUPPORT</w:t>
      </w:r>
    </w:p>
    <w:p>
      <w:r>
        <w:t>10. MAINTENANCE AND SUPPORT</w:t>
        <w:br/>
        <w:t>For a renewable one-year term commencing upon the Maintenance Commencement Date, subject to payment of maintenance fees in accordance with the Fee Schedule but without additional fees or charges, Garman shall provide the following Maintenance Services:</w:t>
        <w:br/>
        <w:t>(a) SOFTWARE UPDATE SERVICE</w:t>
        <w:br/>
        <w:t>As part of the Software Update Service, Garman shall provide to Sparkling as soon as reasonably available:</w:t>
        <w:br/>
        <w:t>(1) corrections and bug fixes for the Software;</w:t>
        <w:br/>
        <w:t>(2) all modifications, refinements, and enhancements ("Improvements") of the Software;</w:t>
        <w:br/>
        <w:t>(3) new releases of the Software; and</w:t>
        <w:br/>
        <w:t>(4) updated user manuals to support all of the above in a reasonable time frame.</w:t>
        <w:br/>
        <w:t>(b) TELEPHONE SUPPORT SERVICE</w:t>
        <w:br/>
        <w:t>Telephone Support Service includes Sparkling having direct telephone access to employees of Garman who have the necessary technical expertise and experience to understand and consider Sparkling's inquiries concerning the failure of Software to operate according to Specifications and to clarify Documentation that is either insufficient or unclear. Such direct telephone access shall be available in accordance with the Telephone Support Schedule. In the event that the Telephone Support Service does provide a resolution to Sparkling (acting reasonably) within 2 business days to permit the Software to meet the Specifications, then Garman shall provide Software Repair Services to address the Software failure. The existing Telephone support numbers are for Garman business hours 1-800-667-6901 or 1-306-242-6322 and after hours 1-306-717-1999, which is a pager number being monitored directly by qualified Garman staff.</w:t>
        <w:br/>
        <w:t>(c) SOFTWARE REPAIR SERVICE</w:t>
        <w:br/>
        <w:t>Should the Software not operate substantially in conformance with the Sparkling's Specifications in all material respects, Garman will use its best efforts to repair the Software under the support agreement at no additional charge to Sparkling. Notwithstanding the foregoing, Garman may charge a fee at its rates set out in the Fee Schedule to provide Software Repair Services which are required due to:</w:t>
        <w:br/>
        <w:t>(1) failure due to Sparkling operator errors;</w:t>
        <w:br/>
        <w:t>(2) failure to maintain Software at such updated version or release of the Software provided by Garman to Sparkling, from time to time, at no additional charge as part of the Maintenance Services or otherwise;</w:t>
        <w:br/>
        <w:t>(3) material modification of the Software by Sparkling; or</w:t>
      </w:r>
    </w:p>
    <w:p>
      <w:r>
        <w:rPr>
          <w:b/>
        </w:rPr>
        <w:t>[c-013] 10. MAINTENANCE AND SUPPORT (cont. 2)</w:t>
      </w:r>
    </w:p>
    <w:p>
      <w:r>
        <w:t>(4) the Software being transferred to a different networking environment or hardware configuration without the prior written consent of Garman; or</w:t>
        <w:br/>
        <w:t>(5) any failure of the hardware or the operating system not caused by Garman or the Software.</w:t>
      </w:r>
    </w:p>
    <w:p>
      <w:r>
        <w:rPr>
          <w:b/>
        </w:rPr>
        <w:t>[c-014] 11. FEES</w:t>
      </w:r>
    </w:p>
    <w:p>
      <w:r>
        <w:t>11. FEES</w:t>
        <w:br/>
        <w:t>Sparkling shall pay the fees as set out in the Fee Schedule in accordance with the terms of this Agreement and the Fee Schedule.</w:t>
      </w:r>
    </w:p>
    <w:p>
      <w:r>
        <w:rPr>
          <w:b/>
        </w:rPr>
        <w:t>[c-015] 12. SPECIFICATIONS AND WARRANTY</w:t>
      </w:r>
    </w:p>
    <w:p>
      <w:r>
        <w:t>12. SPECIFICATIONS AND WARRANTY</w:t>
        <w:br/>
        <w:t>For the acceptance period and for a period of one year from the Maintenance Commencement Date, and thereafter for as long as the Software is covered by Maintenance Services and is used by Sparkling in accordance with this Agreement, Garman warrants that the Software shall perform in conformance with the Specifications in all material respects.</w:t>
      </w:r>
    </w:p>
    <w:p>
      <w:r>
        <w:rPr>
          <w:b/>
        </w:rPr>
        <w:t>[c-020] 17. TERM AND TERMINATION</w:t>
      </w:r>
    </w:p>
    <w:p>
      <w:r>
        <w:t>17. TERM AND TERMINATION</w:t>
        <w:br/>
        <w:t>(a) This Agreement and the license granted under this Agreement shall remain in effect perpetually as long as fees are paid by Sparkling in accordance with the Fee Schedule and the Agreement is not otherwise terminated in accordance with this Section.</w:t>
        <w:br/>
        <w:t>(b) Sparkling may terminate this Agreement at any time upon ninety (90) calendar days written notice to Garman. If Sparkling terminates this Agreement pursuant to this Section 17(b), Sparkling shall cease using the Software at the end of the ninety (90) day notice period, and shall certify to Garman within thirty (30) calendar days of termination that Sparkling has destroyed or has returned to Garman all Software, Documentation and Codes.</w:t>
        <w:br/>
        <w:t>(c) If either party:</w:t>
        <w:br/>
        <w:t>(1) makes an assignment in bankruptcy or is adjudicated a bankrupt;</w:t>
        <w:br/>
        <w:t>(2) makes a general assignment for the benefit of its creditors;</w:t>
        <w:br/>
        <w:t>(3) has a receiver, administrator or manager of its property, assets or undertaking appointed in such circumstances as would in the reasonable discretion of the other party, detrimentally affect such other party's rights under this Agreement;</w:t>
        <w:br/>
        <w:t>(4) is ordered by any court to be wound up;</w:t>
        <w:br/>
        <w:t>(5) becomes insolvent or makes a sale in bulk of its assets;</w:t>
        <w:br/>
        <w:t>(6) ceases doing business as a going concern;</w:t>
        <w:br/>
        <w:t>(7) defaults on any of its material obligations provided for hereunder and such default is not cured within thirty calendar days of written notice thereof by the other party, or the defaulting party fails to take sufficient actions to the reasonable satisfaction of the other party to cure the default within thirty calendar days of written notice; this Agreement may be terminated by the other party. If this Agreement is terminated by Sparkling, due to Garman's default, the license herein granted shall continue, but shall be converted to a perpetual license pursuant to which Sparkling shall not be required to pay any further fees to Garman hereunder, and Garman shall immediately return all fees paid under this Agreement for services not yet rendered.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D4E89"/>
      <w:sz w:val="2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1D4E8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160"/>
      <w:contextualSpacing/>
    </w:pPr>
    <w:rPr>
      <w:rFonts w:asciiTheme="majorHAnsi" w:eastAsiaTheme="majorEastAsia" w:hAnsiTheme="majorHAnsi" w:cstheme="majorBidi" w:ascii="Calibri" w:hAnsi="Calibri"/>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