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Week 3: Security Policy Review Report</w:t>
      </w:r>
    </w:p>
    <w:p>
      <w:pPr>
        <w:spacing w:before="0" w:after="360"/>
      </w:pPr>
      <w:r>
        <w:rPr>
          <w:i/>
          <w:color w:val="5C768D"/>
          <w:sz w:val="24"/>
        </w:rPr>
        <w:t>Comprehensive Critique, Vulnerability Assessment &amp; Improvement Roadmap</w:t>
      </w:r>
    </w:p>
    <w:p>
      <w:pPr>
        <w:spacing w:after="360"/>
        <w:pBdr>
          <w:bottom w:val="single" w:sz="12" w:space="1" w:color="1B365D"/>
        </w:pBdr>
      </w:pPr>
    </w:p>
    <w:p>
      <w:pPr>
        <w:keepNext/>
        <w:spacing w:before="320" w:after="120"/>
      </w:pPr>
      <w:r>
        <w:rPr>
          <w:rFonts w:ascii="Arial" w:hAnsi="Arial"/>
          <w:b/>
          <w:color w:val="1B365D"/>
          <w:sz w:val="30"/>
        </w:rPr>
        <w:t>1. Executive Summary</w:t>
      </w:r>
    </w:p>
    <w:p>
      <w:pPr>
        <w:spacing w:after="200" w:line="276" w:lineRule="auto"/>
      </w:pPr>
      <w:r>
        <w:t>This report provides a comprehensive review and critical critique of a hypothetical organization's Information Security Policy. As global cyber threats become increasingly complex and automated, outdated or generic security policies leave organizations highly vulnerable to severe data breaches, supply chain exploitation, regulatory non-compliance, and catastrophic operational downtime.</w:t>
        <w:br/>
        <w:br/>
        <w:t>The primary objective of this review is to evaluate the existing policy framework, identify critical technical and procedural gaps, and establish actionable, industry-standard recommendations. All proposed improvements are aligned with international security standards, including the NIST Cybersecurity Framework (CSF 2.0) and ISO/IEC 27001.</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120" w:after="80"/>
              <w:ind w:left="216"/>
            </w:pPr>
            <w:r>
              <w:rPr>
                <w:b/>
                <w:color w:val="1B365D"/>
                <w:sz w:val="22"/>
              </w:rPr>
              <w:t>Key Review Objective:</w:t>
              <w:br/>
            </w:r>
            <w:r>
              <w:rPr>
                <w:color w:val="282828"/>
                <w:sz w:val="21"/>
              </w:rPr>
              <w:t>Transition the organization's legacy 'perimeter-focused' policy into an actionable, identity-centric 'Zero Trust Architecture' that addresses modern remote work, cloud infrastructure, and rapid incident response requirements.</w:t>
            </w:r>
          </w:p>
        </w:tc>
      </w:tr>
    </w:tbl>
    <w:p/>
    <w:p>
      <w:pPr>
        <w:keepNext/>
        <w:spacing w:before="320" w:after="120"/>
      </w:pPr>
      <w:r>
        <w:rPr>
          <w:rFonts w:ascii="Arial" w:hAnsi="Arial"/>
          <w:b/>
          <w:color w:val="1B365D"/>
          <w:sz w:val="30"/>
        </w:rPr>
        <w:t>2. Critique of the Existing Security Policy</w:t>
      </w:r>
    </w:p>
    <w:p>
      <w:pPr>
        <w:spacing w:after="200"/>
      </w:pPr>
      <w:r>
        <w:t>A rigorous audit of the provided security policy revealed several structural deficiencies, procedural omissions, and outdated technical guidelines across four core domains:</w:t>
      </w:r>
    </w:p>
    <w:p>
      <w:pPr>
        <w:keepNext/>
        <w:spacing w:before="240" w:after="80"/>
      </w:pPr>
      <w:r>
        <w:rPr>
          <w:rFonts w:ascii="Arial" w:hAnsi="Arial"/>
          <w:b/>
          <w:color w:val="5C768D"/>
          <w:sz w:val="24"/>
        </w:rPr>
        <w:t>A. Weak Access Control &amp; Password Requirements</w:t>
      </w:r>
    </w:p>
    <w:p>
      <w:pPr>
        <w:pStyle w:val="ListBullet"/>
        <w:spacing w:after="80"/>
      </w:pPr>
      <w:r>
        <w:rPr>
          <w:b/>
        </w:rPr>
        <w:t xml:space="preserve">Policy Deficit: </w:t>
      </w:r>
      <w:r>
        <w:t>The policy relies on static password standards (e.g., 8-character complexity rotated every 90 days) without mandating Multi-Factor Authentication (MFA).</w:t>
      </w:r>
    </w:p>
    <w:p>
      <w:pPr>
        <w:pStyle w:val="ListBullet"/>
        <w:spacing w:after="160"/>
      </w:pPr>
      <w:r>
        <w:rPr>
          <w:b/>
        </w:rPr>
        <w:t xml:space="preserve">Security Risk: </w:t>
      </w:r>
      <w:r>
        <w:t>Leaves the organization vulnerable to credential stuffing, password spraying, and sophisticated phishing/vishing attacks.</w:t>
      </w:r>
    </w:p>
    <w:p>
      <w:pPr>
        <w:keepNext/>
        <w:spacing w:before="240" w:after="80"/>
      </w:pPr>
      <w:r>
        <w:rPr>
          <w:rFonts w:ascii="Arial" w:hAnsi="Arial"/>
          <w:b/>
          <w:color w:val="5C768D"/>
          <w:sz w:val="24"/>
        </w:rPr>
        <w:t>B. Insufficient Incident Response Protocols</w:t>
      </w:r>
    </w:p>
    <w:p>
      <w:pPr>
        <w:pStyle w:val="ListBullet"/>
        <w:spacing w:after="80"/>
      </w:pPr>
      <w:r>
        <w:rPr>
          <w:b/>
        </w:rPr>
        <w:t xml:space="preserve">Policy Deficit: </w:t>
      </w:r>
      <w:r>
        <w:t>Lacks structured escalation matrices, severity classification definitions, and clear regulatory reporting timelines.</w:t>
      </w:r>
    </w:p>
    <w:p>
      <w:pPr>
        <w:pStyle w:val="ListBullet"/>
        <w:spacing w:after="160"/>
      </w:pPr>
      <w:r>
        <w:rPr>
          <w:b/>
        </w:rPr>
        <w:t xml:space="preserve">Security Risk: </w:t>
      </w:r>
      <w:r>
        <w:t>Delayed incident containment increases threat actor dwell time, amplifying data loss and regulatory penalties.</w:t>
      </w:r>
    </w:p>
    <w:p>
      <w:pPr>
        <w:keepNext/>
        <w:spacing w:before="240" w:after="80"/>
      </w:pPr>
      <w:r>
        <w:rPr>
          <w:rFonts w:ascii="Arial" w:hAnsi="Arial"/>
          <w:b/>
          <w:color w:val="5C768D"/>
          <w:sz w:val="24"/>
        </w:rPr>
        <w:t>C. Absence of Remote Work &amp; BYOD Controls</w:t>
      </w:r>
    </w:p>
    <w:p>
      <w:pPr>
        <w:pStyle w:val="ListBullet"/>
        <w:spacing w:after="80"/>
      </w:pPr>
      <w:r>
        <w:rPr>
          <w:b/>
        </w:rPr>
        <w:t xml:space="preserve">Policy Deficit: </w:t>
      </w:r>
      <w:r>
        <w:t>Fails to regulate unmanaged personal devices, remote connection standards, or secure Wi-Fi protocols.</w:t>
      </w:r>
    </w:p>
    <w:p>
      <w:pPr>
        <w:pStyle w:val="ListBullet"/>
        <w:spacing w:after="160"/>
      </w:pPr>
      <w:r>
        <w:rPr>
          <w:b/>
        </w:rPr>
        <w:t xml:space="preserve">Security Risk: </w:t>
      </w:r>
      <w:r>
        <w:t>Unsecured remote endpoints serve as direct entry points into corporate internal networks.</w:t>
      </w:r>
    </w:p>
    <w:p>
      <w:pPr>
        <w:keepNext/>
        <w:spacing w:before="240" w:after="80"/>
      </w:pPr>
      <w:r>
        <w:rPr>
          <w:rFonts w:ascii="Arial" w:hAnsi="Arial"/>
          <w:b/>
          <w:color w:val="5C768D"/>
          <w:sz w:val="24"/>
        </w:rPr>
        <w:t>D. Lack of Cloud Security &amp; Data Governance</w:t>
      </w:r>
    </w:p>
    <w:p>
      <w:pPr>
        <w:pStyle w:val="ListBullet"/>
        <w:spacing w:after="80"/>
      </w:pPr>
      <w:r>
        <w:rPr>
          <w:b/>
        </w:rPr>
        <w:t xml:space="preserve">Policy Deficit: </w:t>
      </w:r>
      <w:r>
        <w:t>Omits data classification tiers (Public, Internal, Confidential, Restricted) and rules for third-party cloud service usage.</w:t>
      </w:r>
    </w:p>
    <w:p>
      <w:pPr>
        <w:pStyle w:val="ListBullet"/>
        <w:spacing w:after="240"/>
      </w:pPr>
      <w:r>
        <w:rPr>
          <w:b/>
        </w:rPr>
        <w:t xml:space="preserve">Security Risk: </w:t>
      </w:r>
      <w:r>
        <w:t>Unintentional exposure of sensitive customer data, cloud misconfigurations, and non-compliance with GDPR/CCPA.</w:t>
      </w:r>
    </w:p>
    <w:p>
      <w:pPr>
        <w:keepNext/>
        <w:spacing w:before="320" w:after="120"/>
      </w:pPr>
      <w:r>
        <w:rPr>
          <w:rFonts w:ascii="Arial" w:hAnsi="Arial"/>
          <w:b/>
          <w:color w:val="1B365D"/>
          <w:sz w:val="30"/>
        </w:rPr>
        <w:t>3. Concrete Improvement Recommendations</w:t>
      </w:r>
    </w:p>
    <w:p>
      <w:pPr>
        <w:spacing w:after="200"/>
      </w:pPr>
      <w:r>
        <w:t>To eliminate identified vulnerabilities, the following five actionable policy enhancements must be implemented:</w:t>
      </w:r>
    </w:p>
    <w:tbl>
      <w:tblPr>
        <w:tblW w:type="auto" w:w="0"/>
        <w:jc w:val="center"/>
        <w:tblLook w:firstColumn="1" w:firstRow="1" w:lastColumn="0" w:lastRow="0" w:noHBand="0" w:noVBand="1" w:val="04A0"/>
      </w:tblPr>
      <w:tblGrid>
        <w:gridCol w:w="4680"/>
        <w:gridCol w:w="4680"/>
      </w:tblGrid>
      <w:tr>
        <w:tc>
          <w:tcPr>
            <w:tcW w:type="dxa" w:w="3168"/>
            <w:shd w:fill="1B365D"/>
          </w:tcPr>
          <w:p>
            <w:pPr>
              <w:spacing w:before="80" w:after="80"/>
            </w:pPr>
            <w:r>
              <w:rPr>
                <w:b/>
                <w:color w:val="FFFFFF"/>
              </w:rPr>
              <w:t>Domain / Area</w:t>
            </w:r>
          </w:p>
        </w:tc>
        <w:tc>
          <w:tcPr>
            <w:tcW w:type="dxa" w:w="6192"/>
            <w:shd w:fill="1B365D"/>
          </w:tcPr>
          <w:p>
            <w:pPr>
              <w:spacing w:before="80" w:after="80"/>
            </w:pPr>
            <w:r>
              <w:rPr>
                <w:b/>
                <w:color w:val="FFFFFF"/>
              </w:rPr>
              <w:t>Mandated Improvement Policy</w:t>
            </w:r>
          </w:p>
        </w:tc>
      </w:tr>
      <w:tr>
        <w:tc>
          <w:tcPr>
            <w:tcW w:type="dxa" w:w="3168"/>
            <w:tcBorders>
              <w:top w:val="single" w:sz="4" w:space="0" w:color="D1D5DB"/>
              <w:bottom w:val="single" w:sz="4" w:space="0" w:color="D1D5DB"/>
              <w:left w:val="none"/>
              <w:right w:val="none"/>
            </w:tcBorders>
          </w:tcPr>
          <w:p>
            <w:pPr>
              <w:spacing w:before="80" w:after="80"/>
            </w:pPr>
            <w:r>
              <w:rPr>
                <w:b/>
                <w:sz w:val="20"/>
              </w:rPr>
              <w:t>1. Identity &amp; Access Management (IAM)</w:t>
            </w:r>
          </w:p>
        </w:tc>
        <w:tc>
          <w:tcPr>
            <w:tcW w:type="dxa" w:w="6192"/>
            <w:tcBorders>
              <w:top w:val="single" w:sz="4" w:space="0" w:color="D1D5DB"/>
              <w:bottom w:val="single" w:sz="4" w:space="0" w:color="D1D5DB"/>
              <w:left w:val="none"/>
              <w:right w:val="none"/>
            </w:tcBorders>
          </w:tcPr>
          <w:p>
            <w:pPr>
              <w:spacing w:before="80" w:after="80"/>
            </w:pPr>
            <w:r>
              <w:rPr>
                <w:sz w:val="20"/>
              </w:rPr>
              <w:t>Mandate phishing-resistant MFA (FIDO2/WebAuthn) for all access points. Enforce Role-Based Access Control (RBAC) and the Principle of Least Privilege (PoLP).</w:t>
            </w:r>
          </w:p>
        </w:tc>
      </w:tr>
      <w:tr>
        <w:tc>
          <w:tcPr>
            <w:tcW w:type="dxa" w:w="3168"/>
            <w:tcBorders>
              <w:top w:val="single" w:sz="4" w:space="0" w:color="D1D5DB"/>
              <w:bottom w:val="single" w:sz="4" w:space="0" w:color="D1D5DB"/>
              <w:left w:val="none"/>
              <w:right w:val="none"/>
            </w:tcBorders>
          </w:tcPr>
          <w:p>
            <w:pPr>
              <w:spacing w:before="80" w:after="80"/>
            </w:pPr>
            <w:r>
              <w:rPr>
                <w:b/>
                <w:sz w:val="20"/>
              </w:rPr>
              <w:t>2. Incident Response Plan (IRP)</w:t>
            </w:r>
          </w:p>
        </w:tc>
        <w:tc>
          <w:tcPr>
            <w:tcW w:type="dxa" w:w="6192"/>
            <w:tcBorders>
              <w:top w:val="single" w:sz="4" w:space="0" w:color="D1D5DB"/>
              <w:bottom w:val="single" w:sz="4" w:space="0" w:color="D1D5DB"/>
              <w:left w:val="none"/>
              <w:right w:val="none"/>
            </w:tcBorders>
          </w:tcPr>
          <w:p>
            <w:pPr>
              <w:spacing w:before="80" w:after="80"/>
            </w:pPr>
            <w:r>
              <w:rPr>
                <w:sz w:val="20"/>
              </w:rPr>
              <w:t>Define clear severity tiers (Low to Critical) with enforced containment SLA timelines (e.g., Critical breaches escalated within 1 hour).</w:t>
            </w:r>
          </w:p>
        </w:tc>
      </w:tr>
      <w:tr>
        <w:tc>
          <w:tcPr>
            <w:tcW w:type="dxa" w:w="3168"/>
            <w:tcBorders>
              <w:top w:val="single" w:sz="4" w:space="0" w:color="D1D5DB"/>
              <w:bottom w:val="single" w:sz="4" w:space="0" w:color="D1D5DB"/>
              <w:left w:val="none"/>
              <w:right w:val="none"/>
            </w:tcBorders>
          </w:tcPr>
          <w:p>
            <w:pPr>
              <w:spacing w:before="80" w:after="80"/>
            </w:pPr>
            <w:r>
              <w:rPr>
                <w:b/>
                <w:sz w:val="20"/>
              </w:rPr>
              <w:t>3. Data Governance &amp; Encryption</w:t>
            </w:r>
          </w:p>
        </w:tc>
        <w:tc>
          <w:tcPr>
            <w:tcW w:type="dxa" w:w="6192"/>
            <w:tcBorders>
              <w:top w:val="single" w:sz="4" w:space="0" w:color="D1D5DB"/>
              <w:bottom w:val="single" w:sz="4" w:space="0" w:color="D1D5DB"/>
              <w:left w:val="none"/>
              <w:right w:val="none"/>
            </w:tcBorders>
          </w:tcPr>
          <w:p>
            <w:pPr>
              <w:spacing w:before="80" w:after="80"/>
            </w:pPr>
            <w:r>
              <w:rPr>
                <w:sz w:val="20"/>
              </w:rPr>
              <w:t>Establish a 4-tier Data Classification Scheme. Require AES-256 encryption for Data-at-Rest and TLS 1.3 for Data-in-Transit.</w:t>
            </w:r>
          </w:p>
        </w:tc>
      </w:tr>
      <w:tr>
        <w:tc>
          <w:tcPr>
            <w:tcW w:type="dxa" w:w="3168"/>
            <w:tcBorders>
              <w:top w:val="single" w:sz="4" w:space="0" w:color="D1D5DB"/>
              <w:bottom w:val="single" w:sz="4" w:space="0" w:color="D1D5DB"/>
              <w:left w:val="none"/>
              <w:right w:val="none"/>
            </w:tcBorders>
          </w:tcPr>
          <w:p>
            <w:pPr>
              <w:spacing w:before="80" w:after="80"/>
            </w:pPr>
            <w:r>
              <w:rPr>
                <w:b/>
                <w:sz w:val="20"/>
              </w:rPr>
              <w:t>4. Remote Work &amp; MDM</w:t>
            </w:r>
          </w:p>
        </w:tc>
        <w:tc>
          <w:tcPr>
            <w:tcW w:type="dxa" w:w="6192"/>
            <w:tcBorders>
              <w:top w:val="single" w:sz="4" w:space="0" w:color="D1D5DB"/>
              <w:bottom w:val="single" w:sz="4" w:space="0" w:color="D1D5DB"/>
              <w:left w:val="none"/>
              <w:right w:val="none"/>
            </w:tcBorders>
          </w:tcPr>
          <w:p>
            <w:pPr>
              <w:spacing w:before="80" w:after="80"/>
            </w:pPr>
            <w:r>
              <w:rPr>
                <w:sz w:val="20"/>
              </w:rPr>
              <w:t>Require mandatory Mobile Device Management (MDM) enrollment and Endpoint Detection and Response (EDR) agents on all remote devices.</w:t>
            </w:r>
          </w:p>
        </w:tc>
      </w:tr>
      <w:tr>
        <w:tc>
          <w:tcPr>
            <w:tcW w:type="dxa" w:w="3168"/>
            <w:tcBorders>
              <w:top w:val="single" w:sz="4" w:space="0" w:color="D1D5DB"/>
              <w:bottom w:val="single" w:sz="4" w:space="0" w:color="D1D5DB"/>
              <w:left w:val="none"/>
              <w:right w:val="none"/>
            </w:tcBorders>
          </w:tcPr>
          <w:p>
            <w:pPr>
              <w:spacing w:before="80" w:after="80"/>
            </w:pPr>
            <w:r>
              <w:rPr>
                <w:b/>
                <w:sz w:val="20"/>
              </w:rPr>
              <w:t>5. Security Awareness Training</w:t>
            </w:r>
          </w:p>
        </w:tc>
        <w:tc>
          <w:tcPr>
            <w:tcW w:type="dxa" w:w="6192"/>
            <w:tcBorders>
              <w:top w:val="single" w:sz="4" w:space="0" w:color="D1D5DB"/>
              <w:bottom w:val="single" w:sz="4" w:space="0" w:color="D1D5DB"/>
              <w:left w:val="none"/>
              <w:right w:val="none"/>
            </w:tcBorders>
          </w:tcPr>
          <w:p>
            <w:pPr>
              <w:spacing w:before="80" w:after="80"/>
            </w:pPr>
            <w:r>
              <w:rPr>
                <w:sz w:val="20"/>
              </w:rPr>
              <w:t>Transition from annual generic training to continuous, monthly role-specific education and simulated phishing campaigns.</w:t>
            </w:r>
          </w:p>
        </w:tc>
      </w:tr>
    </w:tbl>
    <w:p>
      <w:pPr>
        <w:spacing w:after="200"/>
      </w:pPr>
    </w:p>
    <w:p>
      <w:pPr>
        <w:keepNext/>
        <w:spacing w:before="320" w:after="120"/>
      </w:pPr>
      <w:r>
        <w:rPr>
          <w:rFonts w:ascii="Arial" w:hAnsi="Arial"/>
          <w:b/>
          <w:color w:val="1B365D"/>
          <w:sz w:val="30"/>
        </w:rPr>
        <w:t>4. Implementation Roadmap (90-Day Execution Plan)</w:t>
      </w:r>
    </w:p>
    <w:p>
      <w:pPr>
        <w:spacing w:before="80" w:after="120"/>
      </w:pPr>
      <w:r>
        <w:rPr>
          <w:b/>
          <w:color w:val="1B365D"/>
        </w:rPr>
        <w:t>Phase 1: Foundation (Days 1–30)</w:t>
        <w:br/>
      </w:r>
      <w:r>
        <w:rPr>
          <w:sz w:val="21"/>
        </w:rPr>
        <w:t>Enforce mandatory MFA across all user accounts, update identity access rules, and formalize the 4-tier Data Classification policy.</w:t>
      </w:r>
    </w:p>
    <w:p>
      <w:pPr>
        <w:spacing w:before="80" w:after="120"/>
      </w:pPr>
      <w:r>
        <w:rPr>
          <w:b/>
          <w:color w:val="1B365D"/>
        </w:rPr>
        <w:t>Phase 2: Technical Controls (Days 31–60)</w:t>
        <w:br/>
      </w:r>
      <w:r>
        <w:rPr>
          <w:sz w:val="21"/>
        </w:rPr>
        <w:t>Deploy MDM and EDR agents on all remote devices, configure Zero Trust Network Access (ZTNA), and publish the revised Incident Response Plan.</w:t>
      </w:r>
    </w:p>
    <w:p>
      <w:pPr>
        <w:spacing w:before="80" w:after="120"/>
      </w:pPr>
      <w:r>
        <w:rPr>
          <w:b/>
          <w:color w:val="1B365D"/>
        </w:rPr>
        <w:t>Phase 3: Culture &amp; Audit (Days 61–90)</w:t>
        <w:br/>
      </w:r>
      <w:r>
        <w:rPr>
          <w:sz w:val="21"/>
        </w:rPr>
        <w:t>Roll out monthly phishing simulations, conduct role-specific security workshops, and perform an independent ISO 27001 compliance audit.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