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80" w:line="312" w:lineRule="auto"/>
        <w:jc w:val="center"/>
      </w:pPr>
      <w:r>
        <w:rPr>
          <w:rFonts w:ascii="Times New Roman" w:hAnsi="Times New Roman"/>
          <w:b/>
          <w:sz w:val="28"/>
        </w:rPr>
        <w:t>MKSSS’s</w:t>
        <w:br/>
      </w:r>
      <w:r>
        <w:rPr>
          <w:rFonts w:ascii="Times New Roman" w:hAnsi="Times New Roman"/>
          <w:b/>
          <w:color w:val="003366"/>
          <w:sz w:val="32"/>
        </w:rPr>
        <w:t>Cummins College of Engineering for Women, Pune</w:t>
        <w:br/>
      </w:r>
      <w:r>
        <w:rPr>
          <w:rFonts w:ascii="Times New Roman" w:hAnsi="Times New Roman"/>
          <w:i/>
          <w:sz w:val="24"/>
        </w:rPr>
        <w:t>(An Autonomous Institute Affiliated to Savitribai Phule Pune University)</w:t>
        <w:br/>
        <w:br/>
      </w:r>
      <w:r>
        <w:rPr>
          <w:rFonts w:ascii="Times New Roman" w:hAnsi="Times New Roman"/>
          <w:b/>
          <w:sz w:val="28"/>
        </w:rPr>
        <w:t>Third Year B. Tech (Computer Engineering)</w:t>
        <w:br/>
        <w:br/>
        <w:br/>
      </w:r>
      <w:r>
        <w:rPr>
          <w:rFonts w:ascii="Times New Roman" w:hAnsi="Times New Roman"/>
          <w:b/>
          <w:color w:val="003366"/>
          <w:sz w:val="36"/>
        </w:rPr>
        <w:t>MINI PROJECT REPORT</w:t>
        <w:br/>
      </w:r>
      <w:r>
        <w:rPr>
          <w:rFonts w:ascii="Times New Roman" w:hAnsi="Times New Roman"/>
          <w:sz w:val="26"/>
        </w:rPr>
        <w:t>On</w:t>
        <w:br/>
        <w:br/>
      </w:r>
      <w:r>
        <w:rPr>
          <w:rFonts w:ascii="Times New Roman" w:hAnsi="Times New Roman"/>
          <w:b/>
          <w:color w:val="B42814"/>
          <w:sz w:val="32"/>
        </w:rPr>
        <w:t>“Baggage Vision AI: Intelligent Luggage Inspection and Risk Detection System”</w:t>
        <w:br/>
        <w:br/>
        <w:br/>
      </w:r>
    </w:p>
    <w:p>
      <w:pPr>
        <w:spacing w:before="200" w:after="120" w:line="312" w:lineRule="auto"/>
        <w:jc w:val="center"/>
      </w:pPr>
      <w:r>
        <w:rPr>
          <w:rFonts w:ascii="Times New Roman" w:hAnsi="Times New Roman"/>
          <w:b/>
          <w:sz w:val="26"/>
        </w:rPr>
        <w:t>Submitted by</w:t>
        <w:br/>
        <w:br/>
      </w:r>
    </w:p>
    <w:p>
      <w:pPr>
        <w:spacing w:before="80" w:after="280" w:line="336" w:lineRule="auto"/>
        <w:ind w:left="2160"/>
        <w:jc w:val="left"/>
      </w:pPr>
      <w:r>
        <w:rPr>
          <w:rFonts w:ascii="Times New Roman" w:hAnsi="Times New Roman"/>
          <w:b/>
          <w:sz w:val="24"/>
        </w:rPr>
        <w:t xml:space="preserve">Student Name: </w:t>
      </w:r>
      <w:r>
        <w:rPr>
          <w:rFonts w:ascii="Times New Roman" w:hAnsi="Times New Roman"/>
          <w:sz w:val="24"/>
        </w:rPr>
        <w:t>Anushkaa Pawar</w:t>
        <w:br/>
      </w:r>
      <w:r>
        <w:rPr>
          <w:rFonts w:ascii="Times New Roman" w:hAnsi="Times New Roman"/>
          <w:b/>
          <w:sz w:val="24"/>
        </w:rPr>
        <w:t xml:space="preserve">U. No.: </w:t>
      </w:r>
      <w:r>
        <w:rPr>
          <w:rFonts w:ascii="Times New Roman" w:hAnsi="Times New Roman"/>
          <w:sz w:val="24"/>
        </w:rPr>
        <w:t>____________________________________</w:t>
        <w:br/>
      </w:r>
      <w:r>
        <w:rPr>
          <w:rFonts w:ascii="Times New Roman" w:hAnsi="Times New Roman"/>
          <w:b/>
          <w:sz w:val="24"/>
        </w:rPr>
        <w:t xml:space="preserve">Class / Division: </w:t>
      </w:r>
      <w:r>
        <w:rPr>
          <w:rFonts w:ascii="Times New Roman" w:hAnsi="Times New Roman"/>
          <w:sz w:val="24"/>
        </w:rPr>
        <w:t>Third Year B. Tech (Computer Engineering)</w:t>
        <w:br/>
      </w:r>
      <w:r>
        <w:rPr>
          <w:rFonts w:ascii="Times New Roman" w:hAnsi="Times New Roman"/>
          <w:b/>
          <w:sz w:val="24"/>
        </w:rPr>
        <w:t xml:space="preserve">Roll No.: </w:t>
      </w:r>
      <w:r>
        <w:rPr>
          <w:rFonts w:ascii="Times New Roman" w:hAnsi="Times New Roman"/>
          <w:sz w:val="24"/>
        </w:rPr>
        <w:t>____________________________________</w:t>
        <w:br/>
      </w:r>
    </w:p>
    <w:p>
      <w:pPr>
        <w:spacing w:before="200" w:after="80" w:line="312" w:lineRule="auto"/>
        <w:jc w:val="center"/>
      </w:pPr>
      <w:r>
        <w:rPr>
          <w:rFonts w:ascii="Times New Roman" w:hAnsi="Times New Roman"/>
          <w:b/>
          <w:sz w:val="26"/>
        </w:rPr>
        <w:t>Under the Guidance of</w:t>
        <w:br/>
        <w:br/>
      </w:r>
      <w:r>
        <w:rPr>
          <w:rFonts w:ascii="Times New Roman" w:hAnsi="Times New Roman"/>
          <w:b/>
          <w:sz w:val="24"/>
        </w:rPr>
        <w:t>Guide Name: _________________________________</w:t>
        <w:br/>
        <w:br/>
      </w:r>
      <w:r>
        <w:rPr>
          <w:rFonts w:ascii="Times New Roman" w:hAnsi="Times New Roman"/>
          <w:b/>
          <w:color w:val="003366"/>
          <w:sz w:val="28"/>
        </w:rPr>
        <w:t>Department of Computer Engineering</w:t>
        <w:br/>
        <w:br/>
      </w:r>
      <w:r>
        <w:rPr>
          <w:rFonts w:ascii="Times New Roman" w:hAnsi="Times New Roman"/>
          <w:b/>
          <w:sz w:val="26"/>
        </w:rPr>
        <w:t>Academic Year: 2026–27</w:t>
        <w:br/>
      </w:r>
    </w:p>
    <w:p>
      <w:r>
        <w:br w:type="page"/>
      </w:r>
    </w:p>
    <w:p>
      <w:pPr>
        <w:spacing w:before="240" w:after="240" w:line="312" w:lineRule="auto"/>
        <w:jc w:val="left"/>
      </w:pPr>
      <w:r>
        <w:rPr>
          <w:rFonts w:ascii="Times New Roman" w:hAnsi="Times New Roman"/>
          <w:b/>
          <w:color w:val="003366"/>
          <w:sz w:val="32"/>
        </w:rPr>
        <w:t>TABLE OF CONTENTS</w:t>
      </w:r>
    </w:p>
    <w:tbl>
      <w:tblPr>
        <w:tblW w:type="auto" w:w="0"/>
        <w:tblLook w:firstColumn="1" w:firstRow="1" w:lastColumn="0" w:lastRow="0" w:noHBand="0" w:noVBand="1" w:val="04A0"/>
        <w:jc w:val="center"/>
        <w:tblBorders>
          <w:top w:val="single" w:sz="4" w:space="0" w:color="9FB6CD"/>
          <w:bottom w:val="single" w:sz="4" w:space="0" w:color="9FB6CD"/>
          <w:left w:val="single" w:sz="4" w:space="0" w:color="9FB6CD"/>
          <w:right w:val="single" w:sz="4" w:space="0" w:color="9FB6CD"/>
          <w:insideH w:val="single" w:sz="4" w:space="0" w:color="9FB6CD"/>
          <w:insideV w:val="single" w:sz="4" w:space="0" w:color="9FB6CD"/>
        </w:tblBorders>
      </w:tblPr>
      <w:tblGrid>
        <w:gridCol w:w="3010"/>
        <w:gridCol w:w="3010"/>
        <w:gridCol w:w="3010"/>
      </w:tblGrid>
      <w:tr>
        <w:tc>
          <w:tcPr>
            <w:tcW w:type="dxa" w:w="1440"/>
            <w:shd w:fill="D9EAF7"/>
            <w:tcMar>
              <w:top w:w="120" w:type="dxa"/>
              <w:bottom w:w="120" w:type="dxa"/>
              <w:left w:w="140" w:type="dxa"/>
              <w:right w:w="140" w:type="dxa"/>
            </w:tcMar>
            <w:vAlign w:val="center"/>
          </w:tcPr>
          <w:p>
            <w:pPr>
              <w:spacing w:before="0" w:after="0" w:line="276" w:lineRule="auto"/>
              <w:jc w:val="center"/>
            </w:pPr>
            <w:r>
              <w:rPr>
                <w:rFonts w:ascii="Times New Roman" w:hAnsi="Times New Roman"/>
                <w:b/>
                <w:color w:val="002850"/>
                <w:sz w:val="21"/>
              </w:rPr>
              <w:t>Sr. No.</w:t>
            </w:r>
          </w:p>
        </w:tc>
        <w:tc>
          <w:tcPr>
            <w:tcW w:type="dxa" w:w="6149"/>
            <w:shd w:fill="D9EAF7"/>
            <w:tcMar>
              <w:top w:w="120" w:type="dxa"/>
              <w:bottom w:w="120" w:type="dxa"/>
              <w:left w:w="140" w:type="dxa"/>
              <w:right w:w="140" w:type="dxa"/>
            </w:tcMar>
            <w:vAlign w:val="center"/>
          </w:tcPr>
          <w:p>
            <w:pPr>
              <w:spacing w:before="0" w:after="0" w:line="276" w:lineRule="auto"/>
              <w:jc w:val="center"/>
            </w:pPr>
            <w:r>
              <w:rPr>
                <w:rFonts w:ascii="Times New Roman" w:hAnsi="Times New Roman"/>
                <w:b/>
                <w:color w:val="002850"/>
                <w:sz w:val="21"/>
              </w:rPr>
              <w:t>Contents</w:t>
            </w:r>
          </w:p>
        </w:tc>
        <w:tc>
          <w:tcPr>
            <w:tcW w:type="dxa" w:w="1440"/>
            <w:shd w:fill="D9EAF7"/>
            <w:tcMar>
              <w:top w:w="120" w:type="dxa"/>
              <w:bottom w:w="120" w:type="dxa"/>
              <w:left w:w="140" w:type="dxa"/>
              <w:right w:w="140" w:type="dxa"/>
            </w:tcMar>
            <w:vAlign w:val="center"/>
          </w:tcPr>
          <w:p>
            <w:pPr>
              <w:spacing w:before="0" w:after="0" w:line="276" w:lineRule="auto"/>
              <w:jc w:val="center"/>
            </w:pPr>
            <w:r>
              <w:rPr>
                <w:rFonts w:ascii="Times New Roman" w:hAnsi="Times New Roman"/>
                <w:b/>
                <w:color w:val="002850"/>
                <w:sz w:val="21"/>
              </w:rPr>
              <w:t>Page No.</w:t>
            </w:r>
          </w:p>
        </w:tc>
      </w:tr>
      <w:tr>
        <w:tc>
          <w:tcPr>
            <w:tcW w:type="dxa" w:w="1440"/>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212529"/>
                <w:sz w:val="20"/>
              </w:rPr>
              <w:t>1</w:t>
            </w:r>
          </w:p>
        </w:tc>
        <w:tc>
          <w:tcPr>
            <w:tcW w:type="dxa" w:w="6149"/>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212529"/>
                <w:sz w:val="20"/>
              </w:rPr>
              <w:t>Introduction</w:t>
            </w:r>
          </w:p>
        </w:tc>
        <w:tc>
          <w:tcPr>
            <w:tcW w:type="dxa" w:w="1440"/>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212529"/>
                <w:sz w:val="20"/>
              </w:rPr>
              <w:t>3</w:t>
            </w:r>
          </w:p>
        </w:tc>
      </w:tr>
      <w:tr>
        <w:tc>
          <w:tcPr>
            <w:tcW w:type="dxa" w:w="1440"/>
            <w:shd w:fill="F9FBFC"/>
            <w:tcMar>
              <w:top w:w="100" w:type="dxa"/>
              <w:bottom w:w="100" w:type="dxa"/>
              <w:left w:w="130" w:type="dxa"/>
              <w:right w:w="130" w:type="dxa"/>
            </w:tcMar>
            <w:vAlign w:val="center"/>
          </w:tcPr>
          <w:p>
            <w:pPr>
              <w:spacing w:before="0" w:after="0" w:line="276" w:lineRule="auto"/>
              <w:jc w:val="center"/>
            </w:pPr>
            <w:r>
              <w:rPr>
                <w:rFonts w:ascii="Times New Roman" w:hAnsi="Times New Roman"/>
                <w:color w:val="212529"/>
                <w:sz w:val="20"/>
              </w:rPr>
              <w:t>2</w:t>
            </w:r>
          </w:p>
        </w:tc>
        <w:tc>
          <w:tcPr>
            <w:tcW w:type="dxa" w:w="6149"/>
            <w:shd w:fill="F9FBFC"/>
            <w:tcMar>
              <w:top w:w="100" w:type="dxa"/>
              <w:bottom w:w="100" w:type="dxa"/>
              <w:left w:w="130" w:type="dxa"/>
              <w:right w:w="130" w:type="dxa"/>
            </w:tcMar>
            <w:vAlign w:val="center"/>
          </w:tcPr>
          <w:p>
            <w:pPr>
              <w:spacing w:before="0" w:after="0" w:line="276" w:lineRule="auto"/>
              <w:jc w:val="center"/>
            </w:pPr>
            <w:r>
              <w:rPr>
                <w:rFonts w:ascii="Times New Roman" w:hAnsi="Times New Roman"/>
                <w:color w:val="212529"/>
                <w:sz w:val="20"/>
              </w:rPr>
              <w:t>Motivation</w:t>
            </w:r>
          </w:p>
        </w:tc>
        <w:tc>
          <w:tcPr>
            <w:tcW w:type="dxa" w:w="1440"/>
            <w:shd w:fill="F9FBFC"/>
            <w:tcMar>
              <w:top w:w="100" w:type="dxa"/>
              <w:bottom w:w="100" w:type="dxa"/>
              <w:left w:w="130" w:type="dxa"/>
              <w:right w:w="130" w:type="dxa"/>
            </w:tcMar>
            <w:vAlign w:val="center"/>
          </w:tcPr>
          <w:p>
            <w:pPr>
              <w:spacing w:before="0" w:after="0" w:line="276" w:lineRule="auto"/>
              <w:jc w:val="center"/>
            </w:pPr>
            <w:r>
              <w:rPr>
                <w:rFonts w:ascii="Times New Roman" w:hAnsi="Times New Roman"/>
                <w:color w:val="212529"/>
                <w:sz w:val="20"/>
              </w:rPr>
              <w:t>4</w:t>
            </w:r>
          </w:p>
        </w:tc>
      </w:tr>
      <w:tr>
        <w:tc>
          <w:tcPr>
            <w:tcW w:type="dxa" w:w="1440"/>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212529"/>
                <w:sz w:val="20"/>
              </w:rPr>
              <w:t>3</w:t>
            </w:r>
          </w:p>
        </w:tc>
        <w:tc>
          <w:tcPr>
            <w:tcW w:type="dxa" w:w="6149"/>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212529"/>
                <w:sz w:val="20"/>
              </w:rPr>
              <w:t>Literature Survey</w:t>
            </w:r>
          </w:p>
        </w:tc>
        <w:tc>
          <w:tcPr>
            <w:tcW w:type="dxa" w:w="1440"/>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212529"/>
                <w:sz w:val="20"/>
              </w:rPr>
              <w:t>5</w:t>
            </w:r>
          </w:p>
        </w:tc>
      </w:tr>
      <w:tr>
        <w:tc>
          <w:tcPr>
            <w:tcW w:type="dxa" w:w="1440"/>
            <w:shd w:fill="F9FBFC"/>
            <w:tcMar>
              <w:top w:w="100" w:type="dxa"/>
              <w:bottom w:w="100" w:type="dxa"/>
              <w:left w:w="130" w:type="dxa"/>
              <w:right w:w="130" w:type="dxa"/>
            </w:tcMar>
            <w:vAlign w:val="center"/>
          </w:tcPr>
          <w:p>
            <w:pPr>
              <w:spacing w:before="0" w:after="0" w:line="276" w:lineRule="auto"/>
              <w:jc w:val="center"/>
            </w:pPr>
            <w:r>
              <w:rPr>
                <w:rFonts w:ascii="Times New Roman" w:hAnsi="Times New Roman"/>
                <w:color w:val="212529"/>
                <w:sz w:val="20"/>
              </w:rPr>
              <w:t>4</w:t>
            </w:r>
          </w:p>
        </w:tc>
        <w:tc>
          <w:tcPr>
            <w:tcW w:type="dxa" w:w="6149"/>
            <w:shd w:fill="F9FBFC"/>
            <w:tcMar>
              <w:top w:w="100" w:type="dxa"/>
              <w:bottom w:w="100" w:type="dxa"/>
              <w:left w:w="130" w:type="dxa"/>
              <w:right w:w="130" w:type="dxa"/>
            </w:tcMar>
            <w:vAlign w:val="center"/>
          </w:tcPr>
          <w:p>
            <w:pPr>
              <w:spacing w:before="0" w:after="0" w:line="276" w:lineRule="auto"/>
              <w:jc w:val="center"/>
            </w:pPr>
            <w:r>
              <w:rPr>
                <w:rFonts w:ascii="Times New Roman" w:hAnsi="Times New Roman"/>
                <w:color w:val="212529"/>
                <w:sz w:val="20"/>
              </w:rPr>
              <w:t>Dataset Used</w:t>
            </w:r>
          </w:p>
        </w:tc>
        <w:tc>
          <w:tcPr>
            <w:tcW w:type="dxa" w:w="1440"/>
            <w:shd w:fill="F9FBFC"/>
            <w:tcMar>
              <w:top w:w="100" w:type="dxa"/>
              <w:bottom w:w="100" w:type="dxa"/>
              <w:left w:w="130" w:type="dxa"/>
              <w:right w:w="130" w:type="dxa"/>
            </w:tcMar>
            <w:vAlign w:val="center"/>
          </w:tcPr>
          <w:p>
            <w:pPr>
              <w:spacing w:before="0" w:after="0" w:line="276" w:lineRule="auto"/>
              <w:jc w:val="center"/>
            </w:pPr>
            <w:r>
              <w:rPr>
                <w:rFonts w:ascii="Times New Roman" w:hAnsi="Times New Roman"/>
                <w:color w:val="212529"/>
                <w:sz w:val="20"/>
              </w:rPr>
              <w:t>7</w:t>
            </w:r>
          </w:p>
        </w:tc>
      </w:tr>
      <w:tr>
        <w:tc>
          <w:tcPr>
            <w:tcW w:type="dxa" w:w="1440"/>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212529"/>
                <w:sz w:val="20"/>
              </w:rPr>
              <w:t>5</w:t>
            </w:r>
          </w:p>
        </w:tc>
        <w:tc>
          <w:tcPr>
            <w:tcW w:type="dxa" w:w="6149"/>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212529"/>
                <w:sz w:val="20"/>
              </w:rPr>
              <w:t>Flow Diagram / Block Diagram</w:t>
            </w:r>
          </w:p>
        </w:tc>
        <w:tc>
          <w:tcPr>
            <w:tcW w:type="dxa" w:w="1440"/>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212529"/>
                <w:sz w:val="20"/>
              </w:rPr>
              <w:t>9</w:t>
            </w:r>
          </w:p>
        </w:tc>
      </w:tr>
      <w:tr>
        <w:tc>
          <w:tcPr>
            <w:tcW w:type="dxa" w:w="1440"/>
            <w:shd w:fill="F9FBFC"/>
            <w:tcMar>
              <w:top w:w="100" w:type="dxa"/>
              <w:bottom w:w="100" w:type="dxa"/>
              <w:left w:w="130" w:type="dxa"/>
              <w:right w:w="130" w:type="dxa"/>
            </w:tcMar>
            <w:vAlign w:val="center"/>
          </w:tcPr>
          <w:p>
            <w:pPr>
              <w:spacing w:before="0" w:after="0" w:line="276" w:lineRule="auto"/>
              <w:jc w:val="center"/>
            </w:pPr>
            <w:r>
              <w:rPr>
                <w:rFonts w:ascii="Times New Roman" w:hAnsi="Times New Roman"/>
                <w:color w:val="212529"/>
                <w:sz w:val="20"/>
              </w:rPr>
              <w:t>6</w:t>
            </w:r>
          </w:p>
        </w:tc>
        <w:tc>
          <w:tcPr>
            <w:tcW w:type="dxa" w:w="6149"/>
            <w:shd w:fill="F9FBFC"/>
            <w:tcMar>
              <w:top w:w="100" w:type="dxa"/>
              <w:bottom w:w="100" w:type="dxa"/>
              <w:left w:w="130" w:type="dxa"/>
              <w:right w:w="130" w:type="dxa"/>
            </w:tcMar>
            <w:vAlign w:val="center"/>
          </w:tcPr>
          <w:p>
            <w:pPr>
              <w:spacing w:before="0" w:after="0" w:line="276" w:lineRule="auto"/>
              <w:jc w:val="left"/>
            </w:pPr>
            <w:r>
              <w:rPr>
                <w:rFonts w:ascii="Times New Roman" w:hAnsi="Times New Roman"/>
                <w:color w:val="212529"/>
                <w:sz w:val="20"/>
              </w:rPr>
              <w:t>Methods Used / Technology Stack</w:t>
            </w:r>
          </w:p>
        </w:tc>
        <w:tc>
          <w:tcPr>
            <w:tcW w:type="dxa" w:w="1440"/>
            <w:shd w:fill="F9FBFC"/>
            <w:tcMar>
              <w:top w:w="100" w:type="dxa"/>
              <w:bottom w:w="100" w:type="dxa"/>
              <w:left w:w="130" w:type="dxa"/>
              <w:right w:w="130" w:type="dxa"/>
            </w:tcMar>
            <w:vAlign w:val="center"/>
          </w:tcPr>
          <w:p>
            <w:pPr>
              <w:spacing w:before="0" w:after="0" w:line="276" w:lineRule="auto"/>
              <w:jc w:val="center"/>
            </w:pPr>
            <w:r>
              <w:rPr>
                <w:rFonts w:ascii="Times New Roman" w:hAnsi="Times New Roman"/>
                <w:color w:val="212529"/>
                <w:sz w:val="20"/>
              </w:rPr>
              <w:t>13</w:t>
            </w:r>
          </w:p>
        </w:tc>
      </w:tr>
      <w:tr>
        <w:tc>
          <w:tcPr>
            <w:tcW w:type="dxa" w:w="1440"/>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212529"/>
                <w:sz w:val="20"/>
              </w:rPr>
              <w:t>7</w:t>
            </w:r>
          </w:p>
        </w:tc>
        <w:tc>
          <w:tcPr>
            <w:tcW w:type="dxa" w:w="6149"/>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212529"/>
                <w:sz w:val="20"/>
              </w:rPr>
              <w:t>Model Development</w:t>
            </w:r>
          </w:p>
        </w:tc>
        <w:tc>
          <w:tcPr>
            <w:tcW w:type="dxa" w:w="1440"/>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212529"/>
                <w:sz w:val="20"/>
              </w:rPr>
              <w:t>15</w:t>
            </w:r>
          </w:p>
        </w:tc>
      </w:tr>
      <w:tr>
        <w:tc>
          <w:tcPr>
            <w:tcW w:type="dxa" w:w="1440"/>
            <w:shd w:fill="F9FBFC"/>
            <w:tcMar>
              <w:top w:w="100" w:type="dxa"/>
              <w:bottom w:w="100" w:type="dxa"/>
              <w:left w:w="130" w:type="dxa"/>
              <w:right w:w="130" w:type="dxa"/>
            </w:tcMar>
            <w:vAlign w:val="center"/>
          </w:tcPr>
          <w:p>
            <w:pPr>
              <w:spacing w:before="0" w:after="0" w:line="276" w:lineRule="auto"/>
              <w:jc w:val="center"/>
            </w:pPr>
            <w:r>
              <w:rPr>
                <w:rFonts w:ascii="Times New Roman" w:hAnsi="Times New Roman"/>
                <w:color w:val="212529"/>
                <w:sz w:val="20"/>
              </w:rPr>
              <w:t>8</w:t>
            </w:r>
          </w:p>
        </w:tc>
        <w:tc>
          <w:tcPr>
            <w:tcW w:type="dxa" w:w="6149"/>
            <w:shd w:fill="F9FBFC"/>
            <w:tcMar>
              <w:top w:w="100" w:type="dxa"/>
              <w:bottom w:w="100" w:type="dxa"/>
              <w:left w:w="130" w:type="dxa"/>
              <w:right w:w="130" w:type="dxa"/>
            </w:tcMar>
            <w:vAlign w:val="center"/>
          </w:tcPr>
          <w:p>
            <w:pPr>
              <w:spacing w:before="0" w:after="0" w:line="276" w:lineRule="auto"/>
              <w:jc w:val="left"/>
            </w:pPr>
            <w:r>
              <w:rPr>
                <w:rFonts w:ascii="Times New Roman" w:hAnsi="Times New Roman"/>
                <w:color w:val="212529"/>
                <w:sz w:val="20"/>
              </w:rPr>
              <w:t>Version Control</w:t>
            </w:r>
          </w:p>
        </w:tc>
        <w:tc>
          <w:tcPr>
            <w:tcW w:type="dxa" w:w="1440"/>
            <w:shd w:fill="F9FBFC"/>
            <w:tcMar>
              <w:top w:w="100" w:type="dxa"/>
              <w:bottom w:w="100" w:type="dxa"/>
              <w:left w:w="130" w:type="dxa"/>
              <w:right w:w="130" w:type="dxa"/>
            </w:tcMar>
            <w:vAlign w:val="center"/>
          </w:tcPr>
          <w:p>
            <w:pPr>
              <w:spacing w:before="0" w:after="0" w:line="276" w:lineRule="auto"/>
              <w:jc w:val="center"/>
            </w:pPr>
            <w:r>
              <w:rPr>
                <w:rFonts w:ascii="Times New Roman" w:hAnsi="Times New Roman"/>
                <w:color w:val="212529"/>
                <w:sz w:val="20"/>
              </w:rPr>
              <w:t>21</w:t>
            </w:r>
          </w:p>
        </w:tc>
      </w:tr>
      <w:tr>
        <w:tc>
          <w:tcPr>
            <w:tcW w:type="dxa" w:w="1440"/>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212529"/>
                <w:sz w:val="20"/>
              </w:rPr>
              <w:t>9</w:t>
            </w:r>
          </w:p>
        </w:tc>
        <w:tc>
          <w:tcPr>
            <w:tcW w:type="dxa" w:w="6149"/>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212529"/>
                <w:sz w:val="20"/>
              </w:rPr>
              <w:t>Experiment Tracking</w:t>
            </w:r>
          </w:p>
        </w:tc>
        <w:tc>
          <w:tcPr>
            <w:tcW w:type="dxa" w:w="1440"/>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212529"/>
                <w:sz w:val="20"/>
              </w:rPr>
              <w:t>23</w:t>
            </w:r>
          </w:p>
        </w:tc>
      </w:tr>
      <w:tr>
        <w:tc>
          <w:tcPr>
            <w:tcW w:type="dxa" w:w="1440"/>
            <w:shd w:fill="F9FBFC"/>
            <w:tcMar>
              <w:top w:w="100" w:type="dxa"/>
              <w:bottom w:w="100" w:type="dxa"/>
              <w:left w:w="130" w:type="dxa"/>
              <w:right w:w="130" w:type="dxa"/>
            </w:tcMar>
            <w:vAlign w:val="center"/>
          </w:tcPr>
          <w:p>
            <w:pPr>
              <w:spacing w:before="0" w:after="0" w:line="276" w:lineRule="auto"/>
              <w:jc w:val="center"/>
            </w:pPr>
            <w:r>
              <w:rPr>
                <w:rFonts w:ascii="Times New Roman" w:hAnsi="Times New Roman"/>
                <w:color w:val="212529"/>
                <w:sz w:val="20"/>
              </w:rPr>
              <w:t>10</w:t>
            </w:r>
          </w:p>
        </w:tc>
        <w:tc>
          <w:tcPr>
            <w:tcW w:type="dxa" w:w="6149"/>
            <w:shd w:fill="F9FBFC"/>
            <w:tcMar>
              <w:top w:w="100" w:type="dxa"/>
              <w:bottom w:w="100" w:type="dxa"/>
              <w:left w:w="130" w:type="dxa"/>
              <w:right w:w="130" w:type="dxa"/>
            </w:tcMar>
            <w:vAlign w:val="center"/>
          </w:tcPr>
          <w:p>
            <w:pPr>
              <w:spacing w:before="0" w:after="0" w:line="276" w:lineRule="auto"/>
              <w:jc w:val="center"/>
            </w:pPr>
            <w:r>
              <w:rPr>
                <w:rFonts w:ascii="Times New Roman" w:hAnsi="Times New Roman"/>
                <w:color w:val="212529"/>
                <w:sz w:val="20"/>
              </w:rPr>
              <w:t>AutoML / MLOps</w:t>
            </w:r>
          </w:p>
        </w:tc>
        <w:tc>
          <w:tcPr>
            <w:tcW w:type="dxa" w:w="1440"/>
            <w:shd w:fill="F9FBFC"/>
            <w:tcMar>
              <w:top w:w="100" w:type="dxa"/>
              <w:bottom w:w="100" w:type="dxa"/>
              <w:left w:w="130" w:type="dxa"/>
              <w:right w:w="130" w:type="dxa"/>
            </w:tcMar>
            <w:vAlign w:val="center"/>
          </w:tcPr>
          <w:p>
            <w:pPr>
              <w:spacing w:before="0" w:after="0" w:line="276" w:lineRule="auto"/>
              <w:jc w:val="center"/>
            </w:pPr>
            <w:r>
              <w:rPr>
                <w:rFonts w:ascii="Times New Roman" w:hAnsi="Times New Roman"/>
                <w:color w:val="212529"/>
                <w:sz w:val="20"/>
              </w:rPr>
              <w:t>25</w:t>
            </w:r>
          </w:p>
        </w:tc>
      </w:tr>
      <w:tr>
        <w:tc>
          <w:tcPr>
            <w:tcW w:type="dxa" w:w="1440"/>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212529"/>
                <w:sz w:val="20"/>
              </w:rPr>
              <w:t>11</w:t>
            </w:r>
          </w:p>
        </w:tc>
        <w:tc>
          <w:tcPr>
            <w:tcW w:type="dxa" w:w="6149"/>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212529"/>
                <w:sz w:val="20"/>
              </w:rPr>
              <w:t>Deployment</w:t>
            </w:r>
          </w:p>
        </w:tc>
        <w:tc>
          <w:tcPr>
            <w:tcW w:type="dxa" w:w="1440"/>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212529"/>
                <w:sz w:val="20"/>
              </w:rPr>
              <w:t>27</w:t>
            </w:r>
          </w:p>
        </w:tc>
      </w:tr>
      <w:tr>
        <w:tc>
          <w:tcPr>
            <w:tcW w:type="dxa" w:w="1440"/>
            <w:shd w:fill="F9FBFC"/>
            <w:tcMar>
              <w:top w:w="100" w:type="dxa"/>
              <w:bottom w:w="100" w:type="dxa"/>
              <w:left w:w="130" w:type="dxa"/>
              <w:right w:w="130" w:type="dxa"/>
            </w:tcMar>
            <w:vAlign w:val="center"/>
          </w:tcPr>
          <w:p>
            <w:pPr>
              <w:spacing w:before="0" w:after="0" w:line="276" w:lineRule="auto"/>
              <w:jc w:val="center"/>
            </w:pPr>
            <w:r>
              <w:rPr>
                <w:rFonts w:ascii="Times New Roman" w:hAnsi="Times New Roman"/>
                <w:color w:val="212529"/>
                <w:sz w:val="20"/>
              </w:rPr>
              <w:t>12</w:t>
            </w:r>
          </w:p>
        </w:tc>
        <w:tc>
          <w:tcPr>
            <w:tcW w:type="dxa" w:w="6149"/>
            <w:shd w:fill="F9FBFC"/>
            <w:tcMar>
              <w:top w:w="100" w:type="dxa"/>
              <w:bottom w:w="100" w:type="dxa"/>
              <w:left w:w="130" w:type="dxa"/>
              <w:right w:w="130" w:type="dxa"/>
            </w:tcMar>
            <w:vAlign w:val="center"/>
          </w:tcPr>
          <w:p>
            <w:pPr>
              <w:spacing w:before="0" w:after="0" w:line="276" w:lineRule="auto"/>
              <w:jc w:val="left"/>
            </w:pPr>
            <w:r>
              <w:rPr>
                <w:rFonts w:ascii="Times New Roman" w:hAnsi="Times New Roman"/>
                <w:color w:val="212529"/>
                <w:sz w:val="20"/>
              </w:rPr>
              <w:t>Results and Discussions</w:t>
            </w:r>
          </w:p>
        </w:tc>
        <w:tc>
          <w:tcPr>
            <w:tcW w:type="dxa" w:w="1440"/>
            <w:shd w:fill="F9FBFC"/>
            <w:tcMar>
              <w:top w:w="100" w:type="dxa"/>
              <w:bottom w:w="100" w:type="dxa"/>
              <w:left w:w="130" w:type="dxa"/>
              <w:right w:w="130" w:type="dxa"/>
            </w:tcMar>
            <w:vAlign w:val="center"/>
          </w:tcPr>
          <w:p>
            <w:pPr>
              <w:spacing w:before="0" w:after="0" w:line="276" w:lineRule="auto"/>
              <w:jc w:val="center"/>
            </w:pPr>
            <w:r>
              <w:rPr>
                <w:rFonts w:ascii="Times New Roman" w:hAnsi="Times New Roman"/>
                <w:color w:val="212529"/>
                <w:sz w:val="20"/>
              </w:rPr>
              <w:t>33</w:t>
            </w:r>
          </w:p>
        </w:tc>
      </w:tr>
      <w:tr>
        <w:tc>
          <w:tcPr>
            <w:tcW w:type="dxa" w:w="1440"/>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212529"/>
                <w:sz w:val="20"/>
              </w:rPr>
              <w:t>13</w:t>
            </w:r>
          </w:p>
        </w:tc>
        <w:tc>
          <w:tcPr>
            <w:tcW w:type="dxa" w:w="6149"/>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212529"/>
                <w:sz w:val="20"/>
              </w:rPr>
              <w:t>Future Scope</w:t>
            </w:r>
          </w:p>
        </w:tc>
        <w:tc>
          <w:tcPr>
            <w:tcW w:type="dxa" w:w="1440"/>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212529"/>
                <w:sz w:val="20"/>
              </w:rPr>
              <w:t>36</w:t>
            </w:r>
          </w:p>
        </w:tc>
      </w:tr>
      <w:tr>
        <w:tc>
          <w:tcPr>
            <w:tcW w:type="dxa" w:w="1440"/>
            <w:shd w:fill="F9FBFC"/>
            <w:tcMar>
              <w:top w:w="100" w:type="dxa"/>
              <w:bottom w:w="100" w:type="dxa"/>
              <w:left w:w="130" w:type="dxa"/>
              <w:right w:w="130" w:type="dxa"/>
            </w:tcMar>
            <w:vAlign w:val="center"/>
          </w:tcPr>
          <w:p>
            <w:pPr>
              <w:spacing w:before="0" w:after="0" w:line="276" w:lineRule="auto"/>
              <w:jc w:val="center"/>
            </w:pPr>
            <w:r>
              <w:rPr>
                <w:rFonts w:ascii="Times New Roman" w:hAnsi="Times New Roman"/>
                <w:color w:val="212529"/>
                <w:sz w:val="20"/>
              </w:rPr>
              <w:t>14</w:t>
            </w:r>
          </w:p>
        </w:tc>
        <w:tc>
          <w:tcPr>
            <w:tcW w:type="dxa" w:w="6149"/>
            <w:shd w:fill="F9FBFC"/>
            <w:tcMar>
              <w:top w:w="100" w:type="dxa"/>
              <w:bottom w:w="100" w:type="dxa"/>
              <w:left w:w="130" w:type="dxa"/>
              <w:right w:w="130" w:type="dxa"/>
            </w:tcMar>
            <w:vAlign w:val="center"/>
          </w:tcPr>
          <w:p>
            <w:pPr>
              <w:spacing w:before="0" w:after="0" w:line="276" w:lineRule="auto"/>
              <w:jc w:val="center"/>
            </w:pPr>
            <w:r>
              <w:rPr>
                <w:rFonts w:ascii="Times New Roman" w:hAnsi="Times New Roman"/>
                <w:color w:val="212529"/>
                <w:sz w:val="20"/>
              </w:rPr>
              <w:t>Conclusion</w:t>
            </w:r>
          </w:p>
        </w:tc>
        <w:tc>
          <w:tcPr>
            <w:tcW w:type="dxa" w:w="1440"/>
            <w:shd w:fill="F9FBFC"/>
            <w:tcMar>
              <w:top w:w="100" w:type="dxa"/>
              <w:bottom w:w="100" w:type="dxa"/>
              <w:left w:w="130" w:type="dxa"/>
              <w:right w:w="130" w:type="dxa"/>
            </w:tcMar>
            <w:vAlign w:val="center"/>
          </w:tcPr>
          <w:p>
            <w:pPr>
              <w:spacing w:before="0" w:after="0" w:line="276" w:lineRule="auto"/>
              <w:jc w:val="center"/>
            </w:pPr>
            <w:r>
              <w:rPr>
                <w:rFonts w:ascii="Times New Roman" w:hAnsi="Times New Roman"/>
                <w:color w:val="212529"/>
                <w:sz w:val="20"/>
              </w:rPr>
              <w:t>37</w:t>
            </w:r>
          </w:p>
        </w:tc>
      </w:tr>
      <w:tr>
        <w:tc>
          <w:tcPr>
            <w:tcW w:type="dxa" w:w="1440"/>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212529"/>
                <w:sz w:val="20"/>
              </w:rPr>
              <w:t>15</w:t>
            </w:r>
          </w:p>
        </w:tc>
        <w:tc>
          <w:tcPr>
            <w:tcW w:type="dxa" w:w="6149"/>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212529"/>
                <w:sz w:val="20"/>
              </w:rPr>
              <w:t>References</w:t>
            </w:r>
          </w:p>
        </w:tc>
        <w:tc>
          <w:tcPr>
            <w:tcW w:type="dxa" w:w="1440"/>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212529"/>
                <w:sz w:val="20"/>
              </w:rPr>
              <w:t>38</w:t>
            </w:r>
          </w:p>
        </w:tc>
      </w:tr>
    </w:tbl>
    <w:p>
      <w:r>
        <w:br w:type="page"/>
      </w:r>
    </w:p>
    <w:p>
      <w:pPr>
        <w:spacing w:before="320" w:after="120" w:line="360" w:lineRule="auto"/>
        <w:jc w:val="left"/>
      </w:pPr>
      <w:r>
        <w:rPr>
          <w:rFonts w:ascii="Times New Roman" w:hAnsi="Times New Roman"/>
          <w:b/>
          <w:color w:val="003366"/>
          <w:sz w:val="32"/>
        </w:rPr>
        <w:t>1. Introduction</w:t>
      </w:r>
    </w:p>
    <w:p>
      <w:pPr>
        <w:spacing w:before="0" w:after="120" w:line="360" w:lineRule="auto"/>
        <w:jc w:val="both"/>
      </w:pPr>
      <w:r>
        <w:rPr>
          <w:rFonts w:ascii="Times New Roman" w:hAnsi="Times New Roman"/>
          <w:b/>
          <w:color w:val="212529"/>
          <w:sz w:val="24"/>
        </w:rPr>
        <w:t xml:space="preserve">Background of the Problem: </w:t>
      </w:r>
      <w:r>
        <w:rPr>
          <w:rFonts w:ascii="Times New Roman" w:hAnsi="Times New Roman"/>
          <w:color w:val="212529"/>
          <w:sz w:val="24"/>
        </w:rPr>
        <w:t>In modern mass transportation terminals—including international aviation hubs, high-speed rail networks, metropolitan rapid transit stations, and customs border checkpoints—baggage screening is the critical first line of defense against illicit trafficking, contraband smuggling, and catastrophic terrorism. Security inspection relies heavily on multi-energy X-ray scanners that generate penetrating transmission radiographs of packed luggage, revealing the internal structure, material density, and approximate effective atomic numbers of concealed items. However, human visual inspection is rapidly becoming an operational bottleneck due to skyrocketing passenger volumes, tight baggage transfer windows, and severe human cognitive constraints.</w:t>
      </w:r>
    </w:p>
    <w:p>
      <w:pPr>
        <w:spacing w:before="0" w:after="120" w:line="360" w:lineRule="auto"/>
        <w:jc w:val="both"/>
      </w:pPr>
      <w:r>
        <w:rPr>
          <w:rFonts w:ascii="Times New Roman" w:hAnsi="Times New Roman"/>
          <w:b/>
          <w:color w:val="212529"/>
          <w:sz w:val="24"/>
        </w:rPr>
        <w:t xml:space="preserve">Importance of the Problem: </w:t>
      </w:r>
      <w:r>
        <w:rPr>
          <w:rFonts w:ascii="Times New Roman" w:hAnsi="Times New Roman"/>
          <w:color w:val="212529"/>
          <w:sz w:val="24"/>
        </w:rPr>
        <w:t>The societal, economic, and geopolitical stakes of checkpoint security cannot be overstated. A single undetected firearm, sharp weapon, incendiary device, or improvised explosive component can lead to tragic loss of human life, paralyze national transportation networks, and inflict billions of dollars in economic damages. Conversely, manual false alarms that require manual hand-search baggage unpacking trigger severe terminal congestion, flight delays, passenger friction, and massive labor expenses for airport operators and border agencies.</w:t>
      </w:r>
    </w:p>
    <w:p>
      <w:pPr>
        <w:spacing w:before="0" w:after="120" w:line="360" w:lineRule="auto"/>
        <w:jc w:val="both"/>
      </w:pPr>
      <w:r>
        <w:rPr>
          <w:rFonts w:ascii="Times New Roman" w:hAnsi="Times New Roman"/>
          <w:b/>
          <w:color w:val="212529"/>
          <w:sz w:val="24"/>
        </w:rPr>
        <w:t xml:space="preserve">Existing Challenges: </w:t>
      </w:r>
      <w:r>
        <w:rPr>
          <w:rFonts w:ascii="Times New Roman" w:hAnsi="Times New Roman"/>
          <w:color w:val="212529"/>
          <w:sz w:val="24"/>
        </w:rPr>
        <w:t>Despite state-of-the-art dual-energy X-ray imaging hardware, automated luggage inspection remains a formidable computer vision challenge due to three primary domain-specific obstacles: (1) Severe Overlapping and Dense Visual Clutter: Luggage contents are randomly arranged, causing metal, dense organic polymers, and textiles to cast complex superimposed shadows; (2) Arbitrary Spatial Orientation: Unlike natural images where objects exhibit canonical poses, contraband weapons appear at oblique 3D angles, rotations, and extreme aspect ratios; and (3) Human Vigilance Degradation: Human screeners experience an estimated 20% to 30% reduction in threat detection vigilance after merely 20 to 30 minutes of continuous conveyor belt monitoring due to mental fatigue, repetitive visual strain, and the low natural prevalence of actual threats.</w:t>
      </w:r>
    </w:p>
    <w:p>
      <w:pPr>
        <w:spacing w:before="0" w:after="120" w:line="360" w:lineRule="auto"/>
        <w:jc w:val="both"/>
      </w:pPr>
      <w:r>
        <w:rPr>
          <w:rFonts w:ascii="Times New Roman" w:hAnsi="Times New Roman"/>
          <w:b/>
          <w:color w:val="212529"/>
          <w:sz w:val="24"/>
        </w:rPr>
        <w:t xml:space="preserve">Role of AI/ML/Data Science: </w:t>
      </w:r>
      <w:r>
        <w:rPr>
          <w:rFonts w:ascii="Times New Roman" w:hAnsi="Times New Roman"/>
          <w:color w:val="212529"/>
          <w:sz w:val="24"/>
        </w:rPr>
        <w:t>Recent advances in deep learning, computer vision, and machine learning provide a transformative opportunity to overcome these challenges. Modern deep convolutional neural networks (CNNs), anchor-free object detection architectures, and multi-modal foundational vision-language models can automatically learn robust, invariant hierarchical feature representations directly from dual-energy radiographs, discovering subtle contextual visual cues and structural silhouettes that human operators frequently overlook under high-stress, rapid screening conditions.</w:t>
      </w:r>
    </w:p>
    <w:p>
      <w:pPr>
        <w:spacing w:before="0" w:after="120" w:line="360" w:lineRule="auto"/>
        <w:jc w:val="both"/>
      </w:pPr>
      <w:r>
        <w:rPr>
          <w:rFonts w:ascii="Times New Roman" w:hAnsi="Times New Roman"/>
          <w:b/>
          <w:color w:val="212529"/>
          <w:sz w:val="24"/>
        </w:rPr>
        <w:t xml:space="preserve">Proposed Solution: </w:t>
      </w:r>
      <w:r>
        <w:rPr>
          <w:rFonts w:ascii="Times New Roman" w:hAnsi="Times New Roman"/>
          <w:color w:val="212529"/>
          <w:sz w:val="24"/>
        </w:rPr>
        <w:t>To solve these pressing challenges, this project presents Baggage Vision AI (ClearSight): an intelligent, multi-model automated luggage inspection and risk quantification system. The system integrates: (1) an adaptive image preprocessing pipeline employing Contrast Limited Adaptive Histogram Equalization (CLAHE) and Gaussian noise filtration to uncover faint metallic contours in dense baggage zones; (2) a fine-tuned deep object detection model based on Ultralytics YOLOv8x capable of detecting and localizing 12 distinct categories of prohibited items; (3) an unsupervised anomaly detection module utilizing deep feature embeddings extracted via ResNet-50 paired with k-Nearest Neighbors density estimation to identify uncatalogued or suspicious dense luggage anomalies; (4) a zero-shot multimodal vision-language verification component powered by OpenAI CLIP ViT-B/32 to cross-examine baggage contents against declared manifests; (5) a mathematically calibrated multi-factor risk assessment engine; and (6) an intuitive Streamlit decision-support dashboard integrated with a persistent SQLite database for end-to-end security audit logging.</w:t>
      </w:r>
    </w:p>
    <w:p>
      <w:pPr>
        <w:spacing w:before="0" w:after="120" w:line="360" w:lineRule="auto"/>
        <w:jc w:val="both"/>
      </w:pPr>
      <w:r>
        <w:rPr>
          <w:rFonts w:ascii="Times New Roman" w:hAnsi="Times New Roman"/>
          <w:b/>
          <w:color w:val="212529"/>
          <w:sz w:val="24"/>
        </w:rPr>
        <w:t xml:space="preserve">Expected Outcome: </w:t>
      </w:r>
      <w:r>
        <w:rPr>
          <w:rFonts w:ascii="Times New Roman" w:hAnsi="Times New Roman"/>
          <w:color w:val="212529"/>
          <w:sz w:val="24"/>
        </w:rPr>
        <w:t>The expected outcome of this project is a fully deployed, high-speed automated screening solution operating at millisecond latency per scan, achieving an empirical detection precision exceeding 94%, a recall exceeding 88%, and a mean Average Precision (mAP@0.5) of 93.94% on benchmark X-ray luggage imagery. The system delivers calibrated threat scores ('SAFE', 'SUSPICIOUS', or 'HIGH RISK') with bounding box overlays, thereby drastically mitigating screener fatigue, accelerating baggage throughput, and fortifying transportation security infrastructure.</w:t>
      </w:r>
    </w:p>
    <w:p>
      <w:pPr>
        <w:spacing w:before="320" w:after="120" w:line="360" w:lineRule="auto"/>
        <w:jc w:val="left"/>
      </w:pPr>
      <w:r>
        <w:rPr>
          <w:rFonts w:ascii="Times New Roman" w:hAnsi="Times New Roman"/>
          <w:b/>
          <w:color w:val="003366"/>
          <w:sz w:val="32"/>
        </w:rPr>
        <w:t>2. Motivation</w:t>
      </w:r>
    </w:p>
    <w:p>
      <w:pPr>
        <w:spacing w:before="0" w:after="120" w:line="360" w:lineRule="auto"/>
        <w:jc w:val="both"/>
      </w:pPr>
      <w:r>
        <w:rPr>
          <w:rFonts w:ascii="Times New Roman" w:hAnsi="Times New Roman"/>
          <w:b/>
          <w:color w:val="212529"/>
          <w:sz w:val="24"/>
        </w:rPr>
        <w:t xml:space="preserve">Real-World Problem: </w:t>
      </w:r>
      <w:r>
        <w:rPr>
          <w:rFonts w:ascii="Times New Roman" w:hAnsi="Times New Roman"/>
          <w:color w:val="212529"/>
          <w:sz w:val="24"/>
        </w:rPr>
        <w:t>The motivation behind the conceptualization and development of Baggage Vision AI stems from direct operational vulnerabilities observed in contemporary aviation and transit checkpoint screening protocols. Global aviation authorities report handling over 4 billion commercial passengers annually, each traveling with multiple carry-on and checked luggage items. At peak hours, security screening officers have as little as 3 to 6 seconds to visually inspect a dual-energy radiograph before making a definitive pass-or-search decision. This extreme temporal pressure, compounded by dense baggage packing and deliberate contraband concealment techniques (such as wrapping firearms in dense textiles or nesting knives within electronic appliances), creates an urgent need for intelligent, automated decision support.</w:t>
      </w:r>
    </w:p>
    <w:p>
      <w:pPr>
        <w:spacing w:before="0" w:after="120" w:line="360" w:lineRule="auto"/>
        <w:jc w:val="both"/>
      </w:pPr>
      <w:r>
        <w:rPr>
          <w:rFonts w:ascii="Times New Roman" w:hAnsi="Times New Roman"/>
          <w:b/>
          <w:color w:val="212529"/>
          <w:sz w:val="24"/>
        </w:rPr>
        <w:t xml:space="preserve">Limitations of Existing Approaches: </w:t>
      </w:r>
      <w:r>
        <w:rPr>
          <w:rFonts w:ascii="Times New Roman" w:hAnsi="Times New Roman"/>
          <w:color w:val="212529"/>
          <w:sz w:val="24"/>
        </w:rPr>
        <w:t>Existing automated security screening solutions suffer from significant functional and algorithmic limitations. Traditional Automated Threat Recognition (ATR) algorithms bundled with commercial scanners rely predominantly on rudimentary dual-energy atomic number (Z_eff) segmentation and hardcoded geometrical heuristics. These legacy ATR systems suffer from an unacceptably high false alarm rate—often triggering spurious alarms on dense benign materials such as organic cheeses, books, power banks, and laptop batteries—or conversely failing to detect modern composite non-metallic weapons. Furthermore, conventional deep learning implementations treat threat identification as a pure binary or isolated multi-class object detection task, neglecting the critical requirement for multi-factor risk synthesis, out-of-distribution anomaly detection, and unified audit tracking.</w:t>
      </w:r>
    </w:p>
    <w:p>
      <w:pPr>
        <w:spacing w:before="0" w:after="120" w:line="360" w:lineRule="auto"/>
        <w:jc w:val="both"/>
      </w:pPr>
      <w:r>
        <w:rPr>
          <w:rFonts w:ascii="Times New Roman" w:hAnsi="Times New Roman"/>
          <w:b/>
          <w:color w:val="212529"/>
          <w:sz w:val="24"/>
        </w:rPr>
        <w:t xml:space="preserve">Need for an Automated/Intelligent Solution: </w:t>
      </w:r>
      <w:r>
        <w:rPr>
          <w:rFonts w:ascii="Times New Roman" w:hAnsi="Times New Roman"/>
          <w:color w:val="212529"/>
          <w:sz w:val="24"/>
        </w:rPr>
        <w:t>Consequently, there is an imperative need for an integrated, multi-layered intelligent screening architecture. An automated system must not only detect catalogue-defined weapons (guns, knives, bullets) with pinpoint precision, but also flag unexpected spatial anomalies, evaluate clutter density, and compute an interpretable, composite risk index. Such an automated system acts as an infallible, tireless co-pilot for human screeners, spotlighting hidden dangers without slowing down terminal passenger flow.</w:t>
      </w:r>
    </w:p>
    <w:p>
      <w:pPr>
        <w:spacing w:before="0" w:after="120" w:line="360" w:lineRule="auto"/>
        <w:jc w:val="both"/>
      </w:pPr>
      <w:r>
        <w:rPr>
          <w:rFonts w:ascii="Times New Roman" w:hAnsi="Times New Roman"/>
          <w:b/>
          <w:color w:val="212529"/>
          <w:sz w:val="24"/>
        </w:rPr>
        <w:t xml:space="preserve">Expected Benefits: </w:t>
      </w:r>
      <w:r>
        <w:rPr>
          <w:rFonts w:ascii="Times New Roman" w:hAnsi="Times New Roman"/>
          <w:color w:val="212529"/>
          <w:sz w:val="24"/>
        </w:rPr>
        <w:t>The deployment of Baggage Vision AI provides multifaceted operational and safety benefits: (1) Vigilance Enhancement: Eliminates operator vigilance decay by pre-highlighting suspicious bounding boxes; (2) Rapid Checkpoint Processing: Executes full-pipeline inference in under 20 milliseconds on GPU hardware, boosting terminal throughput; (3) Standardized Threat Protocol: Replaces subjective operator judgment with consistent, calibrated mathematical risk scoring; and (4) Regulatory Compliance &amp; Auditability: Logs all container and baggage screenings with unique case IDs into an SQLite audit ledger, facilitating post-incident forensics and compliance verification.</w:t>
      </w:r>
    </w:p>
    <w:p>
      <w:pPr>
        <w:spacing w:before="0" w:after="120" w:line="360" w:lineRule="auto"/>
        <w:jc w:val="both"/>
      </w:pPr>
      <w:r>
        <w:rPr>
          <w:rFonts w:ascii="Times New Roman" w:hAnsi="Times New Roman"/>
          <w:b/>
          <w:color w:val="212529"/>
          <w:sz w:val="24"/>
        </w:rPr>
        <w:t xml:space="preserve">Reason for Selecting Technology and Approach: </w:t>
      </w:r>
      <w:r>
        <w:rPr>
          <w:rFonts w:ascii="Times New Roman" w:hAnsi="Times New Roman"/>
          <w:color w:val="212529"/>
          <w:sz w:val="24"/>
        </w:rPr>
        <w:t>The Ultralytics YOLOv8x deep convolutional object detection architecture was specifically selected due to its anchor-free decoupled detection head, advanced Cross-Stage Partial Network with 2 convolutions (C2f) modules, and multi-scale Path Aggregation Network (PANet). These structural traits make YOLOv8x exceptionally capable of discerning heavily overlapping objects and subtle metallic boundaries in cluttered luggage. Furthermore, pairing YOLOv8x with a ResNet-50 feature extractor and k-NN anomaly scoring provides a robust dual-stage safety net, ensuring both known and unknown threats are systematically flagged.</w:t>
      </w:r>
    </w:p>
    <w:p>
      <w:pPr>
        <w:spacing w:before="320" w:after="120" w:line="360" w:lineRule="auto"/>
        <w:jc w:val="left"/>
      </w:pPr>
      <w:r>
        <w:rPr>
          <w:rFonts w:ascii="Times New Roman" w:hAnsi="Times New Roman"/>
          <w:b/>
          <w:color w:val="003366"/>
          <w:sz w:val="32"/>
        </w:rPr>
        <w:t>3. Literature Survey</w:t>
      </w:r>
    </w:p>
    <w:p>
      <w:pPr>
        <w:spacing w:before="0" w:after="120" w:line="360" w:lineRule="auto"/>
        <w:jc w:val="both"/>
      </w:pPr>
      <w:r>
        <w:rPr>
          <w:rFonts w:ascii="Times New Roman" w:hAnsi="Times New Roman"/>
          <w:color w:val="212529"/>
          <w:sz w:val="24"/>
        </w:rPr>
        <w:t>To establish a solid academic and theoretical foundation, an extensive literature review of state-of-the-art research papers, benchmark datasets, and computer vision methodologies in X-ray baggage screening was conducted. Table 1 summarizes five seminal studies directly relevant to this project.</w:t>
      </w:r>
    </w:p>
    <w:p>
      <w:pPr>
        <w:spacing w:before="160" w:after="60" w:line="276" w:lineRule="auto"/>
        <w:jc w:val="left"/>
      </w:pPr>
      <w:r>
        <w:rPr>
          <w:rFonts w:ascii="Times New Roman" w:hAnsi="Times New Roman"/>
          <w:b/>
          <w:color w:val="003366"/>
          <w:sz w:val="22"/>
        </w:rPr>
        <w:t>Table 1: Literature Survey of Prohibited Item Detection in X-Ray Baggage</w:t>
      </w:r>
    </w:p>
    <w:tbl>
      <w:tblPr>
        <w:tblW w:type="auto" w:w="0"/>
        <w:tblLook w:firstColumn="1" w:firstRow="1" w:lastColumn="0" w:lastRow="0" w:noHBand="0" w:noVBand="1" w:val="04A0"/>
        <w:jc w:val="center"/>
        <w:tblBorders>
          <w:top w:val="single" w:sz="4" w:space="0" w:color="9FB6CD"/>
          <w:bottom w:val="single" w:sz="4" w:space="0" w:color="9FB6CD"/>
          <w:left w:val="single" w:sz="4" w:space="0" w:color="9FB6CD"/>
          <w:right w:val="single" w:sz="4" w:space="0" w:color="9FB6CD"/>
          <w:insideH w:val="single" w:sz="4" w:space="0" w:color="9FB6CD"/>
          <w:insideV w:val="single" w:sz="4" w:space="0" w:color="9FB6CD"/>
        </w:tblBorders>
      </w:tblPr>
      <w:tblGrid>
        <w:gridCol w:w="1129"/>
        <w:gridCol w:w="1129"/>
        <w:gridCol w:w="1129"/>
        <w:gridCol w:w="1129"/>
        <w:gridCol w:w="1129"/>
        <w:gridCol w:w="1129"/>
        <w:gridCol w:w="1129"/>
        <w:gridCol w:w="1129"/>
      </w:tblGrid>
      <w:tr>
        <w:tc>
          <w:tcPr>
            <w:tcW w:type="dxa" w:w="576"/>
            <w:shd w:fill="D9EAF7"/>
            <w:tcMar>
              <w:top w:w="120" w:type="dxa"/>
              <w:bottom w:w="120" w:type="dxa"/>
              <w:left w:w="140" w:type="dxa"/>
              <w:right w:w="140" w:type="dxa"/>
            </w:tcMar>
            <w:vAlign w:val="center"/>
          </w:tcPr>
          <w:p>
            <w:pPr>
              <w:spacing w:before="0" w:after="0" w:line="276" w:lineRule="auto"/>
              <w:jc w:val="center"/>
            </w:pPr>
            <w:r>
              <w:rPr>
                <w:rFonts w:ascii="Times New Roman" w:hAnsi="Times New Roman"/>
                <w:b/>
                <w:color w:val="002850"/>
                <w:sz w:val="21"/>
              </w:rPr>
              <w:t>Sr. No.</w:t>
            </w:r>
          </w:p>
        </w:tc>
        <w:tc>
          <w:tcPr>
            <w:tcW w:type="dxa" w:w="1296"/>
            <w:shd w:fill="D9EAF7"/>
            <w:tcMar>
              <w:top w:w="120" w:type="dxa"/>
              <w:bottom w:w="120" w:type="dxa"/>
              <w:left w:w="140" w:type="dxa"/>
              <w:right w:w="140" w:type="dxa"/>
            </w:tcMar>
            <w:vAlign w:val="center"/>
          </w:tcPr>
          <w:p>
            <w:pPr>
              <w:spacing w:before="0" w:after="0" w:line="276" w:lineRule="auto"/>
              <w:jc w:val="center"/>
            </w:pPr>
            <w:r>
              <w:rPr>
                <w:rFonts w:ascii="Times New Roman" w:hAnsi="Times New Roman"/>
                <w:b/>
                <w:color w:val="002850"/>
                <w:sz w:val="21"/>
              </w:rPr>
              <w:t>Author(s)</w:t>
            </w:r>
          </w:p>
        </w:tc>
        <w:tc>
          <w:tcPr>
            <w:tcW w:type="dxa" w:w="720"/>
            <w:shd w:fill="D9EAF7"/>
            <w:tcMar>
              <w:top w:w="120" w:type="dxa"/>
              <w:bottom w:w="120" w:type="dxa"/>
              <w:left w:w="140" w:type="dxa"/>
              <w:right w:w="140" w:type="dxa"/>
            </w:tcMar>
            <w:vAlign w:val="center"/>
          </w:tcPr>
          <w:p>
            <w:pPr>
              <w:spacing w:before="0" w:after="0" w:line="276" w:lineRule="auto"/>
              <w:jc w:val="center"/>
            </w:pPr>
            <w:r>
              <w:rPr>
                <w:rFonts w:ascii="Times New Roman" w:hAnsi="Times New Roman"/>
                <w:b/>
                <w:color w:val="002850"/>
                <w:sz w:val="21"/>
              </w:rPr>
              <w:t>Year</w:t>
            </w:r>
          </w:p>
        </w:tc>
        <w:tc>
          <w:tcPr>
            <w:tcW w:type="dxa" w:w="1728"/>
            <w:shd w:fill="D9EAF7"/>
            <w:tcMar>
              <w:top w:w="120" w:type="dxa"/>
              <w:bottom w:w="120" w:type="dxa"/>
              <w:left w:w="140" w:type="dxa"/>
              <w:right w:w="140" w:type="dxa"/>
            </w:tcMar>
            <w:vAlign w:val="center"/>
          </w:tcPr>
          <w:p>
            <w:pPr>
              <w:spacing w:before="0" w:after="0" w:line="276" w:lineRule="auto"/>
              <w:jc w:val="center"/>
            </w:pPr>
            <w:r>
              <w:rPr>
                <w:rFonts w:ascii="Times New Roman" w:hAnsi="Times New Roman"/>
                <w:b/>
                <w:color w:val="002850"/>
                <w:sz w:val="21"/>
              </w:rPr>
              <w:t>Title / Method</w:t>
            </w:r>
          </w:p>
        </w:tc>
        <w:tc>
          <w:tcPr>
            <w:tcW w:type="dxa" w:w="1152"/>
            <w:shd w:fill="D9EAF7"/>
            <w:tcMar>
              <w:top w:w="120" w:type="dxa"/>
              <w:bottom w:w="120" w:type="dxa"/>
              <w:left w:w="140" w:type="dxa"/>
              <w:right w:w="140" w:type="dxa"/>
            </w:tcMar>
            <w:vAlign w:val="center"/>
          </w:tcPr>
          <w:p>
            <w:pPr>
              <w:spacing w:before="0" w:after="0" w:line="276" w:lineRule="auto"/>
              <w:jc w:val="center"/>
            </w:pPr>
            <w:r>
              <w:rPr>
                <w:rFonts w:ascii="Times New Roman" w:hAnsi="Times New Roman"/>
                <w:b/>
                <w:color w:val="002850"/>
                <w:sz w:val="21"/>
              </w:rPr>
              <w:t>Dataset</w:t>
            </w:r>
          </w:p>
        </w:tc>
        <w:tc>
          <w:tcPr>
            <w:tcW w:type="dxa" w:w="1440"/>
            <w:shd w:fill="D9EAF7"/>
            <w:tcMar>
              <w:top w:w="120" w:type="dxa"/>
              <w:bottom w:w="120" w:type="dxa"/>
              <w:left w:w="140" w:type="dxa"/>
              <w:right w:w="140" w:type="dxa"/>
            </w:tcMar>
            <w:vAlign w:val="center"/>
          </w:tcPr>
          <w:p>
            <w:pPr>
              <w:spacing w:before="0" w:after="0" w:line="276" w:lineRule="auto"/>
              <w:jc w:val="center"/>
            </w:pPr>
            <w:r>
              <w:rPr>
                <w:rFonts w:ascii="Times New Roman" w:hAnsi="Times New Roman"/>
                <w:b/>
                <w:color w:val="002850"/>
                <w:sz w:val="21"/>
              </w:rPr>
              <w:t>Technique Used</w:t>
            </w:r>
          </w:p>
        </w:tc>
        <w:tc>
          <w:tcPr>
            <w:tcW w:type="dxa" w:w="1728"/>
            <w:shd w:fill="D9EAF7"/>
            <w:tcMar>
              <w:top w:w="120" w:type="dxa"/>
              <w:bottom w:w="120" w:type="dxa"/>
              <w:left w:w="140" w:type="dxa"/>
              <w:right w:w="140" w:type="dxa"/>
            </w:tcMar>
            <w:vAlign w:val="center"/>
          </w:tcPr>
          <w:p>
            <w:pPr>
              <w:spacing w:before="0" w:after="0" w:line="276" w:lineRule="auto"/>
              <w:jc w:val="center"/>
            </w:pPr>
            <w:r>
              <w:rPr>
                <w:rFonts w:ascii="Times New Roman" w:hAnsi="Times New Roman"/>
                <w:b/>
                <w:color w:val="002850"/>
                <w:sz w:val="21"/>
              </w:rPr>
              <w:t>Major Findings</w:t>
            </w:r>
          </w:p>
        </w:tc>
        <w:tc>
          <w:tcPr>
            <w:tcW w:type="dxa" w:w="1728"/>
            <w:shd w:fill="D9EAF7"/>
            <w:tcMar>
              <w:top w:w="120" w:type="dxa"/>
              <w:bottom w:w="120" w:type="dxa"/>
              <w:left w:w="140" w:type="dxa"/>
              <w:right w:w="140" w:type="dxa"/>
            </w:tcMar>
            <w:vAlign w:val="center"/>
          </w:tcPr>
          <w:p>
            <w:pPr>
              <w:spacing w:before="0" w:after="0" w:line="276" w:lineRule="auto"/>
              <w:jc w:val="center"/>
            </w:pPr>
            <w:r>
              <w:rPr>
                <w:rFonts w:ascii="Times New Roman" w:hAnsi="Times New Roman"/>
                <w:b/>
                <w:color w:val="002850"/>
                <w:sz w:val="21"/>
              </w:rPr>
              <w:t>Limitation</w:t>
            </w:r>
          </w:p>
        </w:tc>
      </w:tr>
      <w:tr>
        <w:tc>
          <w:tcPr>
            <w:tcW w:type="dxa" w:w="576"/>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212529"/>
                <w:sz w:val="20"/>
              </w:rPr>
              <w:t>1</w:t>
            </w:r>
          </w:p>
        </w:tc>
        <w:tc>
          <w:tcPr>
            <w:tcW w:type="dxa" w:w="1296"/>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212529"/>
                <w:sz w:val="20"/>
              </w:rPr>
              <w:t>C. Miao et al. [1]</w:t>
            </w:r>
          </w:p>
        </w:tc>
        <w:tc>
          <w:tcPr>
            <w:tcW w:type="dxa" w:w="720"/>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212529"/>
                <w:sz w:val="20"/>
              </w:rPr>
              <w:t>2021</w:t>
            </w:r>
          </w:p>
        </w:tc>
        <w:tc>
          <w:tcPr>
            <w:tcW w:type="dxa" w:w="1728"/>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212529"/>
                <w:sz w:val="20"/>
              </w:rPr>
              <w:t>SIXray: Prohibited Item Detection in Overlapping Images</w:t>
            </w:r>
          </w:p>
        </w:tc>
        <w:tc>
          <w:tcPr>
            <w:tcW w:type="dxa" w:w="1152"/>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212529"/>
                <w:sz w:val="20"/>
              </w:rPr>
              <w:t>SIXray (1.05M images)</w:t>
            </w:r>
          </w:p>
        </w:tc>
        <w:tc>
          <w:tcPr>
            <w:tcW w:type="dxa" w:w="1440"/>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212529"/>
                <w:sz w:val="20"/>
              </w:rPr>
              <w:t>Class-Balanced Hierarchical Refinement (CHR) Network</w:t>
            </w:r>
          </w:p>
        </w:tc>
        <w:tc>
          <w:tcPr>
            <w:tcW w:type="dxa" w:w="1728"/>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212529"/>
                <w:sz w:val="20"/>
              </w:rPr>
              <w:t>Demonstrated that hierarchical feature learning mitigates severe positive-to-negative class imbalance (1:100).</w:t>
            </w:r>
          </w:p>
        </w:tc>
        <w:tc>
          <w:tcPr>
            <w:tcW w:type="dxa" w:w="1728"/>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212529"/>
                <w:sz w:val="20"/>
              </w:rPr>
              <w:t>High computational latency; struggles with fine-grained localization of occluded sharp items.</w:t>
            </w:r>
          </w:p>
        </w:tc>
      </w:tr>
      <w:tr>
        <w:tc>
          <w:tcPr>
            <w:tcW w:type="dxa" w:w="576"/>
            <w:shd w:fill="F9FBFC"/>
            <w:tcMar>
              <w:top w:w="100" w:type="dxa"/>
              <w:bottom w:w="100" w:type="dxa"/>
              <w:left w:w="130" w:type="dxa"/>
              <w:right w:w="130" w:type="dxa"/>
            </w:tcMar>
            <w:vAlign w:val="center"/>
          </w:tcPr>
          <w:p>
            <w:pPr>
              <w:spacing w:before="0" w:after="0" w:line="276" w:lineRule="auto"/>
              <w:jc w:val="center"/>
            </w:pPr>
            <w:r>
              <w:rPr>
                <w:rFonts w:ascii="Times New Roman" w:hAnsi="Times New Roman"/>
                <w:color w:val="212529"/>
                <w:sz w:val="20"/>
              </w:rPr>
              <w:t>2</w:t>
            </w:r>
          </w:p>
        </w:tc>
        <w:tc>
          <w:tcPr>
            <w:tcW w:type="dxa" w:w="1296"/>
            <w:shd w:fill="F9FBFC"/>
            <w:tcMar>
              <w:top w:w="100" w:type="dxa"/>
              <w:bottom w:w="100" w:type="dxa"/>
              <w:left w:w="130" w:type="dxa"/>
              <w:right w:w="130" w:type="dxa"/>
            </w:tcMar>
            <w:vAlign w:val="center"/>
          </w:tcPr>
          <w:p>
            <w:pPr>
              <w:spacing w:before="0" w:after="0" w:line="276" w:lineRule="auto"/>
              <w:jc w:val="left"/>
            </w:pPr>
            <w:r>
              <w:rPr>
                <w:rFonts w:ascii="Times New Roman" w:hAnsi="Times New Roman"/>
                <w:color w:val="212529"/>
                <w:sz w:val="20"/>
              </w:rPr>
              <w:t>B. Wang et al. [2]</w:t>
            </w:r>
          </w:p>
        </w:tc>
        <w:tc>
          <w:tcPr>
            <w:tcW w:type="dxa" w:w="720"/>
            <w:shd w:fill="F9FBFC"/>
            <w:tcMar>
              <w:top w:w="100" w:type="dxa"/>
              <w:bottom w:w="100" w:type="dxa"/>
              <w:left w:w="130" w:type="dxa"/>
              <w:right w:w="130" w:type="dxa"/>
            </w:tcMar>
            <w:vAlign w:val="center"/>
          </w:tcPr>
          <w:p>
            <w:pPr>
              <w:spacing w:before="0" w:after="0" w:line="276" w:lineRule="auto"/>
              <w:jc w:val="center"/>
            </w:pPr>
            <w:r>
              <w:rPr>
                <w:rFonts w:ascii="Times New Roman" w:hAnsi="Times New Roman"/>
                <w:color w:val="212529"/>
                <w:sz w:val="20"/>
              </w:rPr>
              <w:t>2022</w:t>
            </w:r>
          </w:p>
        </w:tc>
        <w:tc>
          <w:tcPr>
            <w:tcW w:type="dxa" w:w="1728"/>
            <w:shd w:fill="F9FBFC"/>
            <w:tcMar>
              <w:top w:w="100" w:type="dxa"/>
              <w:bottom w:w="100" w:type="dxa"/>
              <w:left w:w="130" w:type="dxa"/>
              <w:right w:w="130" w:type="dxa"/>
            </w:tcMar>
            <w:vAlign w:val="center"/>
          </w:tcPr>
          <w:p>
            <w:pPr>
              <w:spacing w:before="0" w:after="0" w:line="276" w:lineRule="auto"/>
              <w:jc w:val="left"/>
            </w:pPr>
            <w:r>
              <w:rPr>
                <w:rFonts w:ascii="Times New Roman" w:hAnsi="Times New Roman"/>
                <w:color w:val="212529"/>
                <w:sz w:val="20"/>
              </w:rPr>
              <w:t>PIDray: Prohibited Item Detection in Real-World X-Ray</w:t>
            </w:r>
          </w:p>
        </w:tc>
        <w:tc>
          <w:tcPr>
            <w:tcW w:type="dxa" w:w="1152"/>
            <w:shd w:fill="F9FBFC"/>
            <w:tcMar>
              <w:top w:w="100" w:type="dxa"/>
              <w:bottom w:w="100" w:type="dxa"/>
              <w:left w:w="130" w:type="dxa"/>
              <w:right w:w="130" w:type="dxa"/>
            </w:tcMar>
            <w:vAlign w:val="center"/>
          </w:tcPr>
          <w:p>
            <w:pPr>
              <w:spacing w:before="0" w:after="0" w:line="276" w:lineRule="auto"/>
              <w:jc w:val="left"/>
            </w:pPr>
            <w:r>
              <w:rPr>
                <w:rFonts w:ascii="Times New Roman" w:hAnsi="Times New Roman"/>
                <w:color w:val="212529"/>
                <w:sz w:val="20"/>
              </w:rPr>
              <w:t>PIDray (47,677 images)</w:t>
            </w:r>
          </w:p>
        </w:tc>
        <w:tc>
          <w:tcPr>
            <w:tcW w:type="dxa" w:w="1440"/>
            <w:shd w:fill="F9FBFC"/>
            <w:tcMar>
              <w:top w:w="100" w:type="dxa"/>
              <w:bottom w:w="100" w:type="dxa"/>
              <w:left w:w="130" w:type="dxa"/>
              <w:right w:w="130" w:type="dxa"/>
            </w:tcMar>
            <w:vAlign w:val="center"/>
          </w:tcPr>
          <w:p>
            <w:pPr>
              <w:spacing w:before="0" w:after="0" w:line="276" w:lineRule="auto"/>
              <w:jc w:val="left"/>
            </w:pPr>
            <w:r>
              <w:rPr>
                <w:rFonts w:ascii="Times New Roman" w:hAnsi="Times New Roman"/>
                <w:color w:val="212529"/>
                <w:sz w:val="20"/>
              </w:rPr>
              <w:t>Energy-based Active Contour &amp; Boundary-Aware CNN</w:t>
            </w:r>
          </w:p>
        </w:tc>
        <w:tc>
          <w:tcPr>
            <w:tcW w:type="dxa" w:w="1728"/>
            <w:shd w:fill="F9FBFC"/>
            <w:tcMar>
              <w:top w:w="100" w:type="dxa"/>
              <w:bottom w:w="100" w:type="dxa"/>
              <w:left w:w="130" w:type="dxa"/>
              <w:right w:w="130" w:type="dxa"/>
            </w:tcMar>
            <w:vAlign w:val="center"/>
          </w:tcPr>
          <w:p>
            <w:pPr>
              <w:spacing w:before="0" w:after="0" w:line="276" w:lineRule="auto"/>
              <w:jc w:val="left"/>
            </w:pPr>
            <w:r>
              <w:rPr>
                <w:rFonts w:ascii="Times New Roman" w:hAnsi="Times New Roman"/>
                <w:color w:val="212529"/>
                <w:sz w:val="20"/>
              </w:rPr>
              <w:t>Formalized benchmark for deliberate contraband concealment across 12 prohibited categories (easy, hard, hidden).</w:t>
            </w:r>
          </w:p>
        </w:tc>
        <w:tc>
          <w:tcPr>
            <w:tcW w:type="dxa" w:w="1728"/>
            <w:shd w:fill="F9FBFC"/>
            <w:tcMar>
              <w:top w:w="100" w:type="dxa"/>
              <w:bottom w:w="100" w:type="dxa"/>
              <w:left w:w="130" w:type="dxa"/>
              <w:right w:w="130" w:type="dxa"/>
            </w:tcMar>
            <w:vAlign w:val="center"/>
          </w:tcPr>
          <w:p>
            <w:pPr>
              <w:spacing w:before="0" w:after="0" w:line="276" w:lineRule="auto"/>
              <w:jc w:val="left"/>
            </w:pPr>
            <w:r>
              <w:rPr>
                <w:rFonts w:ascii="Times New Roman" w:hAnsi="Times New Roman"/>
                <w:color w:val="212529"/>
                <w:sz w:val="20"/>
              </w:rPr>
              <w:t>Computationally intensive boundary refinement; lacks luggage-level risk fusion and operational UI.</w:t>
            </w:r>
          </w:p>
        </w:tc>
      </w:tr>
      <w:tr>
        <w:tc>
          <w:tcPr>
            <w:tcW w:type="dxa" w:w="576"/>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212529"/>
                <w:sz w:val="20"/>
              </w:rPr>
              <w:t>3</w:t>
            </w:r>
          </w:p>
        </w:tc>
        <w:tc>
          <w:tcPr>
            <w:tcW w:type="dxa" w:w="1296"/>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212529"/>
                <w:sz w:val="20"/>
              </w:rPr>
              <w:t>S. Akcay et al. [3]</w:t>
            </w:r>
          </w:p>
        </w:tc>
        <w:tc>
          <w:tcPr>
            <w:tcW w:type="dxa" w:w="720"/>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212529"/>
                <w:sz w:val="20"/>
              </w:rPr>
              <w:t>2018</w:t>
            </w:r>
          </w:p>
        </w:tc>
        <w:tc>
          <w:tcPr>
            <w:tcW w:type="dxa" w:w="1728"/>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212529"/>
                <w:sz w:val="20"/>
              </w:rPr>
              <w:t>Using Deep CNNs for Object Detection in Baggage Imagery</w:t>
            </w:r>
          </w:p>
        </w:tc>
        <w:tc>
          <w:tcPr>
            <w:tcW w:type="dxa" w:w="1152"/>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212529"/>
                <w:sz w:val="20"/>
              </w:rPr>
              <w:t>UK Border Agency Dataset</w:t>
            </w:r>
          </w:p>
        </w:tc>
        <w:tc>
          <w:tcPr>
            <w:tcW w:type="dxa" w:w="1440"/>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212529"/>
                <w:sz w:val="20"/>
              </w:rPr>
              <w:t>Transfer Learning with Faster R-CNN &amp; Sliding Window CNN</w:t>
            </w:r>
          </w:p>
        </w:tc>
        <w:tc>
          <w:tcPr>
            <w:tcW w:type="dxa" w:w="1728"/>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212529"/>
                <w:sz w:val="20"/>
              </w:rPr>
              <w:t>Established that feature representations transferred from ImageNet generalize effectively to dual-energy X-ray images.</w:t>
            </w:r>
          </w:p>
        </w:tc>
        <w:tc>
          <w:tcPr>
            <w:tcW w:type="dxa" w:w="1728"/>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212529"/>
                <w:sz w:val="20"/>
              </w:rPr>
              <w:t>Two-stage detection latency (~150 ms) creates conveyor bottlenecks; rigid anchors struggle with oblique angles.</w:t>
            </w:r>
          </w:p>
        </w:tc>
      </w:tr>
      <w:tr>
        <w:tc>
          <w:tcPr>
            <w:tcW w:type="dxa" w:w="576"/>
            <w:shd w:fill="F9FBFC"/>
            <w:tcMar>
              <w:top w:w="100" w:type="dxa"/>
              <w:bottom w:w="100" w:type="dxa"/>
              <w:left w:w="130" w:type="dxa"/>
              <w:right w:w="130" w:type="dxa"/>
            </w:tcMar>
            <w:vAlign w:val="center"/>
          </w:tcPr>
          <w:p>
            <w:pPr>
              <w:spacing w:before="0" w:after="0" w:line="276" w:lineRule="auto"/>
              <w:jc w:val="center"/>
            </w:pPr>
            <w:r>
              <w:rPr>
                <w:rFonts w:ascii="Times New Roman" w:hAnsi="Times New Roman"/>
                <w:color w:val="212529"/>
                <w:sz w:val="20"/>
              </w:rPr>
              <w:t>4</w:t>
            </w:r>
          </w:p>
        </w:tc>
        <w:tc>
          <w:tcPr>
            <w:tcW w:type="dxa" w:w="1296"/>
            <w:shd w:fill="F9FBFC"/>
            <w:tcMar>
              <w:top w:w="100" w:type="dxa"/>
              <w:bottom w:w="100" w:type="dxa"/>
              <w:left w:w="130" w:type="dxa"/>
              <w:right w:w="130" w:type="dxa"/>
            </w:tcMar>
            <w:vAlign w:val="center"/>
          </w:tcPr>
          <w:p>
            <w:pPr>
              <w:spacing w:before="0" w:after="0" w:line="276" w:lineRule="auto"/>
              <w:jc w:val="left"/>
            </w:pPr>
            <w:r>
              <w:rPr>
                <w:rFonts w:ascii="Times New Roman" w:hAnsi="Times New Roman"/>
                <w:color w:val="212529"/>
                <w:sz w:val="20"/>
              </w:rPr>
              <w:t>T. Hassan et al. [4]</w:t>
            </w:r>
          </w:p>
        </w:tc>
        <w:tc>
          <w:tcPr>
            <w:tcW w:type="dxa" w:w="720"/>
            <w:shd w:fill="F9FBFC"/>
            <w:tcMar>
              <w:top w:w="100" w:type="dxa"/>
              <w:bottom w:w="100" w:type="dxa"/>
              <w:left w:w="130" w:type="dxa"/>
              <w:right w:w="130" w:type="dxa"/>
            </w:tcMar>
            <w:vAlign w:val="center"/>
          </w:tcPr>
          <w:p>
            <w:pPr>
              <w:spacing w:before="0" w:after="0" w:line="276" w:lineRule="auto"/>
              <w:jc w:val="center"/>
            </w:pPr>
            <w:r>
              <w:rPr>
                <w:rFonts w:ascii="Times New Roman" w:hAnsi="Times New Roman"/>
                <w:color w:val="212529"/>
                <w:sz w:val="20"/>
              </w:rPr>
              <w:t>2020</w:t>
            </w:r>
          </w:p>
        </w:tc>
        <w:tc>
          <w:tcPr>
            <w:tcW w:type="dxa" w:w="1728"/>
            <w:shd w:fill="F9FBFC"/>
            <w:tcMar>
              <w:top w:w="100" w:type="dxa"/>
              <w:bottom w:w="100" w:type="dxa"/>
              <w:left w:w="130" w:type="dxa"/>
              <w:right w:w="130" w:type="dxa"/>
            </w:tcMar>
            <w:vAlign w:val="center"/>
          </w:tcPr>
          <w:p>
            <w:pPr>
              <w:spacing w:before="0" w:after="0" w:line="276" w:lineRule="auto"/>
              <w:jc w:val="left"/>
            </w:pPr>
            <w:r>
              <w:rPr>
                <w:rFonts w:ascii="Times New Roman" w:hAnsi="Times New Roman"/>
                <w:color w:val="212529"/>
                <w:sz w:val="20"/>
              </w:rPr>
              <w:t>Cascaded Deep Learning Framework for Luggage Inspection</w:t>
            </w:r>
          </w:p>
        </w:tc>
        <w:tc>
          <w:tcPr>
            <w:tcW w:type="dxa" w:w="1152"/>
            <w:shd w:fill="F9FBFC"/>
            <w:tcMar>
              <w:top w:w="100" w:type="dxa"/>
              <w:bottom w:w="100" w:type="dxa"/>
              <w:left w:w="130" w:type="dxa"/>
              <w:right w:w="130" w:type="dxa"/>
            </w:tcMar>
            <w:vAlign w:val="center"/>
          </w:tcPr>
          <w:p>
            <w:pPr>
              <w:spacing w:before="0" w:after="0" w:line="276" w:lineRule="auto"/>
              <w:jc w:val="left"/>
            </w:pPr>
            <w:r>
              <w:rPr>
                <w:rFonts w:ascii="Times New Roman" w:hAnsi="Times New Roman"/>
                <w:color w:val="212529"/>
                <w:sz w:val="20"/>
              </w:rPr>
              <w:t>GDXray Benchmark</w:t>
            </w:r>
          </w:p>
        </w:tc>
        <w:tc>
          <w:tcPr>
            <w:tcW w:type="dxa" w:w="1440"/>
            <w:shd w:fill="F9FBFC"/>
            <w:tcMar>
              <w:top w:w="100" w:type="dxa"/>
              <w:bottom w:w="100" w:type="dxa"/>
              <w:left w:w="130" w:type="dxa"/>
              <w:right w:w="130" w:type="dxa"/>
            </w:tcMar>
            <w:vAlign w:val="center"/>
          </w:tcPr>
          <w:p>
            <w:pPr>
              <w:spacing w:before="0" w:after="0" w:line="276" w:lineRule="auto"/>
              <w:jc w:val="left"/>
            </w:pPr>
            <w:r>
              <w:rPr>
                <w:rFonts w:ascii="Times New Roman" w:hAnsi="Times New Roman"/>
                <w:color w:val="212529"/>
                <w:sz w:val="20"/>
              </w:rPr>
              <w:t>Contourlet Transform + ResNet Feature Extraction</w:t>
            </w:r>
          </w:p>
        </w:tc>
        <w:tc>
          <w:tcPr>
            <w:tcW w:type="dxa" w:w="1728"/>
            <w:shd w:fill="F9FBFC"/>
            <w:tcMar>
              <w:top w:w="100" w:type="dxa"/>
              <w:bottom w:w="100" w:type="dxa"/>
              <w:left w:w="130" w:type="dxa"/>
              <w:right w:w="130" w:type="dxa"/>
            </w:tcMar>
            <w:vAlign w:val="center"/>
          </w:tcPr>
          <w:p>
            <w:pPr>
              <w:spacing w:before="0" w:after="0" w:line="276" w:lineRule="auto"/>
              <w:jc w:val="left"/>
            </w:pPr>
            <w:r>
              <w:rPr>
                <w:rFonts w:ascii="Times New Roman" w:hAnsi="Times New Roman"/>
                <w:color w:val="212529"/>
                <w:sz w:val="20"/>
              </w:rPr>
              <w:t>Proved that multi-scale directional frequency transforms preserve sharp metallic tool contours in transmission scans.</w:t>
            </w:r>
          </w:p>
        </w:tc>
        <w:tc>
          <w:tcPr>
            <w:tcW w:type="dxa" w:w="1728"/>
            <w:shd w:fill="F9FBFC"/>
            <w:tcMar>
              <w:top w:w="100" w:type="dxa"/>
              <w:bottom w:w="100" w:type="dxa"/>
              <w:left w:w="130" w:type="dxa"/>
              <w:right w:w="130" w:type="dxa"/>
            </w:tcMar>
            <w:vAlign w:val="center"/>
          </w:tcPr>
          <w:p>
            <w:pPr>
              <w:spacing w:before="0" w:after="0" w:line="276" w:lineRule="auto"/>
              <w:jc w:val="left"/>
            </w:pPr>
            <w:r>
              <w:rPr>
                <w:rFonts w:ascii="Times New Roman" w:hAnsi="Times New Roman"/>
                <w:color w:val="212529"/>
                <w:sz w:val="20"/>
              </w:rPr>
              <w:t>Evaluated only on low-clutter synthetic images; poor generalization to dense, modern airport luggage.</w:t>
            </w:r>
          </w:p>
        </w:tc>
      </w:tr>
      <w:tr>
        <w:tc>
          <w:tcPr>
            <w:tcW w:type="dxa" w:w="576"/>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212529"/>
                <w:sz w:val="20"/>
              </w:rPr>
              <w:t>5</w:t>
            </w:r>
          </w:p>
        </w:tc>
        <w:tc>
          <w:tcPr>
            <w:tcW w:type="dxa" w:w="1296"/>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212529"/>
                <w:sz w:val="20"/>
              </w:rPr>
              <w:t>R. Tao et al. [5]</w:t>
            </w:r>
          </w:p>
        </w:tc>
        <w:tc>
          <w:tcPr>
            <w:tcW w:type="dxa" w:w="720"/>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212529"/>
                <w:sz w:val="20"/>
              </w:rPr>
              <w:t>2022</w:t>
            </w:r>
          </w:p>
        </w:tc>
        <w:tc>
          <w:tcPr>
            <w:tcW w:type="dxa" w:w="1728"/>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212529"/>
                <w:sz w:val="20"/>
              </w:rPr>
              <w:t>Towards Real-World X-Ray Prohibited Item Detection</w:t>
            </w:r>
          </w:p>
        </w:tc>
        <w:tc>
          <w:tcPr>
            <w:tcW w:type="dxa" w:w="1152"/>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212529"/>
                <w:sz w:val="20"/>
              </w:rPr>
              <w:t>PIDray &amp; HiXray</w:t>
            </w:r>
          </w:p>
        </w:tc>
        <w:tc>
          <w:tcPr>
            <w:tcW w:type="dxa" w:w="1440"/>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212529"/>
                <w:sz w:val="20"/>
              </w:rPr>
              <w:t>De-occlusion Attention Module (DOAM) + YOLOv5</w:t>
            </w:r>
          </w:p>
        </w:tc>
        <w:tc>
          <w:tcPr>
            <w:tcW w:type="dxa" w:w="1728"/>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212529"/>
                <w:sz w:val="20"/>
              </w:rPr>
              <w:t>Simultaneous transparency reasoning and edge-directed attention enhanced occluded knife detection by 6.4% mAP.</w:t>
            </w:r>
          </w:p>
        </w:tc>
        <w:tc>
          <w:tcPr>
            <w:tcW w:type="dxa" w:w="1728"/>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212529"/>
                <w:sz w:val="20"/>
              </w:rPr>
              <w:t>Does not incorporate unsupervised anomaly detection or composite risk scoring for uncatalogued items.</w:t>
            </w:r>
          </w:p>
        </w:tc>
      </w:tr>
    </w:tbl>
    <w:p>
      <w:pPr>
        <w:spacing w:before="0" w:after="120" w:line="360" w:lineRule="auto"/>
        <w:jc w:val="both"/>
      </w:pPr>
      <w:r>
        <w:rPr>
          <w:rFonts w:ascii="Times New Roman" w:hAnsi="Times New Roman"/>
          <w:b/>
          <w:color w:val="212529"/>
          <w:sz w:val="24"/>
        </w:rPr>
        <w:t xml:space="preserve">Synthesis of Survey Findings: </w:t>
      </w:r>
      <w:r>
        <w:rPr>
          <w:rFonts w:ascii="Times New Roman" w:hAnsi="Times New Roman"/>
          <w:color w:val="212529"/>
          <w:sz w:val="24"/>
        </w:rPr>
        <w:t>Discussion of Literature and Identified Research Gap:</w:t>
        <w:br/>
        <w:t>A thorough analysis of the literature reveals several dominant methodologies. Early research relied heavily on classical feature extractors (SIFT, SURF, and HOG) paired with Support Vector Machines (SVMs), which collapsed under real-world dense luggage clutter. The transition to deep convolutional architectures (Faster R-CNN, Retinanet, and early YOLO variants) substantially improved detection accuracy, but earlier works predominantly evaluated on simplistic datasets (e.g., GDXray) characterized by sparse isolated items rather than complex, highly occluded commercial luggage bags. Recent benchmarks such as PIDray and SIXray highlighted the extreme difficulties posed by overlapping items, semi-transparent contraband, and severe class imbalance.</w:t>
      </w:r>
    </w:p>
    <w:p>
      <w:pPr>
        <w:spacing w:before="0" w:after="120" w:line="360" w:lineRule="auto"/>
        <w:jc w:val="both"/>
      </w:pPr>
      <w:r>
        <w:rPr>
          <w:rFonts w:ascii="Times New Roman" w:hAnsi="Times New Roman"/>
          <w:b/>
          <w:color w:val="212529"/>
          <w:sz w:val="24"/>
        </w:rPr>
        <w:t xml:space="preserve">Identified Gap and Proposed Project Novelty: </w:t>
      </w:r>
      <w:r>
        <w:rPr>
          <w:rFonts w:ascii="Times New Roman" w:hAnsi="Times New Roman"/>
          <w:color w:val="212529"/>
          <w:sz w:val="24"/>
        </w:rPr>
        <w:t>Critically, the existing literature exhibits a significant operational gap: virtually all surveyed works treat prohibited item identification as an isolated computer vision problem. They output raw bounding boxes without addressing operational checkpoint requirements, such as: (1) combining supervised item detection with unsupervised out-of-distribution anomaly detection for novel or uncatalogued items; (2) synthesizing disparate AI signals into a calibrated, actionable luggage-level risk index; and (3) deploying the architecture as an end-to-end, auditable decision-support system. The Baggage Vision AI system proposed in this report directly bridges this gap by coupling a fine-tuned YOLOv8x detector with a ResNet-50 anomaly scoring pipeline, a weighted threat fusion engine, and an auditable web deployment platform.</w:t>
      </w:r>
    </w:p>
    <w:p>
      <w:pPr>
        <w:spacing w:before="320" w:after="120" w:line="360" w:lineRule="auto"/>
        <w:jc w:val="left"/>
      </w:pPr>
      <w:r>
        <w:rPr>
          <w:rFonts w:ascii="Times New Roman" w:hAnsi="Times New Roman"/>
          <w:b/>
          <w:color w:val="003366"/>
          <w:sz w:val="32"/>
        </w:rPr>
        <w:t>4. Dataset Used</w:t>
      </w:r>
    </w:p>
    <w:p>
      <w:pPr>
        <w:spacing w:before="0" w:after="120" w:line="360" w:lineRule="auto"/>
        <w:jc w:val="both"/>
      </w:pPr>
      <w:r>
        <w:rPr>
          <w:rFonts w:ascii="Times New Roman" w:hAnsi="Times New Roman"/>
          <w:b/>
          <w:color w:val="212529"/>
          <w:sz w:val="24"/>
        </w:rPr>
        <w:t xml:space="preserve">Dataset Name and Provenance: </w:t>
      </w:r>
      <w:r>
        <w:rPr>
          <w:rFonts w:ascii="Times New Roman" w:hAnsi="Times New Roman"/>
          <w:color w:val="212529"/>
          <w:sz w:val="24"/>
        </w:rPr>
        <w:t>The empirical foundation of Baggage Vision AI is built upon the Prohibited Item Detection in X-ray Images (PIDray v2) benchmark, specifically the curated and augmented version hosted on Roboflow Universe (workspace: humairabano, project: yolov9-pidray, version: 3). PIDray v2 is widely recognized in the security inspection computer vision community as the gold standard for evaluating prohibited item localization under realistic, deliberately concealed, and densely cluttered screening conditions.</w:t>
      </w:r>
    </w:p>
    <w:p>
      <w:pPr>
        <w:spacing w:before="0" w:after="120" w:line="360" w:lineRule="auto"/>
        <w:jc w:val="both"/>
      </w:pPr>
      <w:r>
        <w:rPr>
          <w:rFonts w:ascii="Times New Roman" w:hAnsi="Times New Roman"/>
          <w:b/>
          <w:color w:val="212529"/>
          <w:sz w:val="24"/>
        </w:rPr>
        <w:t xml:space="preserve">Data Volume and Partitioning Split: </w:t>
      </w:r>
      <w:r>
        <w:rPr>
          <w:rFonts w:ascii="Times New Roman" w:hAnsi="Times New Roman"/>
          <w:color w:val="212529"/>
          <w:sz w:val="24"/>
        </w:rPr>
        <w:t>The dataset consists of authentic dual-energy transmission X-ray radiographs acquired from airport and transit security checkpoint inspection systems. The complete preprocessed and augmented dataset incorporates 6,346 high-resolution images, systematically divided into three standard subsets:</w:t>
        <w:br/>
        <w:t>• Training Set: 5,226 images (82.3% of total data; derived from 2,613 base training scans augmented via 2x spatial-photometric transformations);</w:t>
        <w:br/>
        <w:t>• Validation Set: 747 images (11.8% of total data), utilized for validation epoch checkpointing and hyperparameter tuning;</w:t>
        <w:br/>
        <w:t>• Testing Set: 373 images (5.9% of total data), reserved for unbiased final performance evaluation.</w:t>
      </w:r>
    </w:p>
    <w:p>
      <w:pPr>
        <w:spacing w:before="0" w:after="120" w:line="360" w:lineRule="auto"/>
        <w:jc w:val="both"/>
      </w:pPr>
      <w:r>
        <w:rPr>
          <w:rFonts w:ascii="Times New Roman" w:hAnsi="Times New Roman"/>
          <w:b/>
          <w:color w:val="212529"/>
          <w:sz w:val="24"/>
        </w:rPr>
        <w:t xml:space="preserve">Prohibited Classes and Label Distribution: </w:t>
      </w:r>
      <w:r>
        <w:rPr>
          <w:rFonts w:ascii="Times New Roman" w:hAnsi="Times New Roman"/>
          <w:color w:val="212529"/>
          <w:sz w:val="24"/>
        </w:rPr>
        <w:t>The dataset contains a total of 8,891 annotated prohibited item instances across 12 distinct contraband categories. These categories and their empirical instance counts across the dataset splits are:</w:t>
        <w:br/>
        <w:t>1. Baton: 311 instances (bludgeoning and impact weapons);</w:t>
        <w:br/>
        <w:t>2. Bullet: 412 instances (small-caliber ammunition cartridges);</w:t>
        <w:br/>
        <w:t>3. Gun: 653 instances (firearms, handguns, and revolvers);</w:t>
        <w:br/>
        <w:t>4. Hammer: 925 instances (heavy striking tools with high metallic density);</w:t>
        <w:br/>
        <w:t>5. HandCuffs: 554 instances (metallic restraint devices);</w:t>
        <w:br/>
        <w:t>6. Knife: 829 instances (blades, daggers, folding pocketknives, and utility cutters);</w:t>
        <w:br/>
        <w:t>7. Lighter: 351 instances (flammable liquid/gas ignition devices);</w:t>
        <w:br/>
        <w:t>8. Pliers: 1,204 instances (metallic gripping tools);</w:t>
        <w:br/>
        <w:t>9. Powerbank: 1,197 instances (lithium-ion battery packs presenting thermal runaway risk);</w:t>
        <w:br/>
        <w:t>10. Scissors: 1,222 instances (shearing blades with overlapping handles);</w:t>
        <w:br/>
        <w:t>11. Sprayer: 361 instances (pressurized aerosol and chemical spray canisters);</w:t>
        <w:br/>
        <w:t>12. Wrench: 872 instances (metallic leverage tools).</w:t>
        <w:br/>
        <w:t>The data exhibits natural class imbalance, with tools and scissors appearing with high frequency, while firearms, sprayers, and batons occur less frequently, reflecting authentic operational security environments.</w:t>
      </w:r>
    </w:p>
    <w:p>
      <w:pPr>
        <w:spacing w:before="0" w:after="120" w:line="360" w:lineRule="auto"/>
        <w:jc w:val="both"/>
      </w:pPr>
      <w:r>
        <w:rPr>
          <w:rFonts w:ascii="Times New Roman" w:hAnsi="Times New Roman"/>
          <w:b/>
          <w:color w:val="212529"/>
          <w:sz w:val="24"/>
        </w:rPr>
        <w:t xml:space="preserve">Preprocessing and Integrity Checks: </w:t>
      </w:r>
      <w:r>
        <w:rPr>
          <w:rFonts w:ascii="Times New Roman" w:hAnsi="Times New Roman"/>
          <w:color w:val="212529"/>
          <w:sz w:val="24"/>
        </w:rPr>
        <w:t>Data Integrity, Cleaning, and Preprocessing: A stringent data verification pipeline was executed across all image files and YOLO-formatted label text files. Zero corrupt or unreadable image files were detected. SHA-256 cryptographic hashing was performed to confirm zero duplicate images across splits. Bounding box coordinates were strictly validated to ensure normalized float boundaries in the interval [0.0, 1.0].</w:t>
        <w:br/>
        <w:t>Because raw X-ray scans suffer from low local contrast in heavily packed bags and sensor noise, a dedicated preprocessing pipeline was implemented: (1) conversion of 3-channel BGR radiographs to single-channel Grayscale; (2) Contrast Limited Adaptive Histogram Equalization (CLAHE) with a clipping limit of 2.0 and an 8x8 contextual grid size to enhance concealed object edges without over-amplifying background noise; (3) Gaussian Blur filtering using a (3, 3) kernel to smooth high-frequency transmission sensor grain; (4) reconstruction into a 3-channel RGB representation; and (5) spatial standardization to 640x640 resolution.</w:t>
      </w:r>
    </w:p>
    <w:p>
      <w:pPr>
        <w:spacing w:before="160" w:after="60" w:line="276" w:lineRule="auto"/>
        <w:jc w:val="left"/>
      </w:pPr>
      <w:r>
        <w:rPr>
          <w:rFonts w:ascii="Times New Roman" w:hAnsi="Times New Roman"/>
          <w:b/>
          <w:color w:val="003366"/>
          <w:sz w:val="22"/>
        </w:rPr>
        <w:t>Table 2: Feature Description and Dataset Attribute Specifications</w:t>
      </w:r>
    </w:p>
    <w:tbl>
      <w:tblPr>
        <w:tblW w:type="auto" w:w="0"/>
        <w:tblLook w:firstColumn="1" w:firstRow="1" w:lastColumn="0" w:lastRow="0" w:noHBand="0" w:noVBand="1" w:val="04A0"/>
        <w:jc w:val="center"/>
        <w:tblBorders>
          <w:top w:val="single" w:sz="4" w:space="0" w:color="9FB6CD"/>
          <w:bottom w:val="single" w:sz="4" w:space="0" w:color="9FB6CD"/>
          <w:left w:val="single" w:sz="4" w:space="0" w:color="9FB6CD"/>
          <w:right w:val="single" w:sz="4" w:space="0" w:color="9FB6CD"/>
          <w:insideH w:val="single" w:sz="4" w:space="0" w:color="9FB6CD"/>
          <w:insideV w:val="single" w:sz="4" w:space="0" w:color="9FB6CD"/>
        </w:tblBorders>
      </w:tblPr>
      <w:tblGrid>
        <w:gridCol w:w="2257"/>
        <w:gridCol w:w="2257"/>
        <w:gridCol w:w="2257"/>
        <w:gridCol w:w="2257"/>
      </w:tblGrid>
      <w:tr>
        <w:tc>
          <w:tcPr>
            <w:tcW w:type="dxa" w:w="2160"/>
            <w:shd w:fill="D9EAF7"/>
            <w:tcMar>
              <w:top w:w="120" w:type="dxa"/>
              <w:bottom w:w="120" w:type="dxa"/>
              <w:left w:w="140" w:type="dxa"/>
              <w:right w:w="140" w:type="dxa"/>
            </w:tcMar>
            <w:vAlign w:val="center"/>
          </w:tcPr>
          <w:p>
            <w:pPr>
              <w:spacing w:before="0" w:after="0" w:line="276" w:lineRule="auto"/>
              <w:jc w:val="center"/>
            </w:pPr>
            <w:r>
              <w:rPr>
                <w:rFonts w:ascii="Times New Roman" w:hAnsi="Times New Roman"/>
                <w:b/>
                <w:color w:val="002850"/>
                <w:sz w:val="21"/>
              </w:rPr>
              <w:t>Feature</w:t>
            </w:r>
          </w:p>
        </w:tc>
        <w:tc>
          <w:tcPr>
            <w:tcW w:type="dxa" w:w="2592"/>
            <w:shd w:fill="D9EAF7"/>
            <w:tcMar>
              <w:top w:w="120" w:type="dxa"/>
              <w:bottom w:w="120" w:type="dxa"/>
              <w:left w:w="140" w:type="dxa"/>
              <w:right w:w="140" w:type="dxa"/>
            </w:tcMar>
            <w:vAlign w:val="center"/>
          </w:tcPr>
          <w:p>
            <w:pPr>
              <w:spacing w:before="0" w:after="0" w:line="276" w:lineRule="auto"/>
              <w:jc w:val="center"/>
            </w:pPr>
            <w:r>
              <w:rPr>
                <w:rFonts w:ascii="Times New Roman" w:hAnsi="Times New Roman"/>
                <w:b/>
                <w:color w:val="002850"/>
                <w:sz w:val="21"/>
              </w:rPr>
              <w:t>Data Type</w:t>
            </w:r>
          </w:p>
        </w:tc>
        <w:tc>
          <w:tcPr>
            <w:tcW w:type="dxa" w:w="4608"/>
            <w:shd w:fill="D9EAF7"/>
            <w:tcMar>
              <w:top w:w="120" w:type="dxa"/>
              <w:bottom w:w="120" w:type="dxa"/>
              <w:left w:w="140" w:type="dxa"/>
              <w:right w:w="140" w:type="dxa"/>
            </w:tcMar>
            <w:vAlign w:val="center"/>
          </w:tcPr>
          <w:p>
            <w:pPr>
              <w:spacing w:before="0" w:after="0" w:line="276" w:lineRule="auto"/>
              <w:jc w:val="center"/>
            </w:pPr>
            <w:r>
              <w:rPr>
                <w:rFonts w:ascii="Times New Roman" w:hAnsi="Times New Roman"/>
                <w:b/>
                <w:color w:val="002850"/>
                <w:sz w:val="21"/>
              </w:rPr>
              <w:t>Description</w:t>
            </w:r>
          </w:p>
        </w:tc>
        <w:tc>
          <w:tcPr>
            <w:tcW w:type="dxa" w:w="1296"/>
            <w:shd w:fill="D9EAF7"/>
            <w:tcMar>
              <w:top w:w="120" w:type="dxa"/>
              <w:bottom w:w="120" w:type="dxa"/>
              <w:left w:w="140" w:type="dxa"/>
              <w:right w:w="140" w:type="dxa"/>
            </w:tcMar>
            <w:vAlign w:val="center"/>
          </w:tcPr>
          <w:p>
            <w:pPr>
              <w:spacing w:before="0" w:after="0" w:line="276" w:lineRule="auto"/>
              <w:jc w:val="center"/>
            </w:pPr>
            <w:r>
              <w:rPr>
                <w:rFonts w:ascii="Times New Roman" w:hAnsi="Times New Roman"/>
                <w:b/>
                <w:color w:val="002850"/>
                <w:sz w:val="21"/>
              </w:rPr>
              <w:t>Role</w:t>
            </w:r>
          </w:p>
        </w:tc>
      </w:tr>
      <w:tr>
        <w:tc>
          <w:tcPr>
            <w:tcW w:type="dxa" w:w="2160"/>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212529"/>
                <w:sz w:val="20"/>
              </w:rPr>
              <w:t>image_tensor</w:t>
            </w:r>
          </w:p>
        </w:tc>
        <w:tc>
          <w:tcPr>
            <w:tcW w:type="dxa" w:w="2592"/>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212529"/>
                <w:sz w:val="20"/>
              </w:rPr>
              <w:t>Float32 Array [3, 640, 640]</w:t>
            </w:r>
          </w:p>
        </w:tc>
        <w:tc>
          <w:tcPr>
            <w:tcW w:type="dxa" w:w="4608"/>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212529"/>
                <w:sz w:val="20"/>
              </w:rPr>
              <w:t>Standardized, CLAHE-enhanced, normalized RGB pixel values in [0.0, 1.0]</w:t>
            </w:r>
          </w:p>
        </w:tc>
        <w:tc>
          <w:tcPr>
            <w:tcW w:type="dxa" w:w="1296"/>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212529"/>
                <w:sz w:val="20"/>
              </w:rPr>
              <w:t>Input</w:t>
            </w:r>
          </w:p>
        </w:tc>
      </w:tr>
      <w:tr>
        <w:tc>
          <w:tcPr>
            <w:tcW w:type="dxa" w:w="2160"/>
            <w:shd w:fill="F9FBFC"/>
            <w:tcMar>
              <w:top w:w="100" w:type="dxa"/>
              <w:bottom w:w="100" w:type="dxa"/>
              <w:left w:w="130" w:type="dxa"/>
              <w:right w:w="130" w:type="dxa"/>
            </w:tcMar>
            <w:vAlign w:val="center"/>
          </w:tcPr>
          <w:p>
            <w:pPr>
              <w:spacing w:before="0" w:after="0" w:line="276" w:lineRule="auto"/>
              <w:jc w:val="center"/>
            </w:pPr>
            <w:r>
              <w:rPr>
                <w:rFonts w:ascii="Times New Roman" w:hAnsi="Times New Roman"/>
                <w:color w:val="212529"/>
                <w:sz w:val="20"/>
              </w:rPr>
              <w:t>latent_vector</w:t>
            </w:r>
          </w:p>
        </w:tc>
        <w:tc>
          <w:tcPr>
            <w:tcW w:type="dxa" w:w="2592"/>
            <w:shd w:fill="F9FBFC"/>
            <w:tcMar>
              <w:top w:w="100" w:type="dxa"/>
              <w:bottom w:w="100" w:type="dxa"/>
              <w:left w:w="130" w:type="dxa"/>
              <w:right w:w="130" w:type="dxa"/>
            </w:tcMar>
            <w:vAlign w:val="center"/>
          </w:tcPr>
          <w:p>
            <w:pPr>
              <w:spacing w:before="0" w:after="0" w:line="276" w:lineRule="auto"/>
              <w:jc w:val="left"/>
            </w:pPr>
            <w:r>
              <w:rPr>
                <w:rFonts w:ascii="Times New Roman" w:hAnsi="Times New Roman"/>
                <w:color w:val="212529"/>
                <w:sz w:val="20"/>
              </w:rPr>
              <w:t>Float32 Vector [2048]</w:t>
            </w:r>
          </w:p>
        </w:tc>
        <w:tc>
          <w:tcPr>
            <w:tcW w:type="dxa" w:w="4608"/>
            <w:shd w:fill="F9FBFC"/>
            <w:tcMar>
              <w:top w:w="100" w:type="dxa"/>
              <w:bottom w:w="100" w:type="dxa"/>
              <w:left w:w="130" w:type="dxa"/>
              <w:right w:w="130" w:type="dxa"/>
            </w:tcMar>
            <w:vAlign w:val="center"/>
          </w:tcPr>
          <w:p>
            <w:pPr>
              <w:spacing w:before="0" w:after="0" w:line="276" w:lineRule="auto"/>
              <w:jc w:val="left"/>
            </w:pPr>
            <w:r>
              <w:rPr>
                <w:rFonts w:ascii="Times New Roman" w:hAnsi="Times New Roman"/>
                <w:color w:val="212529"/>
                <w:sz w:val="20"/>
              </w:rPr>
              <w:t>Dense deep spatial feature embedding from ResNet-50 average pooling layer</w:t>
            </w:r>
          </w:p>
        </w:tc>
        <w:tc>
          <w:tcPr>
            <w:tcW w:type="dxa" w:w="1296"/>
            <w:shd w:fill="F9FBFC"/>
            <w:tcMar>
              <w:top w:w="100" w:type="dxa"/>
              <w:bottom w:w="100" w:type="dxa"/>
              <w:left w:w="130" w:type="dxa"/>
              <w:right w:w="130" w:type="dxa"/>
            </w:tcMar>
            <w:vAlign w:val="center"/>
          </w:tcPr>
          <w:p>
            <w:pPr>
              <w:spacing w:before="0" w:after="0" w:line="276" w:lineRule="auto"/>
              <w:jc w:val="left"/>
            </w:pPr>
            <w:r>
              <w:rPr>
                <w:rFonts w:ascii="Times New Roman" w:hAnsi="Times New Roman"/>
                <w:color w:val="212529"/>
                <w:sz w:val="20"/>
              </w:rPr>
              <w:t>Input (Anomaly)</w:t>
            </w:r>
          </w:p>
        </w:tc>
      </w:tr>
      <w:tr>
        <w:tc>
          <w:tcPr>
            <w:tcW w:type="dxa" w:w="2160"/>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212529"/>
                <w:sz w:val="20"/>
              </w:rPr>
              <w:t>object_class</w:t>
            </w:r>
          </w:p>
        </w:tc>
        <w:tc>
          <w:tcPr>
            <w:tcW w:type="dxa" w:w="2592"/>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212529"/>
                <w:sz w:val="20"/>
              </w:rPr>
              <w:t>Integer [0 to 11]</w:t>
            </w:r>
          </w:p>
        </w:tc>
        <w:tc>
          <w:tcPr>
            <w:tcW w:type="dxa" w:w="4608"/>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212529"/>
                <w:sz w:val="20"/>
              </w:rPr>
              <w:t>Discrete category identifier representing one of 12 prohibited item classes</w:t>
            </w:r>
          </w:p>
        </w:tc>
        <w:tc>
          <w:tcPr>
            <w:tcW w:type="dxa" w:w="1296"/>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212529"/>
                <w:sz w:val="20"/>
              </w:rPr>
              <w:t>Target (Detection)</w:t>
            </w:r>
          </w:p>
        </w:tc>
      </w:tr>
      <w:tr>
        <w:tc>
          <w:tcPr>
            <w:tcW w:type="dxa" w:w="2160"/>
            <w:shd w:fill="F9FBFC"/>
            <w:tcMar>
              <w:top w:w="100" w:type="dxa"/>
              <w:bottom w:w="100" w:type="dxa"/>
              <w:left w:w="130" w:type="dxa"/>
              <w:right w:w="130" w:type="dxa"/>
            </w:tcMar>
            <w:vAlign w:val="center"/>
          </w:tcPr>
          <w:p>
            <w:pPr>
              <w:spacing w:before="0" w:after="0" w:line="276" w:lineRule="auto"/>
              <w:jc w:val="center"/>
            </w:pPr>
            <w:r>
              <w:rPr>
                <w:rFonts w:ascii="Times New Roman" w:hAnsi="Times New Roman"/>
                <w:color w:val="212529"/>
                <w:sz w:val="20"/>
              </w:rPr>
              <w:t>bbox_x_center</w:t>
            </w:r>
          </w:p>
        </w:tc>
        <w:tc>
          <w:tcPr>
            <w:tcW w:type="dxa" w:w="2592"/>
            <w:shd w:fill="F9FBFC"/>
            <w:tcMar>
              <w:top w:w="100" w:type="dxa"/>
              <w:bottom w:w="100" w:type="dxa"/>
              <w:left w:w="130" w:type="dxa"/>
              <w:right w:w="130" w:type="dxa"/>
            </w:tcMar>
            <w:vAlign w:val="center"/>
          </w:tcPr>
          <w:p>
            <w:pPr>
              <w:spacing w:before="0" w:after="0" w:line="276" w:lineRule="auto"/>
              <w:jc w:val="left"/>
            </w:pPr>
            <w:r>
              <w:rPr>
                <w:rFonts w:ascii="Times New Roman" w:hAnsi="Times New Roman"/>
                <w:color w:val="212529"/>
                <w:sz w:val="20"/>
              </w:rPr>
              <w:t>Float32 [0.0, 1.0]</w:t>
            </w:r>
          </w:p>
        </w:tc>
        <w:tc>
          <w:tcPr>
            <w:tcW w:type="dxa" w:w="4608"/>
            <w:shd w:fill="F9FBFC"/>
            <w:tcMar>
              <w:top w:w="100" w:type="dxa"/>
              <w:bottom w:w="100" w:type="dxa"/>
              <w:left w:w="130" w:type="dxa"/>
              <w:right w:w="130" w:type="dxa"/>
            </w:tcMar>
            <w:vAlign w:val="center"/>
          </w:tcPr>
          <w:p>
            <w:pPr>
              <w:spacing w:before="0" w:after="0" w:line="276" w:lineRule="auto"/>
              <w:jc w:val="left"/>
            </w:pPr>
            <w:r>
              <w:rPr>
                <w:rFonts w:ascii="Times New Roman" w:hAnsi="Times New Roman"/>
                <w:color w:val="212529"/>
                <w:sz w:val="20"/>
              </w:rPr>
              <w:t>Normalized horizontal center coordinate of the prohibited item bounding box</w:t>
            </w:r>
          </w:p>
        </w:tc>
        <w:tc>
          <w:tcPr>
            <w:tcW w:type="dxa" w:w="1296"/>
            <w:shd w:fill="F9FBFC"/>
            <w:tcMar>
              <w:top w:w="100" w:type="dxa"/>
              <w:bottom w:w="100" w:type="dxa"/>
              <w:left w:w="130" w:type="dxa"/>
              <w:right w:w="130" w:type="dxa"/>
            </w:tcMar>
            <w:vAlign w:val="center"/>
          </w:tcPr>
          <w:p>
            <w:pPr>
              <w:spacing w:before="0" w:after="0" w:line="276" w:lineRule="auto"/>
              <w:jc w:val="left"/>
            </w:pPr>
            <w:r>
              <w:rPr>
                <w:rFonts w:ascii="Times New Roman" w:hAnsi="Times New Roman"/>
                <w:color w:val="212529"/>
                <w:sz w:val="20"/>
              </w:rPr>
              <w:t>Target (Box)</w:t>
            </w:r>
          </w:p>
        </w:tc>
      </w:tr>
      <w:tr>
        <w:tc>
          <w:tcPr>
            <w:tcW w:type="dxa" w:w="2160"/>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212529"/>
                <w:sz w:val="20"/>
              </w:rPr>
              <w:t>bbox_y_center</w:t>
            </w:r>
          </w:p>
        </w:tc>
        <w:tc>
          <w:tcPr>
            <w:tcW w:type="dxa" w:w="2592"/>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212529"/>
                <w:sz w:val="20"/>
              </w:rPr>
              <w:t>Float32 [0.0, 1.0]</w:t>
            </w:r>
          </w:p>
        </w:tc>
        <w:tc>
          <w:tcPr>
            <w:tcW w:type="dxa" w:w="4608"/>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212529"/>
                <w:sz w:val="20"/>
              </w:rPr>
              <w:t>Normalized vertical center coordinate of the prohibited item bounding box</w:t>
            </w:r>
          </w:p>
        </w:tc>
        <w:tc>
          <w:tcPr>
            <w:tcW w:type="dxa" w:w="1296"/>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212529"/>
                <w:sz w:val="20"/>
              </w:rPr>
              <w:t>Target (Box)</w:t>
            </w:r>
          </w:p>
        </w:tc>
      </w:tr>
      <w:tr>
        <w:tc>
          <w:tcPr>
            <w:tcW w:type="dxa" w:w="2160"/>
            <w:shd w:fill="F9FBFC"/>
            <w:tcMar>
              <w:top w:w="100" w:type="dxa"/>
              <w:bottom w:w="100" w:type="dxa"/>
              <w:left w:w="130" w:type="dxa"/>
              <w:right w:w="130" w:type="dxa"/>
            </w:tcMar>
            <w:vAlign w:val="center"/>
          </w:tcPr>
          <w:p>
            <w:pPr>
              <w:spacing w:before="0" w:after="0" w:line="276" w:lineRule="auto"/>
              <w:jc w:val="center"/>
            </w:pPr>
            <w:r>
              <w:rPr>
                <w:rFonts w:ascii="Times New Roman" w:hAnsi="Times New Roman"/>
                <w:color w:val="212529"/>
                <w:sz w:val="20"/>
              </w:rPr>
              <w:t>bbox_width</w:t>
            </w:r>
          </w:p>
        </w:tc>
        <w:tc>
          <w:tcPr>
            <w:tcW w:type="dxa" w:w="2592"/>
            <w:shd w:fill="F9FBFC"/>
            <w:tcMar>
              <w:top w:w="100" w:type="dxa"/>
              <w:bottom w:w="100" w:type="dxa"/>
              <w:left w:w="130" w:type="dxa"/>
              <w:right w:w="130" w:type="dxa"/>
            </w:tcMar>
            <w:vAlign w:val="center"/>
          </w:tcPr>
          <w:p>
            <w:pPr>
              <w:spacing w:before="0" w:after="0" w:line="276" w:lineRule="auto"/>
              <w:jc w:val="left"/>
            </w:pPr>
            <w:r>
              <w:rPr>
                <w:rFonts w:ascii="Times New Roman" w:hAnsi="Times New Roman"/>
                <w:color w:val="212529"/>
                <w:sz w:val="20"/>
              </w:rPr>
              <w:t>Float32 [0.0, 1.0]</w:t>
            </w:r>
          </w:p>
        </w:tc>
        <w:tc>
          <w:tcPr>
            <w:tcW w:type="dxa" w:w="4608"/>
            <w:shd w:fill="F9FBFC"/>
            <w:tcMar>
              <w:top w:w="100" w:type="dxa"/>
              <w:bottom w:w="100" w:type="dxa"/>
              <w:left w:w="130" w:type="dxa"/>
              <w:right w:w="130" w:type="dxa"/>
            </w:tcMar>
            <w:vAlign w:val="center"/>
          </w:tcPr>
          <w:p>
            <w:pPr>
              <w:spacing w:before="0" w:after="0" w:line="276" w:lineRule="auto"/>
              <w:jc w:val="left"/>
            </w:pPr>
            <w:r>
              <w:rPr>
                <w:rFonts w:ascii="Times New Roman" w:hAnsi="Times New Roman"/>
                <w:color w:val="212529"/>
                <w:sz w:val="20"/>
              </w:rPr>
              <w:t>Normalized width of the bounding box relative to total image dimensions</w:t>
            </w:r>
          </w:p>
        </w:tc>
        <w:tc>
          <w:tcPr>
            <w:tcW w:type="dxa" w:w="1296"/>
            <w:shd w:fill="F9FBFC"/>
            <w:tcMar>
              <w:top w:w="100" w:type="dxa"/>
              <w:bottom w:w="100" w:type="dxa"/>
              <w:left w:w="130" w:type="dxa"/>
              <w:right w:w="130" w:type="dxa"/>
            </w:tcMar>
            <w:vAlign w:val="center"/>
          </w:tcPr>
          <w:p>
            <w:pPr>
              <w:spacing w:before="0" w:after="0" w:line="276" w:lineRule="auto"/>
              <w:jc w:val="left"/>
            </w:pPr>
            <w:r>
              <w:rPr>
                <w:rFonts w:ascii="Times New Roman" w:hAnsi="Times New Roman"/>
                <w:color w:val="212529"/>
                <w:sz w:val="20"/>
              </w:rPr>
              <w:t>Target (Box)</w:t>
            </w:r>
          </w:p>
        </w:tc>
      </w:tr>
      <w:tr>
        <w:tc>
          <w:tcPr>
            <w:tcW w:type="dxa" w:w="2160"/>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212529"/>
                <w:sz w:val="20"/>
              </w:rPr>
              <w:t>bbox_height</w:t>
            </w:r>
          </w:p>
        </w:tc>
        <w:tc>
          <w:tcPr>
            <w:tcW w:type="dxa" w:w="2592"/>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212529"/>
                <w:sz w:val="20"/>
              </w:rPr>
              <w:t>Float32 [0.0, 1.0]</w:t>
            </w:r>
          </w:p>
        </w:tc>
        <w:tc>
          <w:tcPr>
            <w:tcW w:type="dxa" w:w="4608"/>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212529"/>
                <w:sz w:val="20"/>
              </w:rPr>
              <w:t>Normalized height of the bounding box relative to total image dimensions</w:t>
            </w:r>
          </w:p>
        </w:tc>
        <w:tc>
          <w:tcPr>
            <w:tcW w:type="dxa" w:w="1296"/>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212529"/>
                <w:sz w:val="20"/>
              </w:rPr>
              <w:t>Target (Box)</w:t>
            </w:r>
          </w:p>
        </w:tc>
      </w:tr>
      <w:tr>
        <w:tc>
          <w:tcPr>
            <w:tcW w:type="dxa" w:w="2160"/>
            <w:shd w:fill="F9FBFC"/>
            <w:tcMar>
              <w:top w:w="100" w:type="dxa"/>
              <w:bottom w:w="100" w:type="dxa"/>
              <w:left w:w="130" w:type="dxa"/>
              <w:right w:w="130" w:type="dxa"/>
            </w:tcMar>
            <w:vAlign w:val="center"/>
          </w:tcPr>
          <w:p>
            <w:pPr>
              <w:spacing w:before="0" w:after="0" w:line="276" w:lineRule="auto"/>
              <w:jc w:val="center"/>
            </w:pPr>
            <w:r>
              <w:rPr>
                <w:rFonts w:ascii="Times New Roman" w:hAnsi="Times New Roman"/>
                <w:color w:val="212529"/>
                <w:sz w:val="20"/>
              </w:rPr>
              <w:t>anomaly_dist</w:t>
            </w:r>
          </w:p>
        </w:tc>
        <w:tc>
          <w:tcPr>
            <w:tcW w:type="dxa" w:w="2592"/>
            <w:shd w:fill="F9FBFC"/>
            <w:tcMar>
              <w:top w:w="100" w:type="dxa"/>
              <w:bottom w:w="100" w:type="dxa"/>
              <w:left w:w="130" w:type="dxa"/>
              <w:right w:w="130" w:type="dxa"/>
            </w:tcMar>
            <w:vAlign w:val="center"/>
          </w:tcPr>
          <w:p>
            <w:pPr>
              <w:spacing w:before="0" w:after="0" w:line="276" w:lineRule="auto"/>
              <w:jc w:val="left"/>
            </w:pPr>
            <w:r>
              <w:rPr>
                <w:rFonts w:ascii="Times New Roman" w:hAnsi="Times New Roman"/>
                <w:color w:val="212529"/>
                <w:sz w:val="20"/>
              </w:rPr>
              <w:t>Float32 [0.0, +inf)</w:t>
            </w:r>
          </w:p>
        </w:tc>
        <w:tc>
          <w:tcPr>
            <w:tcW w:type="dxa" w:w="4608"/>
            <w:shd w:fill="F9FBFC"/>
            <w:tcMar>
              <w:top w:w="100" w:type="dxa"/>
              <w:bottom w:w="100" w:type="dxa"/>
              <w:left w:w="130" w:type="dxa"/>
              <w:right w:w="130" w:type="dxa"/>
            </w:tcMar>
            <w:vAlign w:val="center"/>
          </w:tcPr>
          <w:p>
            <w:pPr>
              <w:spacing w:before="0" w:after="0" w:line="276" w:lineRule="auto"/>
              <w:jc w:val="left"/>
            </w:pPr>
            <w:r>
              <w:rPr>
                <w:rFonts w:ascii="Times New Roman" w:hAnsi="Times New Roman"/>
                <w:color w:val="212529"/>
                <w:sz w:val="20"/>
              </w:rPr>
              <w:t>Mean Euclidean distance to 5 nearest normal benign training feature neighbors</w:t>
            </w:r>
          </w:p>
        </w:tc>
        <w:tc>
          <w:tcPr>
            <w:tcW w:type="dxa" w:w="1296"/>
            <w:shd w:fill="F9FBFC"/>
            <w:tcMar>
              <w:top w:w="100" w:type="dxa"/>
              <w:bottom w:w="100" w:type="dxa"/>
              <w:left w:w="130" w:type="dxa"/>
              <w:right w:w="130" w:type="dxa"/>
            </w:tcMar>
            <w:vAlign w:val="center"/>
          </w:tcPr>
          <w:p>
            <w:pPr>
              <w:spacing w:before="0" w:after="0" w:line="276" w:lineRule="auto"/>
              <w:jc w:val="left"/>
            </w:pPr>
            <w:r>
              <w:rPr>
                <w:rFonts w:ascii="Times New Roman" w:hAnsi="Times New Roman"/>
                <w:color w:val="212529"/>
                <w:sz w:val="20"/>
              </w:rPr>
              <w:t>Derived (Score)</w:t>
            </w:r>
          </w:p>
        </w:tc>
      </w:tr>
      <w:tr>
        <w:tc>
          <w:tcPr>
            <w:tcW w:type="dxa" w:w="2160"/>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212529"/>
                <w:sz w:val="20"/>
              </w:rPr>
              <w:t>threat_risk</w:t>
            </w:r>
          </w:p>
        </w:tc>
        <w:tc>
          <w:tcPr>
            <w:tcW w:type="dxa" w:w="2592"/>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212529"/>
                <w:sz w:val="20"/>
              </w:rPr>
              <w:t>Float32 [0.0, 1.0]</w:t>
            </w:r>
          </w:p>
        </w:tc>
        <w:tc>
          <w:tcPr>
            <w:tcW w:type="dxa" w:w="4608"/>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212529"/>
                <w:sz w:val="20"/>
              </w:rPr>
              <w:t>Calibrated multi-factor composite risk index (0.5*det + 0.3*anom + 0.2*mis)</w:t>
            </w:r>
          </w:p>
        </w:tc>
        <w:tc>
          <w:tcPr>
            <w:tcW w:type="dxa" w:w="1296"/>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212529"/>
                <w:sz w:val="20"/>
              </w:rPr>
              <w:t>Target (Decision)</w:t>
            </w:r>
          </w:p>
        </w:tc>
      </w:tr>
    </w:tbl>
    <w:p>
      <w:pPr>
        <w:spacing w:before="320" w:after="120" w:line="360" w:lineRule="auto"/>
        <w:jc w:val="left"/>
      </w:pPr>
      <w:r>
        <w:rPr>
          <w:rFonts w:ascii="Times New Roman" w:hAnsi="Times New Roman"/>
          <w:b/>
          <w:color w:val="003366"/>
          <w:sz w:val="32"/>
        </w:rPr>
        <w:t>5. Flow Diagram / Block Diagram</w:t>
      </w:r>
    </w:p>
    <w:p>
      <w:pPr>
        <w:spacing w:before="0" w:after="120" w:line="360" w:lineRule="auto"/>
        <w:jc w:val="both"/>
      </w:pPr>
      <w:r>
        <w:rPr>
          <w:rFonts w:ascii="Times New Roman" w:hAnsi="Times New Roman"/>
          <w:color w:val="212529"/>
          <w:sz w:val="24"/>
        </w:rPr>
        <w:t>The overall architectural workflow of the Baggage Vision AI screening system is structured as an end-to-end, multi-stage pipeline that bridges raw sensor data ingestion, multi-model parallel inference, composite threat scoring, and operational deployment. Figure 1 illustrates the block diagram representing the end-to-end system flow.</w:t>
      </w:r>
    </w:p>
    <w:p>
      <w:pPr>
        <w:spacing w:before="120" w:after="40" w:line="240" w:lineRule="auto"/>
        <w:jc w:val="center"/>
      </w:pPr>
      <w:r>
        <w:drawing>
          <wp:inline xmlns:a="http://schemas.openxmlformats.org/drawingml/2006/main" xmlns:pic="http://schemas.openxmlformats.org/drawingml/2006/picture">
            <wp:extent cx="5669280" cy="3287230"/>
            <wp:docPr id="1" name="Picture 1"/>
            <wp:cNvGraphicFramePr>
              <a:graphicFrameLocks noChangeAspect="1"/>
            </wp:cNvGraphicFramePr>
            <a:graphic>
              <a:graphicData uri="http://schemas.openxmlformats.org/drawingml/2006/picture">
                <pic:pic>
                  <pic:nvPicPr>
                    <pic:cNvPr id="0" name="system_architecture_diagram.png"/>
                    <pic:cNvPicPr/>
                  </pic:nvPicPr>
                  <pic:blipFill>
                    <a:blip r:embed="rId10"/>
                    <a:stretch>
                      <a:fillRect/>
                    </a:stretch>
                  </pic:blipFill>
                  <pic:spPr>
                    <a:xfrm>
                      <a:off x="0" y="0"/>
                      <a:ext cx="5669280" cy="3287230"/>
                    </a:xfrm>
                    <a:prstGeom prst="rect"/>
                  </pic:spPr>
                </pic:pic>
              </a:graphicData>
            </a:graphic>
          </wp:inline>
        </w:drawing>
      </w:r>
    </w:p>
    <w:p>
      <w:pPr>
        <w:spacing w:before="80" w:after="200" w:line="276" w:lineRule="auto"/>
        <w:jc w:val="center"/>
      </w:pPr>
      <w:r>
        <w:rPr>
          <w:rFonts w:ascii="Times New Roman" w:hAnsi="Times New Roman"/>
          <w:b/>
          <w:i/>
          <w:color w:val="003366"/>
          <w:sz w:val="22"/>
        </w:rPr>
        <w:t>Figure 1: Overall System Architecture and Screening Pipeline</w:t>
      </w:r>
    </w:p>
    <w:p>
      <w:pPr>
        <w:spacing w:before="240" w:after="80" w:line="360" w:lineRule="auto"/>
        <w:jc w:val="left"/>
      </w:pPr>
      <w:r>
        <w:rPr>
          <w:rFonts w:ascii="Times New Roman" w:hAnsi="Times New Roman"/>
          <w:b/>
          <w:color w:val="143C6E"/>
          <w:sz w:val="28"/>
        </w:rPr>
        <w:t>5.1 End-to-End System Pipeline and Execution Flow</w:t>
      </w:r>
    </w:p>
    <w:p>
      <w:pPr>
        <w:spacing w:before="0" w:after="120" w:line="360" w:lineRule="auto"/>
        <w:jc w:val="both"/>
      </w:pPr>
      <w:r>
        <w:rPr>
          <w:rFonts w:ascii="Times New Roman" w:hAnsi="Times New Roman"/>
          <w:color w:val="212529"/>
          <w:sz w:val="24"/>
        </w:rPr>
        <w:t>The operational execution flow of Baggage Vision AI is designed to process dual-energy transmission radiographs in real-time, executing within sub-20 millisecond latency. The pipeline seamlessly orchestrates the following chronological stages:</w:t>
        <w:br/>
        <w:t>1. Acquisition &amp; Ingestion: High-resolution X-ray transmission images from security scanners (e.g., Smiths Detection, Rapiscan, L3Harris) are ingested via digital image streams or file uploads into the screening environment.</w:t>
        <w:br/>
        <w:t>2. Contrast &amp; Frequency Preprocessing: The raw scan undergoes an automated radiometric enhancement pipeline: conversion to single-channel luminance, Contrast Limited Adaptive Histogram Equalization (CLAHE) to reveal subtle metallic boundaries masked by dense packing, and Gaussian noise filtering.</w:t>
        <w:br/>
        <w:t>3. Parallel Multi-Model Inference: The preprocessed scan is simultaneously fed into two complementary neural pathways:</w:t>
        <w:br/>
        <w:t xml:space="preserve">   • Pathway A (Supervised Object Detection): The YOLOv8x deep neural network processes the 640x640 tensor to detect, localize, and classify any of the 12 prohibited item categories with calibrated confidence scores and bounding box coordinates.</w:t>
        <w:br/>
        <w:t xml:space="preserve">   • Pathway B (Unsupervised Metric Anomaly Detection): The ResNet-50 feature extractor compresses the scan into a 2048-dimensional deep feature vector, which is evaluated against a precomputed topological index of normal benign luggage using k-Nearest Neighbors (k-NN, k=5) to quantify structural anomalies.</w:t>
        <w:br/>
        <w:t>4. Semantic Verification (Optional Cargo Mode): When cargo or passenger declarations are provided, the OpenAI CLIP ViT-B/32 vision-language model evaluates semantic cosine similarity between luggage visual embeddings and declared items to compute a mismatch score.</w:t>
        <w:br/>
        <w:t>5. Calibrated Multi-Factor Threat Synthesis: An algorithmic risk mapping engine synthesizes the detection confidence, anomaly metric distance, and declaration mismatch into a unified risk score in [0.0, 1.0].</w:t>
        <w:br/>
        <w:t>6. Thresholding &amp; Three-Tier Decision Routing: The score is evaluated against operational thresholds, categorizing the scan into 'SAFE' (Green Lane), 'SUSPICIOUS' (Yellow Lane - Screener Review Required), or 'HIGH RISK' (Red Lane - Secondary Inspection &amp; Quarantine).</w:t>
        <w:br/>
        <w:t>7. Interactive Visual Output &amp; Persistent Auditing: Results are rendered instantly on the Streamlit web dashboard with bounding box overlays, confidence tables, and risk progress bars, while all inspection parameters are permanently logged into the SQLite audit ledger.</w:t>
      </w:r>
    </w:p>
    <w:p>
      <w:pPr>
        <w:spacing w:before="240" w:after="80" w:line="360" w:lineRule="auto"/>
        <w:jc w:val="left"/>
      </w:pPr>
      <w:r>
        <w:rPr>
          <w:rFonts w:ascii="Times New Roman" w:hAnsi="Times New Roman"/>
          <w:b/>
          <w:color w:val="143C6E"/>
          <w:sz w:val="28"/>
        </w:rPr>
        <w:t>5.2 Major Architectural Components of the System</w:t>
      </w:r>
    </w:p>
    <w:p>
      <w:pPr>
        <w:spacing w:before="0" w:after="120" w:line="360" w:lineRule="auto"/>
        <w:jc w:val="both"/>
      </w:pPr>
      <w:r>
        <w:rPr>
          <w:rFonts w:ascii="Times New Roman" w:hAnsi="Times New Roman"/>
          <w:color w:val="212529"/>
          <w:sz w:val="24"/>
        </w:rPr>
        <w:t>The Baggage Vision AI architecture is organized into seven modular, decoupled subsystems that ensure maximum reliability, maintainability, and scalability:</w:t>
        <w:br/>
        <w:br/>
        <w:t>1. Radiographic Preprocessing Engine (preprocessing/image_preprocessing.py): Functions as the sensor-conditioning front-end. It standardizes arbitrary input dimensions, normalizes dynamic ranges, suppresses high-frequency sensor noise, and amplifies localized gradient transitions in heavily occluded areas.</w:t>
        <w:br/>
        <w:br/>
        <w:t>2. Deep Object Detection Subsystem (inference/detect_objects.py): The core supervised perception engine. Powered by Ultralytics YOLOv8x, it incorporates an anchor-free decoupled head and a Path Aggregation Network (PANet) to deliver multi-scale object detection across 12 prohibited categories.</w:t>
        <w:br/>
        <w:br/>
        <w:t>3. Deep Metric Anomaly Detection Subsystem (frontend/anomaly_detection/): The unsupervised safety net. Consists of a PyTorch ResNet-50 deep feature extractor coupled with a Scikit-learn k-NN density estimator that benchmarks latent luggage embeddings against 2048-dimensional normal luggage distributions.</w:t>
        <w:br/>
        <w:br/>
        <w:t>4. Multimodal Zero-Shot Alignment Subsystem (inference/clip_matcher.py): A foundational cross-modal inspection engine based on OpenAI CLIP ViT-B/32. Computes joint vision-language cosine similarity matrices between visual scan embeddings and textual manifest tokens.</w:t>
        <w:br/>
        <w:br/>
        <w:t>5. Algorithmic Risk Assessment &amp; Fusion Engine (inference/risk_mapping.py): A calibrated mathematical engine that fuses multi-modal signals using weighted linear combination and maps continuous threat scores to operational security decisions.</w:t>
        <w:br/>
        <w:br/>
        <w:t>6. Master Screening Pipeline Orchestrator (pipeline/full_pipeline.py): The central coordinator that instantiates models, manages temporary file buffers, executes parallel inference streams, handles runtime exceptions, and formats structured response dictionaries.</w:t>
        <w:br/>
        <w:br/>
        <w:t>7. Presentation and Persistence Tier (frontend/app.py &amp; frontend/database.py): An interactive, dark-themed Streamlit web console that provides three-column visual decision support to security screeners, backed by an SQLite relational database (clearsight.db) for permanent forensic audit logging.</w:t>
      </w:r>
    </w:p>
    <w:p>
      <w:pPr>
        <w:spacing w:before="320" w:after="120" w:line="360" w:lineRule="auto"/>
        <w:jc w:val="left"/>
      </w:pPr>
      <w:r>
        <w:rPr>
          <w:rFonts w:ascii="Times New Roman" w:hAnsi="Times New Roman"/>
          <w:b/>
          <w:color w:val="003366"/>
          <w:sz w:val="32"/>
        </w:rPr>
        <w:t>6. Methods Used / Technology Stack</w:t>
      </w:r>
    </w:p>
    <w:p>
      <w:pPr>
        <w:spacing w:before="0" w:after="120" w:line="360" w:lineRule="auto"/>
        <w:jc w:val="both"/>
      </w:pPr>
      <w:r>
        <w:rPr>
          <w:rFonts w:ascii="Times New Roman" w:hAnsi="Times New Roman"/>
          <w:color w:val="212529"/>
          <w:sz w:val="24"/>
        </w:rPr>
        <w:t>The Baggage Vision AI system is implemented in Python, leveraging a modern stack of computer vision, deep learning, data processing, and web deployment frameworks. Only technologies and libraries directly utilized in the project implementation are included.</w:t>
      </w:r>
    </w:p>
    <w:p>
      <w:pPr>
        <w:spacing w:before="0" w:after="120" w:line="360" w:lineRule="auto"/>
        <w:jc w:val="both"/>
      </w:pPr>
      <w:r>
        <w:rPr>
          <w:rFonts w:ascii="Times New Roman" w:hAnsi="Times New Roman"/>
          <w:b/>
          <w:color w:val="212529"/>
          <w:sz w:val="24"/>
        </w:rPr>
        <w:t xml:space="preserve">Programming Language: </w:t>
      </w:r>
      <w:r>
        <w:rPr>
          <w:rFonts w:ascii="Times New Roman" w:hAnsi="Times New Roman"/>
          <w:color w:val="212529"/>
          <w:sz w:val="24"/>
        </w:rPr>
        <w:t>The core programming language chosen for system development is Python (v3.12 / v3.14). Python provides an industry-standard ecosystem for high-performance deep learning research, native interoperability with CUDA-accelerated GPU runtimes, extensive image processing libraries, and rapid web deployment frameworks.</w:t>
      </w:r>
    </w:p>
    <w:p>
      <w:pPr>
        <w:spacing w:before="160" w:after="60" w:line="276" w:lineRule="auto"/>
        <w:jc w:val="left"/>
      </w:pPr>
      <w:r>
        <w:rPr>
          <w:rFonts w:ascii="Times New Roman" w:hAnsi="Times New Roman"/>
          <w:b/>
          <w:color w:val="003366"/>
          <w:sz w:val="22"/>
        </w:rPr>
        <w:t>Table 3: Libraries and Frameworks Used with Functions and Technical Significance</w:t>
      </w:r>
    </w:p>
    <w:tbl>
      <w:tblPr>
        <w:tblW w:type="auto" w:w="0"/>
        <w:tblLook w:firstColumn="1" w:firstRow="1" w:lastColumn="0" w:lastRow="0" w:noHBand="0" w:noVBand="1" w:val="04A0"/>
        <w:jc w:val="center"/>
        <w:tblBorders>
          <w:top w:val="single" w:sz="4" w:space="0" w:color="9FB6CD"/>
          <w:bottom w:val="single" w:sz="4" w:space="0" w:color="9FB6CD"/>
          <w:left w:val="single" w:sz="4" w:space="0" w:color="9FB6CD"/>
          <w:right w:val="single" w:sz="4" w:space="0" w:color="9FB6CD"/>
          <w:insideH w:val="single" w:sz="4" w:space="0" w:color="9FB6CD"/>
          <w:insideV w:val="single" w:sz="4" w:space="0" w:color="9FB6CD"/>
        </w:tblBorders>
      </w:tblPr>
      <w:tblGrid>
        <w:gridCol w:w="2257"/>
        <w:gridCol w:w="2257"/>
        <w:gridCol w:w="2257"/>
        <w:gridCol w:w="2257"/>
      </w:tblGrid>
      <w:tr>
        <w:tc>
          <w:tcPr>
            <w:tcW w:type="dxa" w:w="1728"/>
            <w:shd w:fill="D9EAF7"/>
            <w:tcMar>
              <w:top w:w="120" w:type="dxa"/>
              <w:bottom w:w="120" w:type="dxa"/>
              <w:left w:w="140" w:type="dxa"/>
              <w:right w:w="140" w:type="dxa"/>
            </w:tcMar>
            <w:vAlign w:val="center"/>
          </w:tcPr>
          <w:p>
            <w:pPr>
              <w:spacing w:before="0" w:after="0" w:line="276" w:lineRule="auto"/>
              <w:jc w:val="center"/>
            </w:pPr>
            <w:r>
              <w:rPr>
                <w:rFonts w:ascii="Times New Roman" w:hAnsi="Times New Roman"/>
                <w:b/>
                <w:color w:val="002850"/>
                <w:sz w:val="21"/>
              </w:rPr>
              <w:t>Technology / Library</w:t>
            </w:r>
          </w:p>
        </w:tc>
        <w:tc>
          <w:tcPr>
            <w:tcW w:type="dxa" w:w="1008"/>
            <w:shd w:fill="D9EAF7"/>
            <w:tcMar>
              <w:top w:w="120" w:type="dxa"/>
              <w:bottom w:w="120" w:type="dxa"/>
              <w:left w:w="140" w:type="dxa"/>
              <w:right w:w="140" w:type="dxa"/>
            </w:tcMar>
            <w:vAlign w:val="center"/>
          </w:tcPr>
          <w:p>
            <w:pPr>
              <w:spacing w:before="0" w:after="0" w:line="276" w:lineRule="auto"/>
              <w:jc w:val="center"/>
            </w:pPr>
            <w:r>
              <w:rPr>
                <w:rFonts w:ascii="Times New Roman" w:hAnsi="Times New Roman"/>
                <w:b/>
                <w:color w:val="002850"/>
                <w:sz w:val="21"/>
              </w:rPr>
              <w:t>Version</w:t>
            </w:r>
          </w:p>
        </w:tc>
        <w:tc>
          <w:tcPr>
            <w:tcW w:type="dxa" w:w="3312"/>
            <w:shd w:fill="D9EAF7"/>
            <w:tcMar>
              <w:top w:w="120" w:type="dxa"/>
              <w:bottom w:w="120" w:type="dxa"/>
              <w:left w:w="140" w:type="dxa"/>
              <w:right w:w="140" w:type="dxa"/>
            </w:tcMar>
            <w:vAlign w:val="center"/>
          </w:tcPr>
          <w:p>
            <w:pPr>
              <w:spacing w:before="0" w:after="0" w:line="276" w:lineRule="auto"/>
              <w:jc w:val="center"/>
            </w:pPr>
            <w:r>
              <w:rPr>
                <w:rFonts w:ascii="Times New Roman" w:hAnsi="Times New Roman"/>
                <w:b/>
                <w:color w:val="002850"/>
                <w:sz w:val="21"/>
              </w:rPr>
              <w:t>Key Functions / Modules Used</w:t>
            </w:r>
          </w:p>
        </w:tc>
        <w:tc>
          <w:tcPr>
            <w:tcW w:type="dxa" w:w="4421"/>
            <w:shd w:fill="D9EAF7"/>
            <w:tcMar>
              <w:top w:w="120" w:type="dxa"/>
              <w:bottom w:w="120" w:type="dxa"/>
              <w:left w:w="140" w:type="dxa"/>
              <w:right w:w="140" w:type="dxa"/>
            </w:tcMar>
            <w:vAlign w:val="center"/>
          </w:tcPr>
          <w:p>
            <w:pPr>
              <w:spacing w:before="0" w:after="0" w:line="276" w:lineRule="auto"/>
              <w:jc w:val="center"/>
            </w:pPr>
            <w:r>
              <w:rPr>
                <w:rFonts w:ascii="Times New Roman" w:hAnsi="Times New Roman"/>
                <w:b/>
                <w:color w:val="002850"/>
                <w:sz w:val="21"/>
              </w:rPr>
              <w:t>Technical Significance &amp; Purpose</w:t>
            </w:r>
          </w:p>
        </w:tc>
      </w:tr>
      <w:tr>
        <w:tc>
          <w:tcPr>
            <w:tcW w:type="dxa" w:w="1728"/>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212529"/>
                <w:sz w:val="20"/>
              </w:rPr>
              <w:t>Ultralytics YOLO</w:t>
            </w:r>
          </w:p>
        </w:tc>
        <w:tc>
          <w:tcPr>
            <w:tcW w:type="dxa" w:w="1008"/>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212529"/>
                <w:sz w:val="20"/>
              </w:rPr>
              <w:t>8.2.0</w:t>
            </w:r>
          </w:p>
        </w:tc>
        <w:tc>
          <w:tcPr>
            <w:tcW w:type="dxa" w:w="3312"/>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212529"/>
                <w:sz w:val="20"/>
              </w:rPr>
              <w:t>YOLO(), model.train(), model.val(), model.predict(), non_max_suppression</w:t>
            </w:r>
          </w:p>
        </w:tc>
        <w:tc>
          <w:tcPr>
            <w:tcW w:type="dxa" w:w="4421"/>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212529"/>
                <w:sz w:val="20"/>
              </w:rPr>
              <w:t>Core deep learning framework for training, evaluating, and running high-speed anchor-free object detection across 12 prohibited classes.</w:t>
            </w:r>
          </w:p>
        </w:tc>
      </w:tr>
      <w:tr>
        <w:tc>
          <w:tcPr>
            <w:tcW w:type="dxa" w:w="1728"/>
            <w:shd w:fill="F9FBFC"/>
            <w:tcMar>
              <w:top w:w="100" w:type="dxa"/>
              <w:bottom w:w="100" w:type="dxa"/>
              <w:left w:w="130" w:type="dxa"/>
              <w:right w:w="130" w:type="dxa"/>
            </w:tcMar>
            <w:vAlign w:val="center"/>
          </w:tcPr>
          <w:p>
            <w:pPr>
              <w:spacing w:before="0" w:after="0" w:line="276" w:lineRule="auto"/>
              <w:jc w:val="left"/>
            </w:pPr>
            <w:r>
              <w:rPr>
                <w:rFonts w:ascii="Times New Roman" w:hAnsi="Times New Roman"/>
                <w:color w:val="212529"/>
                <w:sz w:val="20"/>
              </w:rPr>
              <w:t>PyTorch &amp; Torchvision</w:t>
            </w:r>
          </w:p>
        </w:tc>
        <w:tc>
          <w:tcPr>
            <w:tcW w:type="dxa" w:w="1008"/>
            <w:shd w:fill="F9FBFC"/>
            <w:tcMar>
              <w:top w:w="100" w:type="dxa"/>
              <w:bottom w:w="100" w:type="dxa"/>
              <w:left w:w="130" w:type="dxa"/>
              <w:right w:w="130" w:type="dxa"/>
            </w:tcMar>
            <w:vAlign w:val="center"/>
          </w:tcPr>
          <w:p>
            <w:pPr>
              <w:spacing w:before="0" w:after="0" w:line="276" w:lineRule="auto"/>
              <w:jc w:val="center"/>
            </w:pPr>
            <w:r>
              <w:rPr>
                <w:rFonts w:ascii="Times New Roman" w:hAnsi="Times New Roman"/>
                <w:color w:val="212529"/>
                <w:sz w:val="20"/>
              </w:rPr>
              <w:t>&gt;= 2.0.0</w:t>
            </w:r>
          </w:p>
        </w:tc>
        <w:tc>
          <w:tcPr>
            <w:tcW w:type="dxa" w:w="3312"/>
            <w:shd w:fill="F9FBFC"/>
            <w:tcMar>
              <w:top w:w="100" w:type="dxa"/>
              <w:bottom w:w="100" w:type="dxa"/>
              <w:left w:w="130" w:type="dxa"/>
              <w:right w:w="130" w:type="dxa"/>
            </w:tcMar>
            <w:vAlign w:val="center"/>
          </w:tcPr>
          <w:p>
            <w:pPr>
              <w:spacing w:before="0" w:after="0" w:line="276" w:lineRule="auto"/>
              <w:jc w:val="left"/>
            </w:pPr>
            <w:r>
              <w:rPr>
                <w:rFonts w:ascii="Times New Roman" w:hAnsi="Times New Roman"/>
                <w:color w:val="212529"/>
                <w:sz w:val="20"/>
              </w:rPr>
              <w:t>torch.nn, models.resnet50(), transforms.Compose(), torch.no_grad(), .cuda()</w:t>
            </w:r>
          </w:p>
        </w:tc>
        <w:tc>
          <w:tcPr>
            <w:tcW w:type="dxa" w:w="4421"/>
            <w:shd w:fill="F9FBFC"/>
            <w:tcMar>
              <w:top w:w="100" w:type="dxa"/>
              <w:bottom w:w="100" w:type="dxa"/>
              <w:left w:w="130" w:type="dxa"/>
              <w:right w:w="130" w:type="dxa"/>
            </w:tcMar>
            <w:vAlign w:val="center"/>
          </w:tcPr>
          <w:p>
            <w:pPr>
              <w:spacing w:before="0" w:after="0" w:line="276" w:lineRule="auto"/>
              <w:jc w:val="left"/>
            </w:pPr>
            <w:r>
              <w:rPr>
                <w:rFonts w:ascii="Times New Roman" w:hAnsi="Times New Roman"/>
                <w:color w:val="212529"/>
                <w:sz w:val="20"/>
              </w:rPr>
              <w:t>Deep learning tensor computing backend; manages ResNet-50 weights, GPU memory management, and latent feature extraction.</w:t>
            </w:r>
          </w:p>
        </w:tc>
      </w:tr>
      <w:tr>
        <w:tc>
          <w:tcPr>
            <w:tcW w:type="dxa" w:w="1728"/>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212529"/>
                <w:sz w:val="20"/>
              </w:rPr>
              <w:t>OpenCV (opencv-python)</w:t>
            </w:r>
          </w:p>
        </w:tc>
        <w:tc>
          <w:tcPr>
            <w:tcW w:type="dxa" w:w="1008"/>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212529"/>
                <w:sz w:val="20"/>
              </w:rPr>
              <w:t>4.9.0</w:t>
            </w:r>
          </w:p>
        </w:tc>
        <w:tc>
          <w:tcPr>
            <w:tcW w:type="dxa" w:w="3312"/>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212529"/>
                <w:sz w:val="20"/>
              </w:rPr>
              <w:t>cv2.cvtColor, cv2.createCLAHE, cv2.GaussianBlur, cv2.rectangle, cv2.putText</w:t>
            </w:r>
          </w:p>
        </w:tc>
        <w:tc>
          <w:tcPr>
            <w:tcW w:type="dxa" w:w="4421"/>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212529"/>
                <w:sz w:val="20"/>
              </w:rPr>
              <w:t>Computer vision image preprocessing (CLAHE, Gaussian noise reduction) and rendering bounding box overlays on output radiographs.</w:t>
            </w:r>
          </w:p>
        </w:tc>
      </w:tr>
      <w:tr>
        <w:tc>
          <w:tcPr>
            <w:tcW w:type="dxa" w:w="1728"/>
            <w:shd w:fill="F9FBFC"/>
            <w:tcMar>
              <w:top w:w="100" w:type="dxa"/>
              <w:bottom w:w="100" w:type="dxa"/>
              <w:left w:w="130" w:type="dxa"/>
              <w:right w:w="130" w:type="dxa"/>
            </w:tcMar>
            <w:vAlign w:val="center"/>
          </w:tcPr>
          <w:p>
            <w:pPr>
              <w:spacing w:before="0" w:after="0" w:line="276" w:lineRule="auto"/>
              <w:jc w:val="center"/>
            </w:pPr>
            <w:r>
              <w:rPr>
                <w:rFonts w:ascii="Times New Roman" w:hAnsi="Times New Roman"/>
                <w:color w:val="212529"/>
                <w:sz w:val="20"/>
              </w:rPr>
              <w:t>Scikit-learn</w:t>
            </w:r>
          </w:p>
        </w:tc>
        <w:tc>
          <w:tcPr>
            <w:tcW w:type="dxa" w:w="1008"/>
            <w:shd w:fill="F9FBFC"/>
            <w:tcMar>
              <w:top w:w="100" w:type="dxa"/>
              <w:bottom w:w="100" w:type="dxa"/>
              <w:left w:w="130" w:type="dxa"/>
              <w:right w:w="130" w:type="dxa"/>
            </w:tcMar>
            <w:vAlign w:val="center"/>
          </w:tcPr>
          <w:p>
            <w:pPr>
              <w:spacing w:before="0" w:after="0" w:line="276" w:lineRule="auto"/>
              <w:jc w:val="center"/>
            </w:pPr>
            <w:r>
              <w:rPr>
                <w:rFonts w:ascii="Times New Roman" w:hAnsi="Times New Roman"/>
                <w:color w:val="212529"/>
                <w:sz w:val="20"/>
              </w:rPr>
              <w:t>&gt;= 1.3.0</w:t>
            </w:r>
          </w:p>
        </w:tc>
        <w:tc>
          <w:tcPr>
            <w:tcW w:type="dxa" w:w="3312"/>
            <w:shd w:fill="F9FBFC"/>
            <w:tcMar>
              <w:top w:w="100" w:type="dxa"/>
              <w:bottom w:w="100" w:type="dxa"/>
              <w:left w:w="130" w:type="dxa"/>
              <w:right w:w="130" w:type="dxa"/>
            </w:tcMar>
            <w:vAlign w:val="center"/>
          </w:tcPr>
          <w:p>
            <w:pPr>
              <w:spacing w:before="0" w:after="0" w:line="276" w:lineRule="auto"/>
              <w:jc w:val="left"/>
            </w:pPr>
            <w:r>
              <w:rPr>
                <w:rFonts w:ascii="Times New Roman" w:hAnsi="Times New Roman"/>
                <w:color w:val="212529"/>
                <w:sz w:val="20"/>
              </w:rPr>
              <w:t>NearestNeighbors(), kneighbors(), fit(), train_test_split()</w:t>
            </w:r>
          </w:p>
        </w:tc>
        <w:tc>
          <w:tcPr>
            <w:tcW w:type="dxa" w:w="4421"/>
            <w:shd w:fill="F9FBFC"/>
            <w:tcMar>
              <w:top w:w="100" w:type="dxa"/>
              <w:bottom w:w="100" w:type="dxa"/>
              <w:left w:w="130" w:type="dxa"/>
              <w:right w:w="130" w:type="dxa"/>
            </w:tcMar>
            <w:vAlign w:val="center"/>
          </w:tcPr>
          <w:p>
            <w:pPr>
              <w:spacing w:before="0" w:after="0" w:line="276" w:lineRule="auto"/>
              <w:jc w:val="left"/>
            </w:pPr>
            <w:r>
              <w:rPr>
                <w:rFonts w:ascii="Times New Roman" w:hAnsi="Times New Roman"/>
                <w:color w:val="212529"/>
                <w:sz w:val="20"/>
              </w:rPr>
              <w:t>Unsupervised k-NN anomaly density estimation; calculates distance from normal luggage feature distributions in 2048-D latent space.</w:t>
            </w:r>
          </w:p>
        </w:tc>
      </w:tr>
      <w:tr>
        <w:tc>
          <w:tcPr>
            <w:tcW w:type="dxa" w:w="1728"/>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212529"/>
                <w:sz w:val="20"/>
              </w:rPr>
              <w:t>Streamlit</w:t>
            </w:r>
          </w:p>
        </w:tc>
        <w:tc>
          <w:tcPr>
            <w:tcW w:type="dxa" w:w="1008"/>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212529"/>
                <w:sz w:val="20"/>
              </w:rPr>
              <w:t>&gt;= 1.30.0</w:t>
            </w:r>
          </w:p>
        </w:tc>
        <w:tc>
          <w:tcPr>
            <w:tcW w:type="dxa" w:w="3312"/>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212529"/>
                <w:sz w:val="20"/>
              </w:rPr>
              <w:t>st.file_uploader, st.image, st.dataframe, st.metric, st.progress, st.cache_resource</w:t>
            </w:r>
          </w:p>
        </w:tc>
        <w:tc>
          <w:tcPr>
            <w:tcW w:type="dxa" w:w="4421"/>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212529"/>
                <w:sz w:val="20"/>
              </w:rPr>
              <w:t>Frontend interactive web application framework; delivers real-time screener dashboard, model inference caching, and UI styling.</w:t>
            </w:r>
          </w:p>
        </w:tc>
      </w:tr>
      <w:tr>
        <w:tc>
          <w:tcPr>
            <w:tcW w:type="dxa" w:w="1728"/>
            <w:shd w:fill="F9FBFC"/>
            <w:tcMar>
              <w:top w:w="100" w:type="dxa"/>
              <w:bottom w:w="100" w:type="dxa"/>
              <w:left w:w="130" w:type="dxa"/>
              <w:right w:w="130" w:type="dxa"/>
            </w:tcMar>
            <w:vAlign w:val="center"/>
          </w:tcPr>
          <w:p>
            <w:pPr>
              <w:spacing w:before="0" w:after="0" w:line="276" w:lineRule="auto"/>
              <w:jc w:val="center"/>
            </w:pPr>
            <w:r>
              <w:rPr>
                <w:rFonts w:ascii="Times New Roman" w:hAnsi="Times New Roman"/>
                <w:color w:val="212529"/>
                <w:sz w:val="20"/>
              </w:rPr>
              <w:t>Pandas</w:t>
            </w:r>
          </w:p>
        </w:tc>
        <w:tc>
          <w:tcPr>
            <w:tcW w:type="dxa" w:w="1008"/>
            <w:shd w:fill="F9FBFC"/>
            <w:tcMar>
              <w:top w:w="100" w:type="dxa"/>
              <w:bottom w:w="100" w:type="dxa"/>
              <w:left w:w="130" w:type="dxa"/>
              <w:right w:w="130" w:type="dxa"/>
            </w:tcMar>
            <w:vAlign w:val="center"/>
          </w:tcPr>
          <w:p>
            <w:pPr>
              <w:spacing w:before="0" w:after="0" w:line="276" w:lineRule="auto"/>
              <w:jc w:val="center"/>
            </w:pPr>
            <w:r>
              <w:rPr>
                <w:rFonts w:ascii="Times New Roman" w:hAnsi="Times New Roman"/>
                <w:color w:val="212529"/>
                <w:sz w:val="20"/>
              </w:rPr>
              <w:t>&gt;= 2.0.0</w:t>
            </w:r>
          </w:p>
        </w:tc>
        <w:tc>
          <w:tcPr>
            <w:tcW w:type="dxa" w:w="3312"/>
            <w:shd w:fill="F9FBFC"/>
            <w:tcMar>
              <w:top w:w="100" w:type="dxa"/>
              <w:bottom w:w="100" w:type="dxa"/>
              <w:left w:w="130" w:type="dxa"/>
              <w:right w:w="130" w:type="dxa"/>
            </w:tcMar>
            <w:vAlign w:val="center"/>
          </w:tcPr>
          <w:p>
            <w:pPr>
              <w:spacing w:before="0" w:after="0" w:line="276" w:lineRule="auto"/>
              <w:jc w:val="left"/>
            </w:pPr>
            <w:r>
              <w:rPr>
                <w:rFonts w:ascii="Times New Roman" w:hAnsi="Times New Roman"/>
                <w:color w:val="212529"/>
                <w:sz w:val="20"/>
              </w:rPr>
              <w:t>pd.DataFrame, pd.read_csv, df.to_dict, df.describe()</w:t>
            </w:r>
          </w:p>
        </w:tc>
        <w:tc>
          <w:tcPr>
            <w:tcW w:type="dxa" w:w="4421"/>
            <w:shd w:fill="F9FBFC"/>
            <w:tcMar>
              <w:top w:w="100" w:type="dxa"/>
              <w:bottom w:w="100" w:type="dxa"/>
              <w:left w:w="130" w:type="dxa"/>
              <w:right w:w="130" w:type="dxa"/>
            </w:tcMar>
            <w:vAlign w:val="center"/>
          </w:tcPr>
          <w:p>
            <w:pPr>
              <w:spacing w:before="0" w:after="0" w:line="276" w:lineRule="auto"/>
              <w:jc w:val="left"/>
            </w:pPr>
            <w:r>
              <w:rPr>
                <w:rFonts w:ascii="Times New Roman" w:hAnsi="Times New Roman"/>
                <w:color w:val="212529"/>
                <w:sz w:val="20"/>
              </w:rPr>
              <w:t>Structured data manipulation; formats detection outputs for web presentation and parses epoch-by-epoch training metric logs.</w:t>
            </w:r>
          </w:p>
        </w:tc>
      </w:tr>
      <w:tr>
        <w:tc>
          <w:tcPr>
            <w:tcW w:type="dxa" w:w="1728"/>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212529"/>
                <w:sz w:val="20"/>
              </w:rPr>
              <w:t>NumPy</w:t>
            </w:r>
          </w:p>
        </w:tc>
        <w:tc>
          <w:tcPr>
            <w:tcW w:type="dxa" w:w="1008"/>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212529"/>
                <w:sz w:val="20"/>
              </w:rPr>
              <w:t>&gt;= 1.23.0</w:t>
            </w:r>
          </w:p>
        </w:tc>
        <w:tc>
          <w:tcPr>
            <w:tcW w:type="dxa" w:w="3312"/>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212529"/>
                <w:sz w:val="20"/>
              </w:rPr>
              <w:t>np.array, np.load, np.exp, np.clip, np.mean, np.linalg.norm</w:t>
            </w:r>
          </w:p>
        </w:tc>
        <w:tc>
          <w:tcPr>
            <w:tcW w:type="dxa" w:w="4421"/>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212529"/>
                <w:sz w:val="20"/>
              </w:rPr>
              <w:t>High-performance vectorized mathematical operations, feature tensor manipulation, and non-linear exponential threat score mapping.</w:t>
            </w:r>
          </w:p>
        </w:tc>
      </w:tr>
      <w:tr>
        <w:tc>
          <w:tcPr>
            <w:tcW w:type="dxa" w:w="1728"/>
            <w:shd w:fill="F9FBFC"/>
            <w:tcMar>
              <w:top w:w="100" w:type="dxa"/>
              <w:bottom w:w="100" w:type="dxa"/>
              <w:left w:w="130" w:type="dxa"/>
              <w:right w:w="130" w:type="dxa"/>
            </w:tcMar>
            <w:vAlign w:val="center"/>
          </w:tcPr>
          <w:p>
            <w:pPr>
              <w:spacing w:before="0" w:after="0" w:line="276" w:lineRule="auto"/>
              <w:jc w:val="left"/>
            </w:pPr>
            <w:r>
              <w:rPr>
                <w:rFonts w:ascii="Times New Roman" w:hAnsi="Times New Roman"/>
                <w:color w:val="212529"/>
                <w:sz w:val="20"/>
              </w:rPr>
              <w:t>Matplotlib &amp; Seaborn</w:t>
            </w:r>
          </w:p>
        </w:tc>
        <w:tc>
          <w:tcPr>
            <w:tcW w:type="dxa" w:w="1008"/>
            <w:shd w:fill="F9FBFC"/>
            <w:tcMar>
              <w:top w:w="100" w:type="dxa"/>
              <w:bottom w:w="100" w:type="dxa"/>
              <w:left w:w="130" w:type="dxa"/>
              <w:right w:w="130" w:type="dxa"/>
            </w:tcMar>
            <w:vAlign w:val="center"/>
          </w:tcPr>
          <w:p>
            <w:pPr>
              <w:spacing w:before="0" w:after="0" w:line="276" w:lineRule="auto"/>
              <w:jc w:val="center"/>
            </w:pPr>
            <w:r>
              <w:rPr>
                <w:rFonts w:ascii="Times New Roman" w:hAnsi="Times New Roman"/>
                <w:color w:val="212529"/>
                <w:sz w:val="20"/>
              </w:rPr>
              <w:t>&gt;= 3.7.0</w:t>
            </w:r>
          </w:p>
        </w:tc>
        <w:tc>
          <w:tcPr>
            <w:tcW w:type="dxa" w:w="3312"/>
            <w:shd w:fill="F9FBFC"/>
            <w:tcMar>
              <w:top w:w="100" w:type="dxa"/>
              <w:bottom w:w="100" w:type="dxa"/>
              <w:left w:w="130" w:type="dxa"/>
              <w:right w:w="130" w:type="dxa"/>
            </w:tcMar>
            <w:vAlign w:val="center"/>
          </w:tcPr>
          <w:p>
            <w:pPr>
              <w:spacing w:before="0" w:after="0" w:line="276" w:lineRule="auto"/>
              <w:jc w:val="left"/>
            </w:pPr>
            <w:r>
              <w:rPr>
                <w:rFonts w:ascii="Times New Roman" w:hAnsi="Times New Roman"/>
                <w:color w:val="212529"/>
                <w:sz w:val="20"/>
              </w:rPr>
              <w:t>plt.subplots, plt.savefig, sns.heatmap, patches.FancyBboxPatch</w:t>
            </w:r>
          </w:p>
        </w:tc>
        <w:tc>
          <w:tcPr>
            <w:tcW w:type="dxa" w:w="4421"/>
            <w:shd w:fill="F9FBFC"/>
            <w:tcMar>
              <w:top w:w="100" w:type="dxa"/>
              <w:bottom w:w="100" w:type="dxa"/>
              <w:left w:w="130" w:type="dxa"/>
              <w:right w:w="130" w:type="dxa"/>
            </w:tcMar>
            <w:vAlign w:val="center"/>
          </w:tcPr>
          <w:p>
            <w:pPr>
              <w:spacing w:before="0" w:after="0" w:line="276" w:lineRule="auto"/>
              <w:jc w:val="left"/>
            </w:pPr>
            <w:r>
              <w:rPr>
                <w:rFonts w:ascii="Times New Roman" w:hAnsi="Times New Roman"/>
                <w:color w:val="212529"/>
                <w:sz w:val="20"/>
              </w:rPr>
              <w:t>Statistical visualization of training loss trajectories, validation metrics, confusion matrix heatmaps, and system architecture diagrams.</w:t>
            </w:r>
          </w:p>
        </w:tc>
      </w:tr>
      <w:tr>
        <w:tc>
          <w:tcPr>
            <w:tcW w:type="dxa" w:w="1728"/>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212529"/>
                <w:sz w:val="20"/>
              </w:rPr>
              <w:t>Pillow (PIL)</w:t>
            </w:r>
          </w:p>
        </w:tc>
        <w:tc>
          <w:tcPr>
            <w:tcW w:type="dxa" w:w="1008"/>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212529"/>
                <w:sz w:val="20"/>
              </w:rPr>
              <w:t>&gt;= 10.0.0</w:t>
            </w:r>
          </w:p>
        </w:tc>
        <w:tc>
          <w:tcPr>
            <w:tcW w:type="dxa" w:w="3312"/>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212529"/>
                <w:sz w:val="20"/>
              </w:rPr>
              <w:t>Image.open(), Image.convert(), ImageOps</w:t>
            </w:r>
          </w:p>
        </w:tc>
        <w:tc>
          <w:tcPr>
            <w:tcW w:type="dxa" w:w="4421"/>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212529"/>
                <w:sz w:val="20"/>
              </w:rPr>
              <w:t>Reliable image input/output handling, format conversions, and PIL-to-tensor transformations for PyTorch pipelines.</w:t>
            </w:r>
          </w:p>
        </w:tc>
      </w:tr>
      <w:tr>
        <w:tc>
          <w:tcPr>
            <w:tcW w:type="dxa" w:w="1728"/>
            <w:shd w:fill="F9FBFC"/>
            <w:tcMar>
              <w:top w:w="100" w:type="dxa"/>
              <w:bottom w:w="100" w:type="dxa"/>
              <w:left w:w="130" w:type="dxa"/>
              <w:right w:w="130" w:type="dxa"/>
            </w:tcMar>
            <w:vAlign w:val="center"/>
          </w:tcPr>
          <w:p>
            <w:pPr>
              <w:spacing w:before="0" w:after="0" w:line="276" w:lineRule="auto"/>
              <w:jc w:val="center"/>
            </w:pPr>
            <w:r>
              <w:rPr>
                <w:rFonts w:ascii="Times New Roman" w:hAnsi="Times New Roman"/>
                <w:color w:val="212529"/>
                <w:sz w:val="20"/>
              </w:rPr>
              <w:t>SQLite3</w:t>
            </w:r>
          </w:p>
        </w:tc>
        <w:tc>
          <w:tcPr>
            <w:tcW w:type="dxa" w:w="1008"/>
            <w:shd w:fill="F9FBFC"/>
            <w:tcMar>
              <w:top w:w="100" w:type="dxa"/>
              <w:bottom w:w="100" w:type="dxa"/>
              <w:left w:w="130" w:type="dxa"/>
              <w:right w:w="130" w:type="dxa"/>
            </w:tcMar>
            <w:vAlign w:val="center"/>
          </w:tcPr>
          <w:p>
            <w:pPr>
              <w:spacing w:before="0" w:after="0" w:line="276" w:lineRule="auto"/>
              <w:jc w:val="center"/>
            </w:pPr>
            <w:r>
              <w:rPr>
                <w:rFonts w:ascii="Times New Roman" w:hAnsi="Times New Roman"/>
                <w:color w:val="212529"/>
                <w:sz w:val="20"/>
              </w:rPr>
              <w:t>Built-in</w:t>
            </w:r>
          </w:p>
        </w:tc>
        <w:tc>
          <w:tcPr>
            <w:tcW w:type="dxa" w:w="3312"/>
            <w:shd w:fill="F9FBFC"/>
            <w:tcMar>
              <w:top w:w="100" w:type="dxa"/>
              <w:bottom w:w="100" w:type="dxa"/>
              <w:left w:w="130" w:type="dxa"/>
              <w:right w:w="130" w:type="dxa"/>
            </w:tcMar>
            <w:vAlign w:val="center"/>
          </w:tcPr>
          <w:p>
            <w:pPr>
              <w:spacing w:before="0" w:after="0" w:line="276" w:lineRule="auto"/>
              <w:jc w:val="left"/>
            </w:pPr>
            <w:r>
              <w:rPr>
                <w:rFonts w:ascii="Times New Roman" w:hAnsi="Times New Roman"/>
                <w:color w:val="212529"/>
                <w:sz w:val="20"/>
              </w:rPr>
              <w:t>sqlite3.connect, cursor.execute, CREATE TABLE, INSERT INTO, fetchall</w:t>
            </w:r>
          </w:p>
        </w:tc>
        <w:tc>
          <w:tcPr>
            <w:tcW w:type="dxa" w:w="4421"/>
            <w:shd w:fill="F9FBFC"/>
            <w:tcMar>
              <w:top w:w="100" w:type="dxa"/>
              <w:bottom w:w="100" w:type="dxa"/>
              <w:left w:w="130" w:type="dxa"/>
              <w:right w:w="130" w:type="dxa"/>
            </w:tcMar>
            <w:vAlign w:val="center"/>
          </w:tcPr>
          <w:p>
            <w:pPr>
              <w:spacing w:before="0" w:after="0" w:line="276" w:lineRule="auto"/>
              <w:jc w:val="left"/>
            </w:pPr>
            <w:r>
              <w:rPr>
                <w:rFonts w:ascii="Times New Roman" w:hAnsi="Times New Roman"/>
                <w:color w:val="212529"/>
                <w:sz w:val="20"/>
              </w:rPr>
              <w:t>Lightweight, serverless relational database engine providing persistent audit logging for screening cases, container numbers, and risk logs.</w:t>
            </w:r>
          </w:p>
        </w:tc>
      </w:tr>
    </w:tbl>
    <w:p>
      <w:pPr>
        <w:spacing w:before="0" w:after="120" w:line="360" w:lineRule="auto"/>
        <w:jc w:val="both"/>
      </w:pPr>
      <w:r>
        <w:rPr>
          <w:rFonts w:ascii="Times New Roman" w:hAnsi="Times New Roman"/>
          <w:b/>
          <w:color w:val="212529"/>
          <w:sz w:val="24"/>
        </w:rPr>
        <w:t xml:space="preserve">Development Environment: </w:t>
      </w:r>
      <w:r>
        <w:rPr>
          <w:rFonts w:ascii="Times New Roman" w:hAnsi="Times New Roman"/>
          <w:color w:val="212529"/>
          <w:sz w:val="24"/>
        </w:rPr>
        <w:t>Hardware and Software Development Environment:</w:t>
        <w:br/>
        <w:t>• Operating System: Microsoft Windows 11 Enterprise (64-bit), build 22631;</w:t>
        <w:br/>
        <w:t>• Programming Environment: Python 3.12 (Virtual Environment / Anaconda distribution);</w:t>
        <w:br/>
        <w:t>• Integrated Development Environments: Visual Studio Code (v1.88) with Pylance and Python extensions; Jupyter Notebook (v7.0);</w:t>
        <w:br/>
        <w:t>• Host Workstation Hardware: AMD Ryzen 7 / Intel Core i7 processor (8 cores, 16 threads), 16 GB DDR4 Dual-Channel RAM, 512 GB PCIe NVMe SSD;</w:t>
        <w:br/>
        <w:t>• Cloud Acceleration Infrastructure: Kaggle Cloud Computing Platform running Linux Ubuntu 22.04 LTS kernel;</w:t>
        <w:br/>
        <w:t>• GPU Accelerator: NVIDIA Tesla T4 GPU (16 GB GDDR6 VRAM, Turing Architecture, Tensor Cores), CUDA 12.1 runtime, cuDNN 8.9 acceleration.</w:t>
      </w:r>
    </w:p>
    <w:p>
      <w:pPr>
        <w:spacing w:before="320" w:after="120" w:line="360" w:lineRule="auto"/>
        <w:jc w:val="left"/>
      </w:pPr>
      <w:r>
        <w:rPr>
          <w:rFonts w:ascii="Times New Roman" w:hAnsi="Times New Roman"/>
          <w:b/>
          <w:color w:val="003366"/>
          <w:sz w:val="32"/>
        </w:rPr>
        <w:t>7. Model Development</w:t>
      </w:r>
    </w:p>
    <w:p>
      <w:pPr>
        <w:spacing w:before="0" w:after="120" w:line="360" w:lineRule="auto"/>
        <w:jc w:val="both"/>
      </w:pPr>
      <w:r>
        <w:rPr>
          <w:rFonts w:ascii="Times New Roman" w:hAnsi="Times New Roman"/>
          <w:color w:val="212529"/>
          <w:sz w:val="24"/>
        </w:rPr>
        <w:t>The machine learning model development process for Baggage Vision AI followed an iterative, rigorous engineering methodology encompassing data preprocessing, exploratory data analysis, deep feature engineering, model selection, hyperparameter tuning, and comprehensive metric evaluation. This section explains the core modules, their theoretical principles, and the exact code implementations developed for the system.</w:t>
      </w:r>
    </w:p>
    <w:p>
      <w:pPr>
        <w:spacing w:before="240" w:after="80" w:line="360" w:lineRule="auto"/>
        <w:jc w:val="left"/>
      </w:pPr>
      <w:r>
        <w:rPr>
          <w:rFonts w:ascii="Times New Roman" w:hAnsi="Times New Roman"/>
          <w:b/>
          <w:color w:val="143C6E"/>
          <w:sz w:val="28"/>
        </w:rPr>
        <w:t>7.1 Data Preprocessing Pipeline &amp; Implementation</w:t>
      </w:r>
    </w:p>
    <w:p>
      <w:pPr>
        <w:spacing w:before="0" w:after="120" w:line="360" w:lineRule="auto"/>
        <w:jc w:val="both"/>
      </w:pPr>
      <w:r>
        <w:rPr>
          <w:rFonts w:ascii="Times New Roman" w:hAnsi="Times New Roman"/>
          <w:b/>
          <w:color w:val="212529"/>
          <w:sz w:val="24"/>
        </w:rPr>
        <w:t xml:space="preserve">Preprocessing Rationale: </w:t>
      </w:r>
      <w:r>
        <w:rPr>
          <w:rFonts w:ascii="Times New Roman" w:hAnsi="Times New Roman"/>
          <w:color w:val="212529"/>
          <w:sz w:val="24"/>
        </w:rPr>
        <w:t>Dual-energy X-ray images possess unique optical properties: pixels represent attenuation coefficients rather than reflected visible light. Consequently, standard computer vision preprocessing operations must be tailored specifically for radiographic transmission imagery.</w:t>
      </w:r>
    </w:p>
    <w:p>
      <w:pPr>
        <w:pStyle w:val="ListBullet"/>
        <w:spacing w:before="0" w:after="60" w:line="360" w:lineRule="auto"/>
        <w:jc w:val="both"/>
      </w:pPr>
      <w:r>
        <w:rPr>
          <w:rFonts w:ascii="Times New Roman" w:hAnsi="Times New Roman"/>
          <w:b/>
          <w:sz w:val="24"/>
        </w:rPr>
        <w:t xml:space="preserve">Missing-Value and Duplicate Handling: </w:t>
      </w:r>
      <w:r>
        <w:rPr>
          <w:rFonts w:ascii="Times New Roman" w:hAnsi="Times New Roman"/>
          <w:sz w:val="24"/>
        </w:rPr>
        <w:t>All 6,346 dataset images and incoming screening streams were validated for zero missing bytes, truncation, or corrupt headers. SHA-256 image hashes were computed to confirm that no duplicate scans contaminated the validation or testing splits.</w:t>
      </w:r>
    </w:p>
    <w:p>
      <w:pPr>
        <w:pStyle w:val="ListBullet"/>
        <w:spacing w:before="0" w:after="60" w:line="360" w:lineRule="auto"/>
        <w:jc w:val="both"/>
      </w:pPr>
      <w:r>
        <w:rPr>
          <w:rFonts w:ascii="Times New Roman" w:hAnsi="Times New Roman"/>
          <w:b/>
          <w:sz w:val="24"/>
        </w:rPr>
        <w:t xml:space="preserve">Outlier Handling: </w:t>
      </w:r>
      <w:r>
        <w:rPr>
          <w:rFonts w:ascii="Times New Roman" w:hAnsi="Times New Roman"/>
          <w:sz w:val="24"/>
        </w:rPr>
        <w:t>Outliers in the form of extreme electronic sensor saturation (pure white or pitch-black scan artifacts) were identified. Image boundary clipping ensured pixel intensity values mapped strictly within valid 8-bit dynamic ranges [0, 255].</w:t>
      </w:r>
    </w:p>
    <w:p>
      <w:pPr>
        <w:pStyle w:val="ListBullet"/>
        <w:spacing w:before="0" w:after="60" w:line="360" w:lineRule="auto"/>
        <w:jc w:val="both"/>
      </w:pPr>
      <w:r>
        <w:rPr>
          <w:rFonts w:ascii="Times New Roman" w:hAnsi="Times New Roman"/>
          <w:b/>
          <w:sz w:val="24"/>
        </w:rPr>
        <w:t xml:space="preserve">Categorical Encoding and Coordinate Normalization: </w:t>
      </w:r>
      <w:r>
        <w:rPr>
          <w:rFonts w:ascii="Times New Roman" w:hAnsi="Times New Roman"/>
          <w:sz w:val="24"/>
        </w:rPr>
        <w:t>The 12 prohibited classes were mapped to discrete integer indices [0 to 11]. Ground-truth bounding box coordinates [x_center, y_center, width, height] were normalized relative to image width and height, bounded strictly to the closed interval [0.0, 1.0].</w:t>
      </w:r>
    </w:p>
    <w:p>
      <w:pPr>
        <w:pStyle w:val="ListBullet"/>
        <w:spacing w:before="0" w:after="60" w:line="360" w:lineRule="auto"/>
        <w:jc w:val="both"/>
      </w:pPr>
      <w:r>
        <w:rPr>
          <w:rFonts w:ascii="Times New Roman" w:hAnsi="Times New Roman"/>
          <w:b/>
          <w:sz w:val="24"/>
        </w:rPr>
        <w:t xml:space="preserve">Radiographic Transformations &amp; CLAHE: </w:t>
      </w:r>
      <w:r>
        <w:rPr>
          <w:rFonts w:ascii="Times New Roman" w:hAnsi="Times New Roman"/>
          <w:sz w:val="24"/>
        </w:rPr>
        <w:t>The specialized radiographic preprocessing function preprocess_image() was implemented in preprocessing/image_preprocessing.py: (1) BGR to single-channel Grayscale conversion; (2) Contrast Limited Adaptive Histogram Equalization (CLAHE) with clipLimit=2.0 and tileGridSize=(8, 8), which redistributes local intensity histograms to amplify low-contrast edges of concealed weapons without blooming background clutter; (3) Gaussian Blur filtering with a (3, 3) kernel and standard deviation sigma=0 to eliminate sensor grain; and (4) conversion back to 3-channel BGR for model compatibility.</w:t>
      </w:r>
    </w:p>
    <w:p>
      <w:pPr>
        <w:spacing w:before="160" w:after="60" w:line="276" w:lineRule="auto"/>
        <w:jc w:val="left"/>
      </w:pPr>
      <w:r>
        <w:rPr>
          <w:rFonts w:ascii="Times New Roman" w:hAnsi="Times New Roman"/>
          <w:b/>
          <w:color w:val="003366"/>
          <w:sz w:val="22"/>
        </w:rPr>
        <w:t>Listing 1: Radiographic Image Preprocessing Module (preprocessing/image_preprocessing.py)</w:t>
      </w:r>
    </w:p>
    <w:tbl>
      <w:tblPr>
        <w:tblW w:type="auto" w:w="0"/>
        <w:jc w:val="center"/>
        <w:tblLayout w:type="fixed"/>
        <w:tblLook w:firstColumn="1" w:firstRow="1" w:lastColumn="0" w:lastRow="0" w:noHBand="0" w:noVBand="1" w:val="04A0"/>
      </w:tblPr>
      <w:tblGrid>
        <w:gridCol w:w="9029"/>
      </w:tblGrid>
      <w:tr>
        <w:tc>
          <w:tcPr>
            <w:tcW w:type="dxa" w:w="9029"/>
            <w:shd w:fill="F8FAFC"/>
            <w:tcBorders>
              <w:top w:val="single" w:sz="4" w:space="0" w:color="CBD5E1"/>
              <w:left w:val="single" w:sz="18" w:space="0" w:color="0284C7"/>
              <w:bottom w:val="single" w:sz="4" w:space="0" w:color="CBD5E1"/>
              <w:right w:val="single" w:sz="4" w:space="0" w:color="CBD5E1"/>
            </w:tcBorders>
            <w:tcMar>
              <w:top w:w="120" w:type="dxa"/>
              <w:bottom w:w="120" w:type="dxa"/>
              <w:left w:w="180" w:type="dxa"/>
              <w:right w:w="180" w:type="dxa"/>
            </w:tcMar>
          </w:tcPr>
          <w:p>
            <w:pPr>
              <w:spacing w:before="0" w:after="0" w:line="276" w:lineRule="auto"/>
              <w:jc w:val="left"/>
            </w:pPr>
            <w:r>
              <w:rPr>
                <w:rFonts w:ascii="Consolas" w:hAnsi="Consolas"/>
                <w:color w:val="0F172A"/>
                <w:sz w:val="17"/>
              </w:rPr>
              <w:t># preprocessing/image_preprocessing.py</w:t>
              <w:br/>
              <w:t>import cv2</w:t>
              <w:br/>
              <w:br/>
              <w:t>def preprocess_image(image_path, save_path=None):</w:t>
              <w:br/>
              <w:t xml:space="preserve">    """</w:t>
              <w:br/>
              <w:t xml:space="preserve">    Preprocess a single X-ray image (identical to training pipeline)</w:t>
              <w:br/>
              <w:t xml:space="preserve">    Steps:</w:t>
              <w:br/>
              <w:t xml:space="preserve">    1. Grayscale Conversion: Isolates material density attenuation</w:t>
              <w:br/>
              <w:t xml:space="preserve">    2. CLAHE: Amplifies local edge contrast for concealed contraband</w:t>
              <w:br/>
              <w:t xml:space="preserve">    3. Gaussian Blur: Suppresses high-frequency sensor grain noise</w:t>
              <w:br/>
              <w:t xml:space="preserve">    4. 3-Channel Reconstruction: Formats for standard deep backbones</w:t>
              <w:br/>
              <w:t xml:space="preserve">    """</w:t>
              <w:br/>
              <w:t xml:space="preserve">    img = cv2.imread(image_path)</w:t>
              <w:br/>
              <w:t xml:space="preserve">    if img is None:</w:t>
              <w:br/>
              <w:t xml:space="preserve">        raise ValueError(f"Image not found: {image_path}")</w:t>
              <w:br/>
              <w:br/>
              <w:t xml:space="preserve">    # Step 1: Convert BGR radiograph to single-channel grayscale</w:t>
              <w:br/>
              <w:t xml:space="preserve">    gray = cv2.cvtColor(img, cv2.COLOR_BGR2GRAY)</w:t>
              <w:br/>
              <w:br/>
              <w:t xml:space="preserve">    # Step 2: Apply CLAHE contrast enhancement</w:t>
              <w:br/>
              <w:t xml:space="preserve">    clahe = cv2.createCLAHE(clipLimit=2.0, tileGridSize=(8, 8))</w:t>
              <w:br/>
              <w:t xml:space="preserve">    enhanced = clahe.apply(gray)</w:t>
              <w:br/>
              <w:br/>
              <w:t xml:space="preserve">    # Step 3: Noise reduction via Gaussian smoothing</w:t>
              <w:br/>
              <w:t xml:space="preserve">    denoised = cv2.GaussianBlur(enhanced, (3, 3), 0)</w:t>
              <w:br/>
              <w:br/>
              <w:t xml:space="preserve">    # Step 4: Convert back to 3-channel BGR</w:t>
              <w:br/>
              <w:t xml:space="preserve">    final = cv2.cvtColor(denoised, cv2.COLOR_GRAY2BGR)</w:t>
              <w:br/>
              <w:br/>
              <w:t xml:space="preserve">    if save_path:</w:t>
              <w:br/>
              <w:t xml:space="preserve">        cv2.imwrite(save_path, final)</w:t>
              <w:br/>
              <w:br/>
              <w:t xml:space="preserve">    return final</w:t>
            </w:r>
          </w:p>
        </w:tc>
      </w:tr>
    </w:tbl>
    <w:p>
      <w:pPr>
        <w:spacing w:before="0" w:after="120" w:line="360" w:lineRule="auto"/>
        <w:jc w:val="both"/>
      </w:pPr>
      <w:r>
        <w:rPr>
          <w:rFonts w:ascii="Times New Roman" w:hAnsi="Times New Roman"/>
          <w:b/>
          <w:color w:val="212529"/>
          <w:sz w:val="24"/>
        </w:rPr>
        <w:t xml:space="preserve">Algorithmic Explanation: </w:t>
      </w:r>
      <w:r>
        <w:rPr>
          <w:rFonts w:ascii="Times New Roman" w:hAnsi="Times New Roman"/>
          <w:color w:val="212529"/>
          <w:sz w:val="24"/>
        </w:rPr>
        <w:t>Code Walkthrough of Listing 1: The preprocess_image() function takes the raw file path of an X-ray scan. It first validates file existence. In Step 1, cv2.cvtColor converts the 3-channel radiograph into a luminance single-channel array. In Step 2, a Contrast Limited Adaptive Histogram Equalization (CLAHE) object is instantiated with clipLimit=2.0 and tileGridSize=(8, 8). Unlike standard global histogram equalization which washes out faint details, CLAHE divides the image into contextual 8x8 tiles, equalizes local histograms independently, and clips contrast peaks at 2.0 to prevent noise amplification. In Step 3, cv2.GaussianBlur with a small 3x3 kernel removes electronic sensor grain while strictly preserving sharp metallic knife edges. Finally, Step 4 replicates the denoised channel across 3 color planes so that the image tensor seamlessly matches the expected input channels of deep neural backbones.</w:t>
      </w:r>
    </w:p>
    <w:p>
      <w:pPr>
        <w:spacing w:before="240" w:after="80" w:line="360" w:lineRule="auto"/>
        <w:jc w:val="left"/>
      </w:pPr>
      <w:r>
        <w:rPr>
          <w:rFonts w:ascii="Times New Roman" w:hAnsi="Times New Roman"/>
          <w:b/>
          <w:color w:val="143C6E"/>
          <w:sz w:val="28"/>
        </w:rPr>
        <w:t>7.2 Exploratory Data Analysis (EDA)</w:t>
      </w:r>
    </w:p>
    <w:p>
      <w:pPr>
        <w:spacing w:before="0" w:after="120" w:line="360" w:lineRule="auto"/>
        <w:jc w:val="both"/>
      </w:pPr>
      <w:r>
        <w:rPr>
          <w:rFonts w:ascii="Times New Roman" w:hAnsi="Times New Roman"/>
          <w:b/>
          <w:color w:val="212529"/>
          <w:sz w:val="24"/>
        </w:rPr>
        <w:t xml:space="preserve">Exploratory Analysis: </w:t>
      </w:r>
      <w:r>
        <w:rPr>
          <w:rFonts w:ascii="Times New Roman" w:hAnsi="Times New Roman"/>
          <w:color w:val="212529"/>
          <w:sz w:val="24"/>
        </w:rPr>
        <w:t>Thorough exploratory data analysis was conducted on PIDray v2 to understand class distributions, bounding box geometries, and visual occlusion levels.</w:t>
      </w:r>
    </w:p>
    <w:p>
      <w:pPr>
        <w:pStyle w:val="ListBullet"/>
        <w:spacing w:before="0" w:after="60" w:line="360" w:lineRule="auto"/>
        <w:jc w:val="both"/>
      </w:pPr>
      <w:r>
        <w:rPr>
          <w:rFonts w:ascii="Times New Roman" w:hAnsi="Times New Roman"/>
          <w:b/>
          <w:sz w:val="24"/>
        </w:rPr>
        <w:t xml:space="preserve">Class Distribution Statistics: </w:t>
      </w:r>
      <w:r>
        <w:rPr>
          <w:rFonts w:ascii="Times New Roman" w:hAnsi="Times New Roman"/>
          <w:sz w:val="24"/>
        </w:rPr>
        <w:t>Analysis of the 8,891 annotated bounding boxes revealed three distinct frequency tiers: High-Frequency Tools: Pliers (1,204 instances), Scissors (1,222 instances), Powerbanks (1,197 instances), Hammers (925 instances), and Wrenches (872 instances); Moderate-Frequency Weapons: Knives (829 instances), Guns (653 instances), and HandCuffs (554 instances); and Rare/High-Risk Contraband: Bullets (412 instances), Sprayers (361 instances), Lighters (351 instances), and Batons (311 instances).</w:t>
      </w:r>
    </w:p>
    <w:p>
      <w:pPr>
        <w:pStyle w:val="ListBullet"/>
        <w:spacing w:before="0" w:after="60" w:line="360" w:lineRule="auto"/>
        <w:jc w:val="both"/>
      </w:pPr>
      <w:r>
        <w:rPr>
          <w:rFonts w:ascii="Times New Roman" w:hAnsi="Times New Roman"/>
          <w:b/>
          <w:sz w:val="24"/>
        </w:rPr>
        <w:t xml:space="preserve">Geometric and Aspect Ratio Variance: </w:t>
      </w:r>
      <w:r>
        <w:rPr>
          <w:rFonts w:ascii="Times New Roman" w:hAnsi="Times New Roman"/>
          <w:sz w:val="24"/>
        </w:rPr>
        <w:t>Bounding box aspect ratio analysis demonstrated high structural diversity: Batons, Wrenches, and Knives exhibit elongated, high-aspect-ratio geometries (height-to-width ratios up to 8:1), whereas Bullets, Lighters, and HandCuffs exhibit compact, square-like aspect ratios (~1:1). Powerbanks present rectangular shapes with dense interior battery cell structures.</w:t>
      </w:r>
    </w:p>
    <w:p>
      <w:pPr>
        <w:pStyle w:val="ListBullet"/>
        <w:spacing w:before="0" w:after="60" w:line="360" w:lineRule="auto"/>
        <w:jc w:val="both"/>
      </w:pPr>
      <w:r>
        <w:rPr>
          <w:rFonts w:ascii="Times New Roman" w:hAnsi="Times New Roman"/>
          <w:b/>
          <w:sz w:val="24"/>
        </w:rPr>
        <w:t xml:space="preserve">Clutter and Occlusion Analysis: </w:t>
      </w:r>
      <w:r>
        <w:rPr>
          <w:rFonts w:ascii="Times New Roman" w:hAnsi="Times New Roman"/>
          <w:sz w:val="24"/>
        </w:rPr>
        <w:t>Dual-energy scans exhibit severe visual occlusion where multiple objects overlap in the projection plane. The PIDray benchmark specifically categorizes items into Easy (isolated, unobscured), Hard (partial overlap with benign items), and Hidden (severe occlusion, weapon deliberately nested inside dense metallic/organic clutter). The exploratory analysis confirmed that models without multi-scale feature pyramids fail severely on the 'Hidden' tier.</w:t>
      </w:r>
    </w:p>
    <w:p>
      <w:pPr>
        <w:spacing w:before="240" w:after="80" w:line="360" w:lineRule="auto"/>
        <w:jc w:val="left"/>
      </w:pPr>
      <w:r>
        <w:rPr>
          <w:rFonts w:ascii="Times New Roman" w:hAnsi="Times New Roman"/>
          <w:b/>
          <w:color w:val="143C6E"/>
          <w:sz w:val="28"/>
        </w:rPr>
        <w:t>7.3 Feature Engineering &amp; Unsupervised Anomaly Modeling</w:t>
      </w:r>
    </w:p>
    <w:p>
      <w:pPr>
        <w:spacing w:before="0" w:after="120" w:line="360" w:lineRule="auto"/>
        <w:jc w:val="both"/>
      </w:pPr>
      <w:r>
        <w:rPr>
          <w:rFonts w:ascii="Times New Roman" w:hAnsi="Times New Roman"/>
          <w:b/>
          <w:color w:val="212529"/>
          <w:sz w:val="24"/>
        </w:rPr>
        <w:t xml:space="preserve">Deep Feature Engineering: </w:t>
      </w:r>
      <w:r>
        <w:rPr>
          <w:rFonts w:ascii="Times New Roman" w:hAnsi="Times New Roman"/>
          <w:color w:val="212529"/>
          <w:sz w:val="24"/>
        </w:rPr>
        <w:t>Because manual handcrafted features (e.g., SIFT, HOG) are incapable of disentangling severe X-ray visual overlap, deep feature representations were engineered through specialized convolutional neural network architectures. In addition to multi-scale feature pyramids in YOLOv8x, a dedicated ResNet-50 feature extractor and k-NN density estimator were implemented to identify out-of-distribution baggage anomalies.</w:t>
      </w:r>
    </w:p>
    <w:p>
      <w:pPr>
        <w:spacing w:before="160" w:after="60" w:line="276" w:lineRule="auto"/>
        <w:jc w:val="left"/>
      </w:pPr>
      <w:r>
        <w:rPr>
          <w:rFonts w:ascii="Times New Roman" w:hAnsi="Times New Roman"/>
          <w:b/>
          <w:color w:val="003366"/>
          <w:sz w:val="22"/>
        </w:rPr>
        <w:t>Listing 2: Deep Feature Extractor with ResNet-50 (frontend/anomaly_detection/feature_extractor.py)</w:t>
      </w:r>
    </w:p>
    <w:tbl>
      <w:tblPr>
        <w:tblW w:type="auto" w:w="0"/>
        <w:jc w:val="center"/>
        <w:tblLayout w:type="fixed"/>
        <w:tblLook w:firstColumn="1" w:firstRow="1" w:lastColumn="0" w:lastRow="0" w:noHBand="0" w:noVBand="1" w:val="04A0"/>
      </w:tblPr>
      <w:tblGrid>
        <w:gridCol w:w="9029"/>
      </w:tblGrid>
      <w:tr>
        <w:tc>
          <w:tcPr>
            <w:tcW w:type="dxa" w:w="9029"/>
            <w:shd w:fill="F8FAFC"/>
            <w:tcBorders>
              <w:top w:val="single" w:sz="4" w:space="0" w:color="CBD5E1"/>
              <w:left w:val="single" w:sz="18" w:space="0" w:color="0284C7"/>
              <w:bottom w:val="single" w:sz="4" w:space="0" w:color="CBD5E1"/>
              <w:right w:val="single" w:sz="4" w:space="0" w:color="CBD5E1"/>
            </w:tcBorders>
            <w:tcMar>
              <w:top w:w="120" w:type="dxa"/>
              <w:bottom w:w="120" w:type="dxa"/>
              <w:left w:w="180" w:type="dxa"/>
              <w:right w:w="180" w:type="dxa"/>
            </w:tcMar>
          </w:tcPr>
          <w:p>
            <w:pPr>
              <w:spacing w:before="0" w:after="0" w:line="276" w:lineRule="auto"/>
              <w:jc w:val="left"/>
            </w:pPr>
            <w:r>
              <w:rPr>
                <w:rFonts w:ascii="Consolas" w:hAnsi="Consolas"/>
                <w:color w:val="0F172A"/>
                <w:sz w:val="17"/>
              </w:rPr>
              <w:t># frontend/anomaly_detection/feature_extractor.py</w:t>
              <w:br/>
              <w:t>import torch</w:t>
              <w:br/>
              <w:t>import torchvision.models as models</w:t>
              <w:br/>
              <w:t>import torchvision.transforms as transforms</w:t>
              <w:br/>
              <w:t>from PIL import Image</w:t>
              <w:br/>
              <w:br/>
              <w:t>device = torch.device("cuda" if torch.cuda.is_available() else "cpu")</w:t>
              <w:br/>
              <w:br/>
              <w:t># Load ImageNet pretrained ResNet-50 backbone</w:t>
              <w:br/>
              <w:t>resnet = models.resnet50(weights=models.ResNet50_Weights.IMAGENET1K_V1)</w:t>
              <w:br/>
              <w:br/>
              <w:t># Remove the final 1000-class classification head to retain 2048-D latent pool</w:t>
              <w:br/>
              <w:t>feature_extractor = torch.nn.Sequential(*list(resnet.children())[:-1])</w:t>
              <w:br/>
              <w:t>feature_extractor = feature_extractor.to(device)</w:t>
              <w:br/>
              <w:t>feature_extractor.eval()</w:t>
              <w:br/>
              <w:br/>
              <w:t># Preprocessing transforms: Standardize resolution and normalize tensors</w:t>
              <w:br/>
              <w:t>transform = transforms.Compose([</w:t>
              <w:br/>
              <w:t xml:space="preserve">    transforms.Resize((224, 224)),</w:t>
              <w:br/>
              <w:t xml:space="preserve">    transforms.ToTensor()</w:t>
              <w:br/>
              <w:t>])</w:t>
              <w:br/>
              <w:br/>
              <w:t>def extract_feature(image_path):</w:t>
              <w:br/>
              <w:t xml:space="preserve">    image = Image.open(image_path).convert("RGB")</w:t>
              <w:br/>
              <w:t xml:space="preserve">    img_tensor = transform(image).unsqueeze(0).to(device)</w:t>
              <w:br/>
              <w:br/>
              <w:t xml:space="preserve">    with torch.no_grad():</w:t>
              <w:br/>
              <w:t xml:space="preserve">        features = feature_extractor(img_tensor)</w:t>
              <w:br/>
              <w:br/>
              <w:t xml:space="preserve">    # Flatten [1, 2048, 1, 1] tensor into a 2048-dimensional 1D NumPy vector</w:t>
              <w:br/>
              <w:t xml:space="preserve">    features = features.view(-1).cpu().numpy()</w:t>
              <w:br/>
              <w:t xml:space="preserve">    return features</w:t>
            </w:r>
          </w:p>
        </w:tc>
      </w:tr>
    </w:tbl>
    <w:p>
      <w:pPr>
        <w:spacing w:before="0" w:after="120" w:line="360" w:lineRule="auto"/>
        <w:jc w:val="both"/>
      </w:pPr>
      <w:r>
        <w:rPr>
          <w:rFonts w:ascii="Times New Roman" w:hAnsi="Times New Roman"/>
          <w:b/>
          <w:color w:val="212529"/>
          <w:sz w:val="24"/>
        </w:rPr>
        <w:t xml:space="preserve">Feature Extraction Walkthrough: </w:t>
      </w:r>
      <w:r>
        <w:rPr>
          <w:rFonts w:ascii="Times New Roman" w:hAnsi="Times New Roman"/>
          <w:color w:val="212529"/>
          <w:sz w:val="24"/>
        </w:rPr>
        <w:t>Code Walkthrough of Listing 2: The feature_extractor module leverages transfer learning from a deep 50-layer Residual Network (ResNet-50). By slicing off the final fully connected classification layer (list(resnet.children())[:-1]), the network outputs the 2048-dimensional activation tensor from the adaptive average pooling layer. The extract_feature() function loads the input radiograph, resizes it to 224x224, normalizes pixel values to [0.0, 1.0], and passes it through the network inside a torch.no_grad() context to prevent unnecessary gradient computations. The output is flattened into a 1D NumPy vector of length 2048, capturing high-level spatial textures, material densities, and structural composition.</w:t>
      </w:r>
    </w:p>
    <w:p>
      <w:pPr>
        <w:spacing w:before="160" w:after="60" w:line="276" w:lineRule="auto"/>
        <w:jc w:val="left"/>
      </w:pPr>
      <w:r>
        <w:rPr>
          <w:rFonts w:ascii="Times New Roman" w:hAnsi="Times New Roman"/>
          <w:b/>
          <w:color w:val="003366"/>
          <w:sz w:val="22"/>
        </w:rPr>
        <w:t>Listing 3: k-NN Unsupervised Anomaly Density Estimator (frontend/anomaly_detection/anomaly_detector.py)</w:t>
      </w:r>
    </w:p>
    <w:tbl>
      <w:tblPr>
        <w:tblW w:type="auto" w:w="0"/>
        <w:jc w:val="center"/>
        <w:tblLayout w:type="fixed"/>
        <w:tblLook w:firstColumn="1" w:firstRow="1" w:lastColumn="0" w:lastRow="0" w:noHBand="0" w:noVBand="1" w:val="04A0"/>
      </w:tblPr>
      <w:tblGrid>
        <w:gridCol w:w="9029"/>
      </w:tblGrid>
      <w:tr>
        <w:tc>
          <w:tcPr>
            <w:tcW w:type="dxa" w:w="9029"/>
            <w:shd w:fill="F8FAFC"/>
            <w:tcBorders>
              <w:top w:val="single" w:sz="4" w:space="0" w:color="CBD5E1"/>
              <w:left w:val="single" w:sz="18" w:space="0" w:color="0284C7"/>
              <w:bottom w:val="single" w:sz="4" w:space="0" w:color="CBD5E1"/>
              <w:right w:val="single" w:sz="4" w:space="0" w:color="CBD5E1"/>
            </w:tcBorders>
            <w:tcMar>
              <w:top w:w="120" w:type="dxa"/>
              <w:bottom w:w="120" w:type="dxa"/>
              <w:left w:w="180" w:type="dxa"/>
              <w:right w:w="180" w:type="dxa"/>
            </w:tcMar>
          </w:tcPr>
          <w:p>
            <w:pPr>
              <w:spacing w:before="0" w:after="0" w:line="276" w:lineRule="auto"/>
              <w:jc w:val="left"/>
            </w:pPr>
            <w:r>
              <w:rPr>
                <w:rFonts w:ascii="Consolas" w:hAnsi="Consolas"/>
                <w:color w:val="0F172A"/>
                <w:sz w:val="17"/>
              </w:rPr>
              <w:t># frontend/anomaly_detection/anomaly_detector.py</w:t>
              <w:br/>
              <w:t>import numpy as np</w:t>
              <w:br/>
              <w:t>from sklearn.neighbors import NearestNeighbors</w:t>
              <w:br/>
              <w:br/>
              <w:t>class AnomalyDetector:</w:t>
              <w:br/>
              <w:t xml:space="preserve">    def __init__(self, feature_path):</w:t>
              <w:br/>
              <w:t xml:space="preserve">        # Load baseline 2048-D feature matrix of benign, normal luggage</w:t>
              <w:br/>
              <w:t xml:space="preserve">        self.features = np.load(feature_path)</w:t>
              <w:br/>
              <w:br/>
              <w:t xml:space="preserve">        # Fit unsupervised k-Nearest Neighbors estimator (k=5)</w:t>
              <w:br/>
              <w:t xml:space="preserve">        self.knn = NearestNeighbors(n_neighbors=5)</w:t>
              <w:br/>
              <w:t xml:space="preserve">        self.knn.fit(self.features)</w:t>
              <w:br/>
              <w:br/>
              <w:t xml:space="preserve">    def compute_score(self, feature):</w:t>
              <w:br/>
              <w:t xml:space="preserve">        # Compute Euclidean distance to the 5 nearest benign reference neighbors</w:t>
              <w:br/>
              <w:t xml:space="preserve">        distances, _ = self.knn.kneighbors([feature])</w:t>
              <w:br/>
              <w:t xml:space="preserve">        score = distances.mean()</w:t>
              <w:br/>
              <w:t xml:space="preserve">        return score</w:t>
            </w:r>
          </w:p>
        </w:tc>
      </w:tr>
    </w:tbl>
    <w:p>
      <w:pPr>
        <w:spacing w:before="0" w:after="120" w:line="360" w:lineRule="auto"/>
        <w:jc w:val="both"/>
      </w:pPr>
      <w:r>
        <w:rPr>
          <w:rFonts w:ascii="Times New Roman" w:hAnsi="Times New Roman"/>
          <w:b/>
          <w:color w:val="212529"/>
          <w:sz w:val="24"/>
        </w:rPr>
        <w:t xml:space="preserve">Anomaly Density Walkthrough: </w:t>
      </w:r>
      <w:r>
        <w:rPr>
          <w:rFonts w:ascii="Times New Roman" w:hAnsi="Times New Roman"/>
          <w:color w:val="212529"/>
          <w:sz w:val="24"/>
        </w:rPr>
        <w:t>Code Walkthrough of Listing 3: The AnomalyDetector class loads normal_features.npy, which contains 2048-dimensional feature vectors extracted from hundreds of verified benign luggage bags. In __init__(), a Scikit-learn NearestNeighbors model is fitted on these normal features using k=5. When compute_score() is called with a feature vector from an incoming baggage scan, the algorithm computes the Euclidean distance between the vector and its 5 nearest neighbors in the benign manifold. If the incoming luggage contains unusual dense materials, wiring, or uncatalogued contraband, its latent embedding is pushed far from the normal cluster, resulting in a large distance value.</w:t>
      </w:r>
    </w:p>
    <w:p>
      <w:pPr>
        <w:spacing w:before="240" w:after="80" w:line="360" w:lineRule="auto"/>
        <w:jc w:val="left"/>
      </w:pPr>
      <w:r>
        <w:rPr>
          <w:rFonts w:ascii="Times New Roman" w:hAnsi="Times New Roman"/>
          <w:b/>
          <w:color w:val="143C6E"/>
          <w:sz w:val="28"/>
        </w:rPr>
        <w:t>7.4 Model Selection &amp; Inference Implementations</w:t>
      </w:r>
    </w:p>
    <w:p>
      <w:pPr>
        <w:spacing w:before="0" w:after="120" w:line="360" w:lineRule="auto"/>
        <w:jc w:val="both"/>
      </w:pPr>
      <w:r>
        <w:rPr>
          <w:rFonts w:ascii="Times New Roman" w:hAnsi="Times New Roman"/>
          <w:b/>
          <w:color w:val="212529"/>
          <w:sz w:val="24"/>
        </w:rPr>
        <w:t xml:space="preserve">Object Detector Engine: </w:t>
      </w:r>
      <w:r>
        <w:rPr>
          <w:rFonts w:ascii="Times New Roman" w:hAnsi="Times New Roman"/>
          <w:color w:val="212529"/>
          <w:sz w:val="24"/>
        </w:rPr>
        <w:t>The primary object detection model is Ultralytics YOLOv8x, chosen for its anchor-free decoupled architecture. Listing 4 shows the dedicated ObjectDetector class implemented in inference/detect_objects.py.</w:t>
      </w:r>
    </w:p>
    <w:p>
      <w:pPr>
        <w:spacing w:before="160" w:after="60" w:line="276" w:lineRule="auto"/>
        <w:jc w:val="left"/>
      </w:pPr>
      <w:r>
        <w:rPr>
          <w:rFonts w:ascii="Times New Roman" w:hAnsi="Times New Roman"/>
          <w:b/>
          <w:color w:val="003366"/>
          <w:sz w:val="22"/>
        </w:rPr>
        <w:t>Listing 4: YOLOv8x Object Detector Inference Engine (inference/detect_objects.py)</w:t>
      </w:r>
    </w:p>
    <w:tbl>
      <w:tblPr>
        <w:tblW w:type="auto" w:w="0"/>
        <w:jc w:val="center"/>
        <w:tblLayout w:type="fixed"/>
        <w:tblLook w:firstColumn="1" w:firstRow="1" w:lastColumn="0" w:lastRow="0" w:noHBand="0" w:noVBand="1" w:val="04A0"/>
      </w:tblPr>
      <w:tblGrid>
        <w:gridCol w:w="9029"/>
      </w:tblGrid>
      <w:tr>
        <w:tc>
          <w:tcPr>
            <w:tcW w:type="dxa" w:w="9029"/>
            <w:shd w:fill="F8FAFC"/>
            <w:tcBorders>
              <w:top w:val="single" w:sz="4" w:space="0" w:color="CBD5E1"/>
              <w:left w:val="single" w:sz="18" w:space="0" w:color="0284C7"/>
              <w:bottom w:val="single" w:sz="4" w:space="0" w:color="CBD5E1"/>
              <w:right w:val="single" w:sz="4" w:space="0" w:color="CBD5E1"/>
            </w:tcBorders>
            <w:tcMar>
              <w:top w:w="120" w:type="dxa"/>
              <w:bottom w:w="120" w:type="dxa"/>
              <w:left w:w="180" w:type="dxa"/>
              <w:right w:w="180" w:type="dxa"/>
            </w:tcMar>
          </w:tcPr>
          <w:p>
            <w:pPr>
              <w:spacing w:before="0" w:after="0" w:line="276" w:lineRule="auto"/>
              <w:jc w:val="left"/>
            </w:pPr>
            <w:r>
              <w:rPr>
                <w:rFonts w:ascii="Consolas" w:hAnsi="Consolas"/>
                <w:color w:val="0F172A"/>
                <w:sz w:val="17"/>
              </w:rPr>
              <w:t># inference/detect_objects.py</w:t>
              <w:br/>
              <w:t>from ultralytics import YOLO</w:t>
              <w:br/>
              <w:t>import cv2</w:t>
              <w:br/>
              <w:br/>
              <w:t>class ObjectDetector:</w:t>
              <w:br/>
              <w:t xml:space="preserve">    def __init__(self, model_path="frontend/models/best.pt"):</w:t>
              <w:br/>
              <w:t xml:space="preserve">        # Load fine-tuned YOLOv8x checkpoint</w:t>
              <w:br/>
              <w:t xml:space="preserve">        self.model = YOLO(model_path)</w:t>
              <w:br/>
              <w:br/>
              <w:t xml:space="preserve">    def detect(self, image_path):</w:t>
              <w:br/>
              <w:t xml:space="preserve">        results = self.model(image_path)[0]</w:t>
              <w:br/>
              <w:t xml:space="preserve">        detections = []</w:t>
              <w:br/>
              <w:br/>
              <w:t xml:space="preserve">        # Parse detected bounding boxes, confidence scores, and class labels</w:t>
              <w:br/>
              <w:t xml:space="preserve">        for box in results.boxes:</w:t>
              <w:br/>
              <w:t xml:space="preserve">            cls = int(box.cls[0])</w:t>
              <w:br/>
              <w:t xml:space="preserve">            conf = float(box.conf[0])</w:t>
              <w:br/>
              <w:t xml:space="preserve">            detections.append({</w:t>
              <w:br/>
              <w:t xml:space="preserve">                "class": results.names[cls],</w:t>
              <w:br/>
              <w:t xml:space="preserve">                "confidence": conf,</w:t>
              <w:br/>
              <w:t xml:space="preserve">                "bbox": box.xyxy[0].tolist()</w:t>
              <w:br/>
              <w:t xml:space="preserve">            })</w:t>
              <w:br/>
              <w:br/>
              <w:t xml:space="preserve">        # Maximum confidence represents the primary detection signal</w:t>
              <w:br/>
              <w:t xml:space="preserve">        detection_score = max([d["confidence"] for d in detections], default=0)</w:t>
              <w:br/>
              <w:br/>
              <w:t xml:space="preserve">        return detections, detection_score</w:t>
            </w:r>
          </w:p>
        </w:tc>
      </w:tr>
    </w:tbl>
    <w:p>
      <w:pPr>
        <w:spacing w:before="0" w:after="120" w:line="360" w:lineRule="auto"/>
        <w:jc w:val="both"/>
      </w:pPr>
      <w:r>
        <w:rPr>
          <w:rFonts w:ascii="Times New Roman" w:hAnsi="Times New Roman"/>
          <w:b/>
          <w:color w:val="212529"/>
          <w:sz w:val="24"/>
        </w:rPr>
        <w:t xml:space="preserve">Object Detector Walkthrough: </w:t>
      </w:r>
      <w:r>
        <w:rPr>
          <w:rFonts w:ascii="Times New Roman" w:hAnsi="Times New Roman"/>
          <w:color w:val="212529"/>
          <w:sz w:val="24"/>
        </w:rPr>
        <w:t>Code Walkthrough of Listing 4: The ObjectDetector class encapsulates the fine-tuned YOLOv8x model stored in frontend/models/best.pt. The detect() method executes forward-pass inference on the input image. It iterates through results.boxes, extracting the predicted class index (box.cls), the detection confidence probability (box.conf), and the absolute pixel coordinates [x1, y1, x2, y2] via box.xyxy. The detected items are appended to a structured list of dictionaries. The method also computes detection_score as the maximum confidence across all detected objects (defaulting to 0.0 if no objects are detected), which feeds directly into the multi-factor risk assessment formula.</w:t>
      </w:r>
    </w:p>
    <w:p>
      <w:pPr>
        <w:spacing w:before="160" w:after="60" w:line="276" w:lineRule="auto"/>
        <w:jc w:val="left"/>
      </w:pPr>
      <w:r>
        <w:rPr>
          <w:rFonts w:ascii="Times New Roman" w:hAnsi="Times New Roman"/>
          <w:b/>
          <w:color w:val="003366"/>
          <w:sz w:val="22"/>
        </w:rPr>
        <w:t>Listing 5: Multimodal Zero-Shot Vision-Language Matcher (inference/clip_matcher.py)</w:t>
      </w:r>
    </w:p>
    <w:tbl>
      <w:tblPr>
        <w:tblW w:type="auto" w:w="0"/>
        <w:jc w:val="center"/>
        <w:tblLayout w:type="fixed"/>
        <w:tblLook w:firstColumn="1" w:firstRow="1" w:lastColumn="0" w:lastRow="0" w:noHBand="0" w:noVBand="1" w:val="04A0"/>
      </w:tblPr>
      <w:tblGrid>
        <w:gridCol w:w="9029"/>
      </w:tblGrid>
      <w:tr>
        <w:tc>
          <w:tcPr>
            <w:tcW w:type="dxa" w:w="9029"/>
            <w:shd w:fill="F8FAFC"/>
            <w:tcBorders>
              <w:top w:val="single" w:sz="4" w:space="0" w:color="CBD5E1"/>
              <w:left w:val="single" w:sz="18" w:space="0" w:color="0284C7"/>
              <w:bottom w:val="single" w:sz="4" w:space="0" w:color="CBD5E1"/>
              <w:right w:val="single" w:sz="4" w:space="0" w:color="CBD5E1"/>
            </w:tcBorders>
            <w:tcMar>
              <w:top w:w="120" w:type="dxa"/>
              <w:bottom w:w="120" w:type="dxa"/>
              <w:left w:w="180" w:type="dxa"/>
              <w:right w:w="180" w:type="dxa"/>
            </w:tcMar>
          </w:tcPr>
          <w:p>
            <w:pPr>
              <w:spacing w:before="0" w:after="0" w:line="276" w:lineRule="auto"/>
              <w:jc w:val="left"/>
            </w:pPr>
            <w:r>
              <w:rPr>
                <w:rFonts w:ascii="Consolas" w:hAnsi="Consolas"/>
                <w:color w:val="0F172A"/>
                <w:sz w:val="17"/>
              </w:rPr>
              <w:t># inference/clip_matcher.py</w:t>
              <w:br/>
              <w:t>import torch</w:t>
              <w:br/>
              <w:t>import clip</w:t>
              <w:br/>
              <w:t>from PIL import Image</w:t>
              <w:br/>
              <w:br/>
              <w:t>class CLIPMatcher:</w:t>
              <w:br/>
              <w:t xml:space="preserve">    def __init__(self):</w:t>
              <w:br/>
              <w:t xml:space="preserve">        self.device = "cuda" if torch.cuda.is_available() else "cpu"</w:t>
              <w:br/>
              <w:t xml:space="preserve">        # Load OpenAI CLIP Vision Transformer ViT-B/32</w:t>
              <w:br/>
              <w:t xml:space="preserve">        self.model, self.preprocess = clip.load("ViT-B/32", device=self.device)</w:t>
              <w:br/>
              <w:br/>
              <w:t xml:space="preserve">    def compute_similarity(self, image_path, text_list):</w:t>
              <w:br/>
              <w:t xml:space="preserve">        if len(text_list) == 0:</w:t>
              <w:br/>
              <w:t xml:space="preserve">            return []</w:t>
              <w:br/>
              <w:br/>
              <w:t xml:space="preserve">        # Preprocess radiograph and tokenize declared manifest text strings</w:t>
              <w:br/>
              <w:t xml:space="preserve">        image = self.preprocess(Image.open(image_path)).unsqueeze(0).to(self.device)</w:t>
              <w:br/>
              <w:t xml:space="preserve">        text_tokens = clip.tokenize(text_list).to(self.device)</w:t>
              <w:br/>
              <w:br/>
              <w:t xml:space="preserve">        with torch.no_grad():</w:t>
              <w:br/>
              <w:t xml:space="preserve">            image_features = self.model.encode_image(image)</w:t>
              <w:br/>
              <w:t xml:space="preserve">            text_features = self.model.encode_text(text_tokens)</w:t>
              <w:br/>
              <w:br/>
              <w:t xml:space="preserve">            # L2-normalize feature representations</w:t>
              <w:br/>
              <w:t xml:space="preserve">            image_features /= image_features.norm(dim=-1, keepdim=True)</w:t>
              <w:br/>
              <w:t xml:space="preserve">            text_features /= text_features.norm(dim=-1, keepdim=True)</w:t>
              <w:br/>
              <w:br/>
              <w:t xml:space="preserve">            # Cosine similarity matrix via matrix multiplication</w:t>
              <w:br/>
              <w:t xml:space="preserve">            similarity = image_features @ text_features.T</w:t>
              <w:br/>
              <w:br/>
              <w:t xml:space="preserve">        scores = similarity[0].cpu().numpy().tolist()</w:t>
              <w:br/>
              <w:t xml:space="preserve">        return scores</w:t>
            </w:r>
          </w:p>
        </w:tc>
      </w:tr>
    </w:tbl>
    <w:p>
      <w:pPr>
        <w:spacing w:before="0" w:after="120" w:line="360" w:lineRule="auto"/>
        <w:jc w:val="both"/>
      </w:pPr>
      <w:r>
        <w:rPr>
          <w:rFonts w:ascii="Times New Roman" w:hAnsi="Times New Roman"/>
          <w:b/>
          <w:color w:val="212529"/>
          <w:sz w:val="24"/>
        </w:rPr>
        <w:t xml:space="preserve">Multimodal Matcher Walkthrough: </w:t>
      </w:r>
      <w:r>
        <w:rPr>
          <w:rFonts w:ascii="Times New Roman" w:hAnsi="Times New Roman"/>
          <w:color w:val="212529"/>
          <w:sz w:val="24"/>
        </w:rPr>
        <w:t>Code Walkthrough of Listing 5: The CLIPMatcher module utilizes OpenAI's foundational CLIP ViT-B/32 model for zero-shot text-image verification. In compute_similarity(), a radiograph is encoded into a 512-dimensional visual embedding, while candidate declared manifest items (e.g., 'books', 'clothes', 'bottles') are tokenized and encoded into textual embeddings. Both embedding tensors are L2-normalized, and their dot-product yields the cosine similarity scores. When baggage visual contents deviate sharply from declared manifests, a low similarity score triggers a manifest mismatch penalty, alerting customs screeners to concealed shipments.</w:t>
      </w:r>
    </w:p>
    <w:p>
      <w:pPr>
        <w:spacing w:before="240" w:after="80" w:line="360" w:lineRule="auto"/>
        <w:jc w:val="left"/>
      </w:pPr>
      <w:r>
        <w:rPr>
          <w:rFonts w:ascii="Times New Roman" w:hAnsi="Times New Roman"/>
          <w:b/>
          <w:color w:val="143C6E"/>
          <w:sz w:val="28"/>
        </w:rPr>
        <w:t>7.5 Model Training &amp; Risk Assessment Mapping</w:t>
      </w:r>
    </w:p>
    <w:p>
      <w:pPr>
        <w:spacing w:before="0" w:after="120" w:line="360" w:lineRule="auto"/>
        <w:jc w:val="both"/>
      </w:pPr>
      <w:r>
        <w:rPr>
          <w:rFonts w:ascii="Times New Roman" w:hAnsi="Times New Roman"/>
          <w:b/>
          <w:color w:val="212529"/>
          <w:sz w:val="24"/>
        </w:rPr>
        <w:t xml:space="preserve">Training Details &amp; Risk Synthesis: </w:t>
      </w:r>
      <w:r>
        <w:rPr>
          <w:rFonts w:ascii="Times New Roman" w:hAnsi="Times New Roman"/>
          <w:color w:val="212529"/>
          <w:sz w:val="24"/>
        </w:rPr>
        <w:t>Model training was conducted on the Kaggle GPU cloud platform utilizing an NVIDIA Tesla T4 GPU with 16 GB VRAM over 25 comprehensive training epochs. Hyperparameters: image resolution = 640x640; batch size = 16; base learning rate lr0 = 0.01; final learning rate lrf = 0.01; momentum = 0.937; weight decay = 0.0005; warmup epochs = 3.0 with Cosine Annealing learning rate scheduling. Compound loss: Complete IoU (CIoU) box loss, Distribution Focal Loss (DFL), and BCE classification loss. Listing 6 shows the mathematical risk synthesis module implemented in inference/risk_mapping.py.</w:t>
      </w:r>
    </w:p>
    <w:p>
      <w:pPr>
        <w:spacing w:before="160" w:after="60" w:line="276" w:lineRule="auto"/>
        <w:jc w:val="left"/>
      </w:pPr>
      <w:r>
        <w:rPr>
          <w:rFonts w:ascii="Times New Roman" w:hAnsi="Times New Roman"/>
          <w:b/>
          <w:color w:val="003366"/>
          <w:sz w:val="22"/>
        </w:rPr>
        <w:t>Listing 6: Multi-Factor Threat Risk Assessment &amp; Decision Mapping (inference/risk_mapping.py)</w:t>
      </w:r>
    </w:p>
    <w:tbl>
      <w:tblPr>
        <w:tblW w:type="auto" w:w="0"/>
        <w:jc w:val="center"/>
        <w:tblLayout w:type="fixed"/>
        <w:tblLook w:firstColumn="1" w:firstRow="1" w:lastColumn="0" w:lastRow="0" w:noHBand="0" w:noVBand="1" w:val="04A0"/>
      </w:tblPr>
      <w:tblGrid>
        <w:gridCol w:w="9029"/>
      </w:tblGrid>
      <w:tr>
        <w:tc>
          <w:tcPr>
            <w:tcW w:type="dxa" w:w="9029"/>
            <w:shd w:fill="F8FAFC"/>
            <w:tcBorders>
              <w:top w:val="single" w:sz="4" w:space="0" w:color="CBD5E1"/>
              <w:left w:val="single" w:sz="18" w:space="0" w:color="0284C7"/>
              <w:bottom w:val="single" w:sz="4" w:space="0" w:color="CBD5E1"/>
              <w:right w:val="single" w:sz="4" w:space="0" w:color="CBD5E1"/>
            </w:tcBorders>
            <w:tcMar>
              <w:top w:w="120" w:type="dxa"/>
              <w:bottom w:w="120" w:type="dxa"/>
              <w:left w:w="180" w:type="dxa"/>
              <w:right w:w="180" w:type="dxa"/>
            </w:tcMar>
          </w:tcPr>
          <w:p>
            <w:pPr>
              <w:spacing w:before="0" w:after="0" w:line="276" w:lineRule="auto"/>
              <w:jc w:val="left"/>
            </w:pPr>
            <w:r>
              <w:rPr>
                <w:rFonts w:ascii="Consolas" w:hAnsi="Consolas"/>
                <w:color w:val="0F172A"/>
                <w:sz w:val="17"/>
              </w:rPr>
              <w:t># inference/risk_mapping.py</w:t>
              <w:br/>
              <w:br/>
              <w:t>def compute_risk(detection, anomaly, mismatch):</w:t>
              <w:br/>
              <w:t xml:space="preserve">    """</w:t>
              <w:br/>
              <w:t xml:space="preserve">    Synthesizes multi-factor threat scores into a calibrated index [0.0, 1.0]:</w:t>
              <w:br/>
              <w:t xml:space="preserve">    - w1 = 0.50 (Primary weight on catalogued prohibited item confidence)</w:t>
              <w:br/>
              <w:t xml:space="preserve">    - w2 = 0.30 (Secondary weight on deep spatial anomaly density)</w:t>
              <w:br/>
              <w:t xml:space="preserve">    - w3 = 0.20 (Tertiary weight on declaration text-image mismatch)</w:t>
              <w:br/>
              <w:t xml:space="preserve">    """</w:t>
              <w:br/>
              <w:t xml:space="preserve">    w1, w2, w3 = 0.5, 0.3, 0.2</w:t>
              <w:br/>
              <w:t xml:space="preserve">    risk = w1 * detection + w2 * anomaly + w3 * mismatch</w:t>
              <w:br/>
              <w:t xml:space="preserve">    return round(risk, 2)</w:t>
              <w:br/>
              <w:br/>
              <w:t>def get_decision(risk):</w:t>
              <w:br/>
              <w:t xml:space="preserve">    """</w:t>
              <w:br/>
              <w:t xml:space="preserve">    Maps numerical composite risk into actionable operational screening decisions:</w:t>
              <w:br/>
              <w:t xml:space="preserve">    - Risk &lt; 0.30: SAFE (Green Lane - Automated Clearance)</w:t>
              <w:br/>
              <w:t xml:space="preserve">    - 0.30 &lt;= Risk &lt; 0.60: SUSPICIOUS (Yellow Lane - Screener Review Required)</w:t>
              <w:br/>
              <w:t xml:space="preserve">    - Risk &gt;= 0.60: HIGH RISK (Red Lane - Secondary Inspection &amp; Quarantine)</w:t>
              <w:br/>
              <w:t xml:space="preserve">    """</w:t>
              <w:br/>
              <w:t xml:space="preserve">    if risk &lt; 0.3:</w:t>
              <w:br/>
              <w:t xml:space="preserve">        return "SAFE"</w:t>
              <w:br/>
              <w:t xml:space="preserve">    elif risk &lt; 0.6:</w:t>
              <w:br/>
              <w:t xml:space="preserve">        return "SUSPICIOUS"</w:t>
              <w:br/>
              <w:t xml:space="preserve">    else:</w:t>
              <w:br/>
              <w:t xml:space="preserve">        return "HIGH RISK"</w:t>
            </w:r>
          </w:p>
        </w:tc>
      </w:tr>
    </w:tbl>
    <w:p>
      <w:pPr>
        <w:spacing w:before="0" w:after="120" w:line="360" w:lineRule="auto"/>
        <w:jc w:val="both"/>
      </w:pPr>
      <w:r>
        <w:rPr>
          <w:rFonts w:ascii="Times New Roman" w:hAnsi="Times New Roman"/>
          <w:b/>
          <w:color w:val="212529"/>
          <w:sz w:val="24"/>
        </w:rPr>
        <w:t xml:space="preserve">Risk Mapping Walkthrough: </w:t>
      </w:r>
      <w:r>
        <w:rPr>
          <w:rFonts w:ascii="Times New Roman" w:hAnsi="Times New Roman"/>
          <w:color w:val="212529"/>
          <w:sz w:val="24"/>
        </w:rPr>
        <w:t>Code Walkthrough of Listing 6: The compute_risk() function implements the core multi-factor threat fusion formula: Risk = 0.50 * Detection + 0.30 * Anomaly + 0.20 * Mismatch. This formulation ensures that high-confidence weapon detections immediately drive the risk above dangerous thresholds, while bags with no catalogued weapons but high spatial anomaly densities (e.g., suspicious chemical containers or uncatalogued dense wiring) are elevated into the 'SUSPICIOUS' range. The get_decision() function converts this continuous score into clear operational conveyor actions, eliminating subjective human ambiguity at checkpoints.</w:t>
      </w:r>
    </w:p>
    <w:p>
      <w:pPr>
        <w:spacing w:before="240" w:after="80" w:line="360" w:lineRule="auto"/>
        <w:jc w:val="left"/>
      </w:pPr>
      <w:r>
        <w:rPr>
          <w:rFonts w:ascii="Times New Roman" w:hAnsi="Times New Roman"/>
          <w:b/>
          <w:color w:val="143C6E"/>
          <w:sz w:val="28"/>
        </w:rPr>
        <w:t>7.6 Model Evaluation</w:t>
      </w:r>
    </w:p>
    <w:p>
      <w:pPr>
        <w:spacing w:before="0" w:after="120" w:line="360" w:lineRule="auto"/>
        <w:jc w:val="both"/>
      </w:pPr>
      <w:r>
        <w:rPr>
          <w:rFonts w:ascii="Times New Roman" w:hAnsi="Times New Roman"/>
          <w:b/>
          <w:color w:val="212529"/>
          <w:sz w:val="24"/>
        </w:rPr>
        <w:t xml:space="preserve">Evaluation Metrics: </w:t>
      </w:r>
      <w:r>
        <w:rPr>
          <w:rFonts w:ascii="Times New Roman" w:hAnsi="Times New Roman"/>
          <w:color w:val="212529"/>
          <w:sz w:val="24"/>
        </w:rPr>
        <w:t>Model performance was evaluated on the independent 747-image validation set and 373-image test set using standard computer vision metrics: Precision, Recall, Mean Average Precision at IoU threshold 0.5 (mAP@0.5), Mean Average Precision across IoU thresholds 0.5 to 0.95 (mAP@0.5:0.95), and F1-Score.</w:t>
      </w:r>
    </w:p>
    <w:p>
      <w:pPr>
        <w:spacing w:before="160" w:after="60" w:line="276" w:lineRule="auto"/>
        <w:jc w:val="left"/>
      </w:pPr>
      <w:r>
        <w:rPr>
          <w:rFonts w:ascii="Times New Roman" w:hAnsi="Times New Roman"/>
          <w:b/>
          <w:color w:val="003366"/>
          <w:sz w:val="22"/>
        </w:rPr>
        <w:t>Table 4: Model Evaluation Summary and Parameter Configuration</w:t>
      </w:r>
    </w:p>
    <w:tbl>
      <w:tblPr>
        <w:tblW w:type="auto" w:w="0"/>
        <w:tblLook w:firstColumn="1" w:firstRow="1" w:lastColumn="0" w:lastRow="0" w:noHBand="0" w:noVBand="1" w:val="04A0"/>
        <w:jc w:val="center"/>
        <w:tblBorders>
          <w:top w:val="single" w:sz="4" w:space="0" w:color="9FB6CD"/>
          <w:bottom w:val="single" w:sz="4" w:space="0" w:color="9FB6CD"/>
          <w:left w:val="single" w:sz="4" w:space="0" w:color="9FB6CD"/>
          <w:right w:val="single" w:sz="4" w:space="0" w:color="9FB6CD"/>
          <w:insideH w:val="single" w:sz="4" w:space="0" w:color="9FB6CD"/>
          <w:insideV w:val="single" w:sz="4" w:space="0" w:color="9FB6CD"/>
        </w:tblBorders>
      </w:tblPr>
      <w:tblGrid>
        <w:gridCol w:w="1290"/>
        <w:gridCol w:w="1290"/>
        <w:gridCol w:w="1290"/>
        <w:gridCol w:w="1290"/>
        <w:gridCol w:w="1290"/>
        <w:gridCol w:w="1290"/>
        <w:gridCol w:w="1290"/>
      </w:tblGrid>
      <w:tr>
        <w:tc>
          <w:tcPr>
            <w:tcW w:type="dxa" w:w="1296"/>
            <w:shd w:fill="D9EAF7"/>
            <w:tcMar>
              <w:top w:w="120" w:type="dxa"/>
              <w:bottom w:w="120" w:type="dxa"/>
              <w:left w:w="140" w:type="dxa"/>
              <w:right w:w="140" w:type="dxa"/>
            </w:tcMar>
            <w:vAlign w:val="center"/>
          </w:tcPr>
          <w:p>
            <w:pPr>
              <w:spacing w:before="0" w:after="0" w:line="276" w:lineRule="auto"/>
              <w:jc w:val="center"/>
            </w:pPr>
            <w:r>
              <w:rPr>
                <w:rFonts w:ascii="Times New Roman" w:hAnsi="Times New Roman"/>
                <w:b/>
                <w:color w:val="002850"/>
                <w:sz w:val="21"/>
              </w:rPr>
              <w:t>Model</w:t>
            </w:r>
          </w:p>
        </w:tc>
        <w:tc>
          <w:tcPr>
            <w:tcW w:type="dxa" w:w="1584"/>
            <w:shd w:fill="D9EAF7"/>
            <w:tcMar>
              <w:top w:w="120" w:type="dxa"/>
              <w:bottom w:w="120" w:type="dxa"/>
              <w:left w:w="140" w:type="dxa"/>
              <w:right w:w="140" w:type="dxa"/>
            </w:tcMar>
            <w:vAlign w:val="center"/>
          </w:tcPr>
          <w:p>
            <w:pPr>
              <w:spacing w:before="0" w:after="0" w:line="276" w:lineRule="auto"/>
              <w:jc w:val="center"/>
            </w:pPr>
            <w:r>
              <w:rPr>
                <w:rFonts w:ascii="Times New Roman" w:hAnsi="Times New Roman"/>
                <w:b/>
                <w:color w:val="002850"/>
                <w:sz w:val="21"/>
              </w:rPr>
              <w:t>Architecture</w:t>
            </w:r>
          </w:p>
        </w:tc>
        <w:tc>
          <w:tcPr>
            <w:tcW w:type="dxa" w:w="2160"/>
            <w:shd w:fill="D9EAF7"/>
            <w:tcMar>
              <w:top w:w="120" w:type="dxa"/>
              <w:bottom w:w="120" w:type="dxa"/>
              <w:left w:w="140" w:type="dxa"/>
              <w:right w:w="140" w:type="dxa"/>
            </w:tcMar>
            <w:vAlign w:val="center"/>
          </w:tcPr>
          <w:p>
            <w:pPr>
              <w:spacing w:before="0" w:after="0" w:line="276" w:lineRule="auto"/>
              <w:jc w:val="center"/>
            </w:pPr>
            <w:r>
              <w:rPr>
                <w:rFonts w:ascii="Times New Roman" w:hAnsi="Times New Roman"/>
                <w:b/>
                <w:color w:val="002850"/>
                <w:sz w:val="21"/>
              </w:rPr>
              <w:t>Purpose</w:t>
            </w:r>
          </w:p>
        </w:tc>
        <w:tc>
          <w:tcPr>
            <w:tcW w:type="dxa" w:w="1296"/>
            <w:shd w:fill="D9EAF7"/>
            <w:tcMar>
              <w:top w:w="120" w:type="dxa"/>
              <w:bottom w:w="120" w:type="dxa"/>
              <w:left w:w="140" w:type="dxa"/>
              <w:right w:w="140" w:type="dxa"/>
            </w:tcMar>
            <w:vAlign w:val="center"/>
          </w:tcPr>
          <w:p>
            <w:pPr>
              <w:spacing w:before="0" w:after="0" w:line="276" w:lineRule="auto"/>
              <w:jc w:val="center"/>
            </w:pPr>
            <w:r>
              <w:rPr>
                <w:rFonts w:ascii="Times New Roman" w:hAnsi="Times New Roman"/>
                <w:b/>
                <w:color w:val="002850"/>
                <w:sz w:val="21"/>
              </w:rPr>
              <w:t>Parameters</w:t>
            </w:r>
          </w:p>
        </w:tc>
        <w:tc>
          <w:tcPr>
            <w:tcW w:type="dxa" w:w="1296"/>
            <w:shd w:fill="D9EAF7"/>
            <w:tcMar>
              <w:top w:w="120" w:type="dxa"/>
              <w:bottom w:w="120" w:type="dxa"/>
              <w:left w:w="140" w:type="dxa"/>
              <w:right w:w="140" w:type="dxa"/>
            </w:tcMar>
            <w:vAlign w:val="center"/>
          </w:tcPr>
          <w:p>
            <w:pPr>
              <w:spacing w:before="0" w:after="0" w:line="276" w:lineRule="auto"/>
              <w:jc w:val="center"/>
            </w:pPr>
            <w:r>
              <w:rPr>
                <w:rFonts w:ascii="Times New Roman" w:hAnsi="Times New Roman"/>
                <w:b/>
                <w:color w:val="002850"/>
                <w:sz w:val="21"/>
              </w:rPr>
              <w:t>Training Epochs</w:t>
            </w:r>
          </w:p>
        </w:tc>
        <w:tc>
          <w:tcPr>
            <w:tcW w:type="dxa" w:w="1296"/>
            <w:shd w:fill="D9EAF7"/>
            <w:tcMar>
              <w:top w:w="120" w:type="dxa"/>
              <w:bottom w:w="120" w:type="dxa"/>
              <w:left w:w="140" w:type="dxa"/>
              <w:right w:w="140" w:type="dxa"/>
            </w:tcMar>
            <w:vAlign w:val="center"/>
          </w:tcPr>
          <w:p>
            <w:pPr>
              <w:spacing w:before="0" w:after="0" w:line="276" w:lineRule="auto"/>
              <w:jc w:val="center"/>
            </w:pPr>
            <w:r>
              <w:rPr>
                <w:rFonts w:ascii="Times New Roman" w:hAnsi="Times New Roman"/>
                <w:b/>
                <w:color w:val="002850"/>
                <w:sz w:val="21"/>
              </w:rPr>
              <w:t>mAP@0.5</w:t>
            </w:r>
          </w:p>
        </w:tc>
        <w:tc>
          <w:tcPr>
            <w:tcW w:type="dxa" w:w="1296"/>
            <w:shd w:fill="D9EAF7"/>
            <w:tcMar>
              <w:top w:w="120" w:type="dxa"/>
              <w:bottom w:w="120" w:type="dxa"/>
              <w:left w:w="140" w:type="dxa"/>
              <w:right w:w="140" w:type="dxa"/>
            </w:tcMar>
            <w:vAlign w:val="center"/>
          </w:tcPr>
          <w:p>
            <w:pPr>
              <w:spacing w:before="0" w:after="0" w:line="276" w:lineRule="auto"/>
              <w:jc w:val="center"/>
            </w:pPr>
            <w:r>
              <w:rPr>
                <w:rFonts w:ascii="Times New Roman" w:hAnsi="Times New Roman"/>
                <w:b/>
                <w:color w:val="002850"/>
                <w:sz w:val="21"/>
              </w:rPr>
              <w:t>mAP@0.5:0.95</w:t>
            </w:r>
          </w:p>
        </w:tc>
      </w:tr>
      <w:tr>
        <w:tc>
          <w:tcPr>
            <w:tcW w:type="dxa" w:w="1296"/>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212529"/>
                <w:sz w:val="20"/>
              </w:rPr>
              <w:t>YOLOv8x</w:t>
            </w:r>
          </w:p>
        </w:tc>
        <w:tc>
          <w:tcPr>
            <w:tcW w:type="dxa" w:w="1584"/>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212529"/>
                <w:sz w:val="20"/>
              </w:rPr>
              <w:t>CSPDarknet + PANet</w:t>
            </w:r>
          </w:p>
        </w:tc>
        <w:tc>
          <w:tcPr>
            <w:tcW w:type="dxa" w:w="2160"/>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212529"/>
                <w:sz w:val="20"/>
              </w:rPr>
              <w:t>12-Class Prohibited Item Detection</w:t>
            </w:r>
          </w:p>
        </w:tc>
        <w:tc>
          <w:tcPr>
            <w:tcW w:type="dxa" w:w="1296"/>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212529"/>
                <w:sz w:val="20"/>
              </w:rPr>
              <w:t>68.2 Million</w:t>
            </w:r>
          </w:p>
        </w:tc>
        <w:tc>
          <w:tcPr>
            <w:tcW w:type="dxa" w:w="1296"/>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212529"/>
                <w:sz w:val="20"/>
              </w:rPr>
              <w:t>25 Epochs</w:t>
            </w:r>
          </w:p>
        </w:tc>
        <w:tc>
          <w:tcPr>
            <w:tcW w:type="dxa" w:w="1296"/>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212529"/>
                <w:sz w:val="20"/>
              </w:rPr>
              <w:t>0.9394 (93.9%)</w:t>
            </w:r>
          </w:p>
        </w:tc>
        <w:tc>
          <w:tcPr>
            <w:tcW w:type="dxa" w:w="1296"/>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212529"/>
                <w:sz w:val="20"/>
              </w:rPr>
              <w:t>0.8010 (80.1%)</w:t>
            </w:r>
          </w:p>
        </w:tc>
      </w:tr>
      <w:tr>
        <w:tc>
          <w:tcPr>
            <w:tcW w:type="dxa" w:w="1296"/>
            <w:shd w:fill="F9FBFC"/>
            <w:tcMar>
              <w:top w:w="100" w:type="dxa"/>
              <w:bottom w:w="100" w:type="dxa"/>
              <w:left w:w="130" w:type="dxa"/>
              <w:right w:w="130" w:type="dxa"/>
            </w:tcMar>
            <w:vAlign w:val="center"/>
          </w:tcPr>
          <w:p>
            <w:pPr>
              <w:spacing w:before="0" w:after="0" w:line="276" w:lineRule="auto"/>
              <w:jc w:val="center"/>
            </w:pPr>
            <w:r>
              <w:rPr>
                <w:rFonts w:ascii="Times New Roman" w:hAnsi="Times New Roman"/>
                <w:color w:val="212529"/>
                <w:sz w:val="20"/>
              </w:rPr>
              <w:t>ResNet-50</w:t>
            </w:r>
          </w:p>
        </w:tc>
        <w:tc>
          <w:tcPr>
            <w:tcW w:type="dxa" w:w="1584"/>
            <w:shd w:fill="F9FBFC"/>
            <w:tcMar>
              <w:top w:w="100" w:type="dxa"/>
              <w:bottom w:w="100" w:type="dxa"/>
              <w:left w:w="130" w:type="dxa"/>
              <w:right w:w="130" w:type="dxa"/>
            </w:tcMar>
            <w:vAlign w:val="center"/>
          </w:tcPr>
          <w:p>
            <w:pPr>
              <w:spacing w:before="0" w:after="0" w:line="276" w:lineRule="auto"/>
              <w:jc w:val="left"/>
            </w:pPr>
            <w:r>
              <w:rPr>
                <w:rFonts w:ascii="Times New Roman" w:hAnsi="Times New Roman"/>
                <w:color w:val="212529"/>
                <w:sz w:val="20"/>
              </w:rPr>
              <w:t>Residual Network (50 layers)</w:t>
            </w:r>
          </w:p>
        </w:tc>
        <w:tc>
          <w:tcPr>
            <w:tcW w:type="dxa" w:w="2160"/>
            <w:shd w:fill="F9FBFC"/>
            <w:tcMar>
              <w:top w:w="100" w:type="dxa"/>
              <w:bottom w:w="100" w:type="dxa"/>
              <w:left w:w="130" w:type="dxa"/>
              <w:right w:w="130" w:type="dxa"/>
            </w:tcMar>
            <w:vAlign w:val="center"/>
          </w:tcPr>
          <w:p>
            <w:pPr>
              <w:spacing w:before="0" w:after="0" w:line="276" w:lineRule="auto"/>
              <w:jc w:val="left"/>
            </w:pPr>
            <w:r>
              <w:rPr>
                <w:rFonts w:ascii="Times New Roman" w:hAnsi="Times New Roman"/>
                <w:color w:val="212529"/>
                <w:sz w:val="20"/>
              </w:rPr>
              <w:t>Deep Latent Feature Extraction</w:t>
            </w:r>
          </w:p>
        </w:tc>
        <w:tc>
          <w:tcPr>
            <w:tcW w:type="dxa" w:w="1296"/>
            <w:shd w:fill="F9FBFC"/>
            <w:tcMar>
              <w:top w:w="100" w:type="dxa"/>
              <w:bottom w:w="100" w:type="dxa"/>
              <w:left w:w="130" w:type="dxa"/>
              <w:right w:w="130" w:type="dxa"/>
            </w:tcMar>
            <w:vAlign w:val="center"/>
          </w:tcPr>
          <w:p>
            <w:pPr>
              <w:spacing w:before="0" w:after="0" w:line="276" w:lineRule="auto"/>
              <w:jc w:val="left"/>
            </w:pPr>
            <w:r>
              <w:rPr>
                <w:rFonts w:ascii="Times New Roman" w:hAnsi="Times New Roman"/>
                <w:color w:val="212529"/>
                <w:sz w:val="20"/>
              </w:rPr>
              <w:t>25.6 Million</w:t>
            </w:r>
          </w:p>
        </w:tc>
        <w:tc>
          <w:tcPr>
            <w:tcW w:type="dxa" w:w="1296"/>
            <w:shd w:fill="F9FBFC"/>
            <w:tcMar>
              <w:top w:w="100" w:type="dxa"/>
              <w:bottom w:w="100" w:type="dxa"/>
              <w:left w:w="130" w:type="dxa"/>
              <w:right w:w="130" w:type="dxa"/>
            </w:tcMar>
            <w:vAlign w:val="center"/>
          </w:tcPr>
          <w:p>
            <w:pPr>
              <w:spacing w:before="0" w:after="0" w:line="276" w:lineRule="auto"/>
              <w:jc w:val="left"/>
            </w:pPr>
            <w:r>
              <w:rPr>
                <w:rFonts w:ascii="Times New Roman" w:hAnsi="Times New Roman"/>
                <w:color w:val="212529"/>
                <w:sz w:val="20"/>
              </w:rPr>
              <w:t>Pretrained + k-NN</w:t>
            </w:r>
          </w:p>
        </w:tc>
        <w:tc>
          <w:tcPr>
            <w:tcW w:type="dxa" w:w="1296"/>
            <w:shd w:fill="F9FBFC"/>
            <w:tcMar>
              <w:top w:w="100" w:type="dxa"/>
              <w:bottom w:w="100" w:type="dxa"/>
              <w:left w:w="130" w:type="dxa"/>
              <w:right w:w="130" w:type="dxa"/>
            </w:tcMar>
            <w:vAlign w:val="center"/>
          </w:tcPr>
          <w:p>
            <w:pPr>
              <w:spacing w:before="0" w:after="0" w:line="276" w:lineRule="auto"/>
              <w:jc w:val="left"/>
            </w:pPr>
            <w:r>
              <w:rPr>
                <w:rFonts w:ascii="Times New Roman" w:hAnsi="Times New Roman"/>
                <w:color w:val="212529"/>
                <w:sz w:val="20"/>
              </w:rPr>
              <w:t>N/A (Density)</w:t>
            </w:r>
          </w:p>
        </w:tc>
        <w:tc>
          <w:tcPr>
            <w:tcW w:type="dxa" w:w="1296"/>
            <w:shd w:fill="F9FBFC"/>
            <w:tcMar>
              <w:top w:w="100" w:type="dxa"/>
              <w:bottom w:w="100" w:type="dxa"/>
              <w:left w:w="130" w:type="dxa"/>
              <w:right w:w="130" w:type="dxa"/>
            </w:tcMar>
            <w:vAlign w:val="center"/>
          </w:tcPr>
          <w:p>
            <w:pPr>
              <w:spacing w:before="0" w:after="0" w:line="276" w:lineRule="auto"/>
              <w:jc w:val="left"/>
            </w:pPr>
            <w:r>
              <w:rPr>
                <w:rFonts w:ascii="Times New Roman" w:hAnsi="Times New Roman"/>
                <w:color w:val="212529"/>
                <w:sz w:val="20"/>
              </w:rPr>
              <w:t>N/A (Density)</w:t>
            </w:r>
          </w:p>
        </w:tc>
      </w:tr>
      <w:tr>
        <w:tc>
          <w:tcPr>
            <w:tcW w:type="dxa" w:w="1296"/>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212529"/>
                <w:sz w:val="20"/>
              </w:rPr>
              <w:t>k-NN Anomaly</w:t>
            </w:r>
          </w:p>
        </w:tc>
        <w:tc>
          <w:tcPr>
            <w:tcW w:type="dxa" w:w="1584"/>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212529"/>
                <w:sz w:val="20"/>
              </w:rPr>
              <w:t>k-Nearest Neighbors (k=5)</w:t>
            </w:r>
          </w:p>
        </w:tc>
        <w:tc>
          <w:tcPr>
            <w:tcW w:type="dxa" w:w="2160"/>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212529"/>
                <w:sz w:val="20"/>
              </w:rPr>
              <w:t>Unsupervised Anomaly Distance</w:t>
            </w:r>
          </w:p>
        </w:tc>
        <w:tc>
          <w:tcPr>
            <w:tcW w:type="dxa" w:w="1296"/>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212529"/>
                <w:sz w:val="20"/>
              </w:rPr>
              <w:t>Index: 2048-D</w:t>
            </w:r>
          </w:p>
        </w:tc>
        <w:tc>
          <w:tcPr>
            <w:tcW w:type="dxa" w:w="1296"/>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212529"/>
                <w:sz w:val="20"/>
              </w:rPr>
              <w:t>Fitted on Benign</w:t>
            </w:r>
          </w:p>
        </w:tc>
        <w:tc>
          <w:tcPr>
            <w:tcW w:type="dxa" w:w="1296"/>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212529"/>
                <w:sz w:val="20"/>
              </w:rPr>
              <w:t>0.8840 (AUC)</w:t>
            </w:r>
          </w:p>
        </w:tc>
        <w:tc>
          <w:tcPr>
            <w:tcW w:type="dxa" w:w="1296"/>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212529"/>
                <w:sz w:val="20"/>
              </w:rPr>
              <w:t>N/A (Metric)</w:t>
            </w:r>
          </w:p>
        </w:tc>
      </w:tr>
      <w:tr>
        <w:tc>
          <w:tcPr>
            <w:tcW w:type="dxa" w:w="1296"/>
            <w:shd w:fill="F9FBFC"/>
            <w:tcMar>
              <w:top w:w="100" w:type="dxa"/>
              <w:bottom w:w="100" w:type="dxa"/>
              <w:left w:w="130" w:type="dxa"/>
              <w:right w:w="130" w:type="dxa"/>
            </w:tcMar>
            <w:vAlign w:val="center"/>
          </w:tcPr>
          <w:p>
            <w:pPr>
              <w:spacing w:before="0" w:after="0" w:line="276" w:lineRule="auto"/>
              <w:jc w:val="center"/>
            </w:pPr>
            <w:r>
              <w:rPr>
                <w:rFonts w:ascii="Times New Roman" w:hAnsi="Times New Roman"/>
                <w:color w:val="212529"/>
                <w:sz w:val="20"/>
              </w:rPr>
              <w:t>CLIP ViT-B/32</w:t>
            </w:r>
          </w:p>
        </w:tc>
        <w:tc>
          <w:tcPr>
            <w:tcW w:type="dxa" w:w="1584"/>
            <w:shd w:fill="F9FBFC"/>
            <w:tcMar>
              <w:top w:w="100" w:type="dxa"/>
              <w:bottom w:w="100" w:type="dxa"/>
              <w:left w:w="130" w:type="dxa"/>
              <w:right w:w="130" w:type="dxa"/>
            </w:tcMar>
            <w:vAlign w:val="center"/>
          </w:tcPr>
          <w:p>
            <w:pPr>
              <w:spacing w:before="0" w:after="0" w:line="276" w:lineRule="auto"/>
              <w:jc w:val="left"/>
            </w:pPr>
            <w:r>
              <w:rPr>
                <w:rFonts w:ascii="Times New Roman" w:hAnsi="Times New Roman"/>
                <w:color w:val="212529"/>
                <w:sz w:val="20"/>
              </w:rPr>
              <w:t>Vision Transformer + Text</w:t>
            </w:r>
          </w:p>
        </w:tc>
        <w:tc>
          <w:tcPr>
            <w:tcW w:type="dxa" w:w="2160"/>
            <w:shd w:fill="F9FBFC"/>
            <w:tcMar>
              <w:top w:w="100" w:type="dxa"/>
              <w:bottom w:w="100" w:type="dxa"/>
              <w:left w:w="130" w:type="dxa"/>
              <w:right w:w="130" w:type="dxa"/>
            </w:tcMar>
            <w:vAlign w:val="center"/>
          </w:tcPr>
          <w:p>
            <w:pPr>
              <w:spacing w:before="0" w:after="0" w:line="276" w:lineRule="auto"/>
              <w:jc w:val="left"/>
            </w:pPr>
            <w:r>
              <w:rPr>
                <w:rFonts w:ascii="Times New Roman" w:hAnsi="Times New Roman"/>
                <w:color w:val="212529"/>
                <w:sz w:val="20"/>
              </w:rPr>
              <w:t>Multimodal Manifest Verification</w:t>
            </w:r>
          </w:p>
        </w:tc>
        <w:tc>
          <w:tcPr>
            <w:tcW w:type="dxa" w:w="1296"/>
            <w:shd w:fill="F9FBFC"/>
            <w:tcMar>
              <w:top w:w="100" w:type="dxa"/>
              <w:bottom w:w="100" w:type="dxa"/>
              <w:left w:w="130" w:type="dxa"/>
              <w:right w:w="130" w:type="dxa"/>
            </w:tcMar>
            <w:vAlign w:val="center"/>
          </w:tcPr>
          <w:p>
            <w:pPr>
              <w:spacing w:before="0" w:after="0" w:line="276" w:lineRule="auto"/>
              <w:jc w:val="left"/>
            </w:pPr>
            <w:r>
              <w:rPr>
                <w:rFonts w:ascii="Times New Roman" w:hAnsi="Times New Roman"/>
                <w:color w:val="212529"/>
                <w:sz w:val="20"/>
              </w:rPr>
              <w:t>151.2 Million</w:t>
            </w:r>
          </w:p>
        </w:tc>
        <w:tc>
          <w:tcPr>
            <w:tcW w:type="dxa" w:w="1296"/>
            <w:shd w:fill="F9FBFC"/>
            <w:tcMar>
              <w:top w:w="100" w:type="dxa"/>
              <w:bottom w:w="100" w:type="dxa"/>
              <w:left w:w="130" w:type="dxa"/>
              <w:right w:w="130" w:type="dxa"/>
            </w:tcMar>
            <w:vAlign w:val="center"/>
          </w:tcPr>
          <w:p>
            <w:pPr>
              <w:spacing w:before="0" w:after="0" w:line="276" w:lineRule="auto"/>
              <w:jc w:val="left"/>
            </w:pPr>
            <w:r>
              <w:rPr>
                <w:rFonts w:ascii="Times New Roman" w:hAnsi="Times New Roman"/>
                <w:color w:val="212529"/>
                <w:sz w:val="20"/>
              </w:rPr>
              <w:t>Zero-Shot Eval</w:t>
            </w:r>
          </w:p>
        </w:tc>
        <w:tc>
          <w:tcPr>
            <w:tcW w:type="dxa" w:w="1296"/>
            <w:shd w:fill="F9FBFC"/>
            <w:tcMar>
              <w:top w:w="100" w:type="dxa"/>
              <w:bottom w:w="100" w:type="dxa"/>
              <w:left w:w="130" w:type="dxa"/>
              <w:right w:w="130" w:type="dxa"/>
            </w:tcMar>
            <w:vAlign w:val="center"/>
          </w:tcPr>
          <w:p>
            <w:pPr>
              <w:spacing w:before="0" w:after="0" w:line="276" w:lineRule="auto"/>
              <w:jc w:val="left"/>
            </w:pPr>
            <w:r>
              <w:rPr>
                <w:rFonts w:ascii="Times New Roman" w:hAnsi="Times New Roman"/>
                <w:color w:val="212529"/>
                <w:sz w:val="20"/>
              </w:rPr>
              <w:t>0.8650 (Match)</w:t>
            </w:r>
          </w:p>
        </w:tc>
        <w:tc>
          <w:tcPr>
            <w:tcW w:type="dxa" w:w="1296"/>
            <w:shd w:fill="F9FBFC"/>
            <w:tcMar>
              <w:top w:w="100" w:type="dxa"/>
              <w:bottom w:w="100" w:type="dxa"/>
              <w:left w:w="130" w:type="dxa"/>
              <w:right w:w="130" w:type="dxa"/>
            </w:tcMar>
            <w:vAlign w:val="center"/>
          </w:tcPr>
          <w:p>
            <w:pPr>
              <w:spacing w:before="0" w:after="0" w:line="276" w:lineRule="auto"/>
              <w:jc w:val="left"/>
            </w:pPr>
            <w:r>
              <w:rPr>
                <w:rFonts w:ascii="Times New Roman" w:hAnsi="Times New Roman"/>
                <w:color w:val="212529"/>
                <w:sz w:val="20"/>
              </w:rPr>
              <w:t>N/A (Semantic)</w:t>
            </w:r>
          </w:p>
        </w:tc>
      </w:tr>
    </w:tbl>
    <w:p>
      <w:pPr>
        <w:spacing w:before="0" w:after="120" w:line="360" w:lineRule="auto"/>
        <w:jc w:val="both"/>
      </w:pPr>
      <w:r>
        <w:rPr>
          <w:rFonts w:ascii="Times New Roman" w:hAnsi="Times New Roman"/>
          <w:b/>
          <w:color w:val="212529"/>
          <w:sz w:val="24"/>
        </w:rPr>
        <w:t xml:space="preserve">Quantitative Performance: </w:t>
      </w:r>
      <w:r>
        <w:rPr>
          <w:rFonts w:ascii="Times New Roman" w:hAnsi="Times New Roman"/>
          <w:color w:val="212529"/>
          <w:sz w:val="24"/>
        </w:rPr>
        <w:t>The fine-tuned YOLOv8x model achieved outstanding empirical results at Epoch 25: an overall Precision of 0.94492 (94.49%), a Recall of 0.88345 (88.35%), a mean Average Precision (mAP@0.5) of 0.93937 (93.94%), a stringent mAP@0.5:0.95 of 0.80104 (80.10%), and an aggregate F1-Score of 0.91315 (91.32%). Figure 2 presents the normalized confusion matrix across the 12 prohibited categories.</w:t>
      </w:r>
    </w:p>
    <w:p>
      <w:pPr>
        <w:spacing w:before="120" w:after="40" w:line="240" w:lineRule="auto"/>
        <w:jc w:val="center"/>
      </w:pPr>
      <w:r>
        <w:drawing>
          <wp:inline xmlns:a="http://schemas.openxmlformats.org/drawingml/2006/main" xmlns:pic="http://schemas.openxmlformats.org/drawingml/2006/picture">
            <wp:extent cx="5029200" cy="3771900"/>
            <wp:docPr id="2" name="Picture 2"/>
            <wp:cNvGraphicFramePr>
              <a:graphicFrameLocks noChangeAspect="1"/>
            </wp:cNvGraphicFramePr>
            <a:graphic>
              <a:graphicData uri="http://schemas.openxmlformats.org/drawingml/2006/picture">
                <pic:pic>
                  <pic:nvPicPr>
                    <pic:cNvPr id="0" name="confusion_matrix_normalized.png"/>
                    <pic:cNvPicPr/>
                  </pic:nvPicPr>
                  <pic:blipFill>
                    <a:blip r:embed="rId11"/>
                    <a:stretch>
                      <a:fillRect/>
                    </a:stretch>
                  </pic:blipFill>
                  <pic:spPr>
                    <a:xfrm>
                      <a:off x="0" y="0"/>
                      <a:ext cx="5029200" cy="3771900"/>
                    </a:xfrm>
                    <a:prstGeom prst="rect"/>
                  </pic:spPr>
                </pic:pic>
              </a:graphicData>
            </a:graphic>
          </wp:inline>
        </w:drawing>
      </w:r>
    </w:p>
    <w:p>
      <w:pPr>
        <w:spacing w:before="80" w:after="200" w:line="276" w:lineRule="auto"/>
        <w:jc w:val="center"/>
      </w:pPr>
      <w:r>
        <w:rPr>
          <w:rFonts w:ascii="Times New Roman" w:hAnsi="Times New Roman"/>
          <w:b/>
          <w:i/>
          <w:color w:val="003366"/>
          <w:sz w:val="22"/>
        </w:rPr>
        <w:t>Figure 2: Normalized Confusion Matrix across 12 Prohibited Categories on PIDray v2</w:t>
      </w:r>
    </w:p>
    <w:p>
      <w:pPr>
        <w:spacing w:before="0" w:after="120" w:line="360" w:lineRule="auto"/>
        <w:jc w:val="both"/>
      </w:pPr>
      <w:r>
        <w:rPr>
          <w:rFonts w:ascii="Times New Roman" w:hAnsi="Times New Roman"/>
          <w:b/>
          <w:color w:val="212529"/>
          <w:sz w:val="24"/>
        </w:rPr>
        <w:t xml:space="preserve">Confusion Matrix Insights: </w:t>
      </w:r>
      <w:r>
        <w:rPr>
          <w:rFonts w:ascii="Times New Roman" w:hAnsi="Times New Roman"/>
          <w:color w:val="212529"/>
          <w:sz w:val="24"/>
        </w:rPr>
        <w:t>Analysis of the normalized confusion matrix reveals near-flawless true positive detection rates for high-lethal threat categories: Guns achieved a remarkable 97% true positive rate (0.04 background false negative), HandCuffs achieved 98%, Pliers reached 96%, and Wrenches reached 96%. Hammers (93%), Batons (93%), Scissors (92%), and Powerbanks (92%) demonstrated outstanding accuracy. Moderately lower detection rates were observed for Knives (84%) and Bullets (86%), which can be attributed to minimal metallic mass and extreme angle variance. Lighters exhibited a 67% detection rate due to thin plastic casings that blend into dense organic textile clutter. Significantly, false alarm rates across benign background clutter remained extremely low (&lt;5%).</w:t>
      </w:r>
    </w:p>
    <w:p>
      <w:pPr>
        <w:spacing w:before="320" w:after="120" w:line="360" w:lineRule="auto"/>
        <w:jc w:val="left"/>
      </w:pPr>
      <w:r>
        <w:rPr>
          <w:rFonts w:ascii="Times New Roman" w:hAnsi="Times New Roman"/>
          <w:b/>
          <w:color w:val="003366"/>
          <w:sz w:val="32"/>
        </w:rPr>
        <w:t>8. Version Control</w:t>
      </w:r>
    </w:p>
    <w:p>
      <w:pPr>
        <w:spacing w:before="0" w:after="120" w:line="360" w:lineRule="auto"/>
        <w:jc w:val="both"/>
      </w:pPr>
      <w:r>
        <w:rPr>
          <w:rFonts w:ascii="Times New Roman" w:hAnsi="Times New Roman"/>
          <w:b/>
          <w:color w:val="212529"/>
          <w:sz w:val="24"/>
        </w:rPr>
        <w:t xml:space="preserve">Version Control Architecture: </w:t>
      </w:r>
      <w:r>
        <w:rPr>
          <w:rFonts w:ascii="Times New Roman" w:hAnsi="Times New Roman"/>
          <w:color w:val="212529"/>
          <w:sz w:val="24"/>
        </w:rPr>
        <w:t>Professional software engineering practices and rigorous version control protocols were maintained throughout the lifecycle of the Baggage Vision AI project. Source code, preprocessing modules, inference pipelines, and configuration files were tracked using Git (v2.44+) and hosted remotely on GitHub.</w:t>
      </w:r>
    </w:p>
    <w:p>
      <w:pPr>
        <w:spacing w:before="0" w:after="120" w:line="360" w:lineRule="auto"/>
        <w:jc w:val="both"/>
      </w:pPr>
      <w:r>
        <w:rPr>
          <w:rFonts w:ascii="Times New Roman" w:hAnsi="Times New Roman"/>
          <w:b/>
          <w:color w:val="212529"/>
          <w:sz w:val="24"/>
        </w:rPr>
        <w:t xml:space="preserve">Repository Practices and Collaboration: </w:t>
      </w:r>
      <w:r>
        <w:rPr>
          <w:rFonts w:ascii="Times New Roman" w:hAnsi="Times New Roman"/>
          <w:color w:val="212529"/>
          <w:sz w:val="24"/>
        </w:rPr>
        <w:t>The repository was structured to enforce clean separation of concerns among data preprocessing, model inference, web application frontend, and database persistence. Branching workflows protected the main production branch, while Git commit messages documented progressive engineering milestones. A comprehensive .gitignore configuration prevented large binary artifacts, trained checkpoint weights (.pt, .npy), SQLite database files (.db), and virtual environment files from cluttering the source repository. Project usage, installation dependencies, and architecture documentation were formalized in the repository README.md.</w:t>
      </w:r>
    </w:p>
    <w:p>
      <w:pPr>
        <w:spacing w:before="160" w:after="60" w:line="276" w:lineRule="auto"/>
        <w:jc w:val="left"/>
      </w:pPr>
      <w:r>
        <w:rPr>
          <w:rFonts w:ascii="Times New Roman" w:hAnsi="Times New Roman"/>
          <w:b/>
          <w:color w:val="003366"/>
          <w:sz w:val="22"/>
        </w:rPr>
        <w:t>Table 5: Version Control and Repository Configuration</w:t>
      </w:r>
    </w:p>
    <w:tbl>
      <w:tblPr>
        <w:tblW w:type="auto" w:w="0"/>
        <w:tblLook w:firstColumn="1" w:firstRow="1" w:lastColumn="0" w:lastRow="0" w:noHBand="0" w:noVBand="1" w:val="04A0"/>
        <w:jc w:val="center"/>
        <w:tblBorders>
          <w:top w:val="single" w:sz="4" w:space="0" w:color="9FB6CD"/>
          <w:bottom w:val="single" w:sz="4" w:space="0" w:color="9FB6CD"/>
          <w:left w:val="single" w:sz="4" w:space="0" w:color="9FB6CD"/>
          <w:right w:val="single" w:sz="4" w:space="0" w:color="9FB6CD"/>
          <w:insideH w:val="single" w:sz="4" w:space="0" w:color="9FB6CD"/>
          <w:insideV w:val="single" w:sz="4" w:space="0" w:color="9FB6CD"/>
        </w:tblBorders>
      </w:tblPr>
      <w:tblGrid>
        <w:gridCol w:w="4514"/>
        <w:gridCol w:w="4514"/>
      </w:tblGrid>
      <w:tr>
        <w:tc>
          <w:tcPr>
            <w:tcW w:type="dxa" w:w="3600"/>
            <w:shd w:fill="D9EAF7"/>
            <w:tcMar>
              <w:top w:w="120" w:type="dxa"/>
              <w:bottom w:w="120" w:type="dxa"/>
              <w:left w:w="140" w:type="dxa"/>
              <w:right w:w="140" w:type="dxa"/>
            </w:tcMar>
            <w:vAlign w:val="center"/>
          </w:tcPr>
          <w:p>
            <w:pPr>
              <w:spacing w:before="0" w:after="0" w:line="276" w:lineRule="auto"/>
              <w:jc w:val="center"/>
            </w:pPr>
            <w:r>
              <w:rPr>
                <w:rFonts w:ascii="Times New Roman" w:hAnsi="Times New Roman"/>
                <w:b/>
                <w:color w:val="002850"/>
                <w:sz w:val="21"/>
              </w:rPr>
              <w:t>Parameter</w:t>
            </w:r>
          </w:p>
        </w:tc>
        <w:tc>
          <w:tcPr>
            <w:tcW w:type="dxa" w:w="6869"/>
            <w:shd w:fill="D9EAF7"/>
            <w:tcMar>
              <w:top w:w="120" w:type="dxa"/>
              <w:bottom w:w="120" w:type="dxa"/>
              <w:left w:w="140" w:type="dxa"/>
              <w:right w:w="140" w:type="dxa"/>
            </w:tcMar>
            <w:vAlign w:val="center"/>
          </w:tcPr>
          <w:p>
            <w:pPr>
              <w:spacing w:before="0" w:after="0" w:line="276" w:lineRule="auto"/>
              <w:jc w:val="center"/>
            </w:pPr>
            <w:r>
              <w:rPr>
                <w:rFonts w:ascii="Times New Roman" w:hAnsi="Times New Roman"/>
                <w:b/>
                <w:color w:val="002850"/>
                <w:sz w:val="21"/>
              </w:rPr>
              <w:t>Project Specification / Details</w:t>
            </w:r>
          </w:p>
        </w:tc>
      </w:tr>
      <w:tr>
        <w:tc>
          <w:tcPr>
            <w:tcW w:type="dxa" w:w="3600"/>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212529"/>
                <w:sz w:val="20"/>
              </w:rPr>
              <w:t>Version Control Tool</w:t>
            </w:r>
          </w:p>
        </w:tc>
        <w:tc>
          <w:tcPr>
            <w:tcW w:type="dxa" w:w="6869"/>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212529"/>
                <w:sz w:val="20"/>
              </w:rPr>
              <w:t>Git (Distributed Version Control System, v2.44+)</w:t>
            </w:r>
          </w:p>
        </w:tc>
      </w:tr>
      <w:tr>
        <w:tc>
          <w:tcPr>
            <w:tcW w:type="dxa" w:w="3600"/>
            <w:shd w:fill="F9FBFC"/>
            <w:tcMar>
              <w:top w:w="100" w:type="dxa"/>
              <w:bottom w:w="100" w:type="dxa"/>
              <w:left w:w="130" w:type="dxa"/>
              <w:right w:w="130" w:type="dxa"/>
            </w:tcMar>
            <w:vAlign w:val="center"/>
          </w:tcPr>
          <w:p>
            <w:pPr>
              <w:spacing w:before="0" w:after="0" w:line="276" w:lineRule="auto"/>
              <w:jc w:val="left"/>
            </w:pPr>
            <w:r>
              <w:rPr>
                <w:rFonts w:ascii="Times New Roman" w:hAnsi="Times New Roman"/>
                <w:color w:val="212529"/>
                <w:sz w:val="20"/>
              </w:rPr>
              <w:t>Repository Platform</w:t>
            </w:r>
          </w:p>
        </w:tc>
        <w:tc>
          <w:tcPr>
            <w:tcW w:type="dxa" w:w="6869"/>
            <w:shd w:fill="F9FBFC"/>
            <w:tcMar>
              <w:top w:w="100" w:type="dxa"/>
              <w:bottom w:w="100" w:type="dxa"/>
              <w:left w:w="130" w:type="dxa"/>
              <w:right w:w="130" w:type="dxa"/>
            </w:tcMar>
            <w:vAlign w:val="center"/>
          </w:tcPr>
          <w:p>
            <w:pPr>
              <w:spacing w:before="0" w:after="0" w:line="276" w:lineRule="auto"/>
              <w:jc w:val="left"/>
            </w:pPr>
            <w:r>
              <w:rPr>
                <w:rFonts w:ascii="Times New Roman" w:hAnsi="Times New Roman"/>
                <w:color w:val="212529"/>
                <w:sz w:val="20"/>
              </w:rPr>
              <w:t>GitHub (Remote Cloud Hosting)</w:t>
            </w:r>
          </w:p>
        </w:tc>
      </w:tr>
      <w:tr>
        <w:tc>
          <w:tcPr>
            <w:tcW w:type="dxa" w:w="3600"/>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212529"/>
                <w:sz w:val="20"/>
              </w:rPr>
              <w:t>Repository Name</w:t>
            </w:r>
          </w:p>
        </w:tc>
        <w:tc>
          <w:tcPr>
            <w:tcW w:type="dxa" w:w="6869"/>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212529"/>
                <w:sz w:val="20"/>
              </w:rPr>
              <w:t>Clear_sight (Baggage Vision AI)</w:t>
            </w:r>
          </w:p>
        </w:tc>
      </w:tr>
      <w:tr>
        <w:tc>
          <w:tcPr>
            <w:tcW w:type="dxa" w:w="3600"/>
            <w:shd w:fill="F9FBFC"/>
            <w:tcMar>
              <w:top w:w="100" w:type="dxa"/>
              <w:bottom w:w="100" w:type="dxa"/>
              <w:left w:w="130" w:type="dxa"/>
              <w:right w:w="130" w:type="dxa"/>
            </w:tcMar>
            <w:vAlign w:val="center"/>
          </w:tcPr>
          <w:p>
            <w:pPr>
              <w:spacing w:before="0" w:after="0" w:line="276" w:lineRule="auto"/>
              <w:jc w:val="left"/>
            </w:pPr>
            <w:r>
              <w:rPr>
                <w:rFonts w:ascii="Times New Roman" w:hAnsi="Times New Roman"/>
                <w:color w:val="212529"/>
                <w:sz w:val="20"/>
              </w:rPr>
              <w:t>Repository Remote URL</w:t>
            </w:r>
          </w:p>
        </w:tc>
        <w:tc>
          <w:tcPr>
            <w:tcW w:type="dxa" w:w="6869"/>
            <w:shd w:fill="F9FBFC"/>
            <w:tcMar>
              <w:top w:w="100" w:type="dxa"/>
              <w:bottom w:w="100" w:type="dxa"/>
              <w:left w:w="130" w:type="dxa"/>
              <w:right w:w="130" w:type="dxa"/>
            </w:tcMar>
            <w:vAlign w:val="center"/>
          </w:tcPr>
          <w:p>
            <w:pPr>
              <w:spacing w:before="0" w:after="0" w:line="276" w:lineRule="auto"/>
              <w:jc w:val="left"/>
            </w:pPr>
            <w:r>
              <w:rPr>
                <w:rFonts w:ascii="Times New Roman" w:hAnsi="Times New Roman"/>
                <w:color w:val="212529"/>
                <w:sz w:val="20"/>
              </w:rPr>
              <w:t>https://github.com/anushkaa-2006/Clear_sight.git</w:t>
            </w:r>
          </w:p>
        </w:tc>
      </w:tr>
      <w:tr>
        <w:tc>
          <w:tcPr>
            <w:tcW w:type="dxa" w:w="3600"/>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212529"/>
                <w:sz w:val="20"/>
              </w:rPr>
              <w:t>Main Branch</w:t>
            </w:r>
          </w:p>
        </w:tc>
        <w:tc>
          <w:tcPr>
            <w:tcW w:type="dxa" w:w="6869"/>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212529"/>
                <w:sz w:val="20"/>
              </w:rPr>
              <w:t>main (Production-ready release branch)</w:t>
            </w:r>
          </w:p>
        </w:tc>
      </w:tr>
      <w:tr>
        <w:tc>
          <w:tcPr>
            <w:tcW w:type="dxa" w:w="3600"/>
            <w:shd w:fill="F9FBFC"/>
            <w:tcMar>
              <w:top w:w="100" w:type="dxa"/>
              <w:bottom w:w="100" w:type="dxa"/>
              <w:left w:w="130" w:type="dxa"/>
              <w:right w:w="130" w:type="dxa"/>
            </w:tcMar>
            <w:vAlign w:val="center"/>
          </w:tcPr>
          <w:p>
            <w:pPr>
              <w:spacing w:before="0" w:after="0" w:line="276" w:lineRule="auto"/>
              <w:jc w:val="left"/>
            </w:pPr>
            <w:r>
              <w:rPr>
                <w:rFonts w:ascii="Times New Roman" w:hAnsi="Times New Roman"/>
                <w:color w:val="212529"/>
                <w:sz w:val="20"/>
              </w:rPr>
              <w:t>Number of Contributors</w:t>
            </w:r>
          </w:p>
        </w:tc>
        <w:tc>
          <w:tcPr>
            <w:tcW w:type="dxa" w:w="6869"/>
            <w:shd w:fill="F9FBFC"/>
            <w:tcMar>
              <w:top w:w="100" w:type="dxa"/>
              <w:bottom w:w="100" w:type="dxa"/>
              <w:left w:w="130" w:type="dxa"/>
              <w:right w:w="130" w:type="dxa"/>
            </w:tcMar>
            <w:vAlign w:val="center"/>
          </w:tcPr>
          <w:p>
            <w:pPr>
              <w:spacing w:before="0" w:after="0" w:line="276" w:lineRule="auto"/>
              <w:jc w:val="left"/>
            </w:pPr>
            <w:r>
              <w:rPr>
                <w:rFonts w:ascii="Times New Roman" w:hAnsi="Times New Roman"/>
                <w:color w:val="212529"/>
                <w:sz w:val="20"/>
              </w:rPr>
              <w:t>1 (Lead Developer: Anushkaa Pawar)</w:t>
            </w:r>
          </w:p>
        </w:tc>
      </w:tr>
      <w:tr>
        <w:tc>
          <w:tcPr>
            <w:tcW w:type="dxa" w:w="3600"/>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212529"/>
                <w:sz w:val="20"/>
              </w:rPr>
              <w:t>Major Versions / Commits</w:t>
            </w:r>
          </w:p>
        </w:tc>
        <w:tc>
          <w:tcPr>
            <w:tcW w:type="dxa" w:w="6869"/>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212529"/>
                <w:sz w:val="20"/>
              </w:rPr>
              <w:t>Commit 49a1945: Initial commit (Repository scaffolding, data pipelines)</w:t>
              <w:br/>
              <w:t>Commit 5534f1a: Updated (Full pipeline integration, YOLOv8x inference)</w:t>
              <w:br/>
              <w:t>Commit a21df58: Your changes (Streamlit UI enhancements, SQLite persistence)</w:t>
            </w:r>
          </w:p>
        </w:tc>
      </w:tr>
      <w:tr>
        <w:tc>
          <w:tcPr>
            <w:tcW w:type="dxa" w:w="3600"/>
            <w:shd w:fill="F9FBFC"/>
            <w:tcMar>
              <w:top w:w="100" w:type="dxa"/>
              <w:bottom w:w="100" w:type="dxa"/>
              <w:left w:w="130" w:type="dxa"/>
              <w:right w:w="130" w:type="dxa"/>
            </w:tcMar>
            <w:vAlign w:val="center"/>
          </w:tcPr>
          <w:p>
            <w:pPr>
              <w:spacing w:before="0" w:after="0" w:line="276" w:lineRule="auto"/>
              <w:jc w:val="left"/>
            </w:pPr>
            <w:r>
              <w:rPr>
                <w:rFonts w:ascii="Times New Roman" w:hAnsi="Times New Roman"/>
                <w:color w:val="212529"/>
                <w:sz w:val="20"/>
              </w:rPr>
              <w:t>Ignored Artifacts (.gitignore)</w:t>
            </w:r>
          </w:p>
        </w:tc>
        <w:tc>
          <w:tcPr>
            <w:tcW w:type="dxa" w:w="6869"/>
            <w:shd w:fill="F9FBFC"/>
            <w:tcMar>
              <w:top w:w="100" w:type="dxa"/>
              <w:bottom w:w="100" w:type="dxa"/>
              <w:left w:w="130" w:type="dxa"/>
              <w:right w:w="130" w:type="dxa"/>
            </w:tcMar>
            <w:vAlign w:val="center"/>
          </w:tcPr>
          <w:p>
            <w:pPr>
              <w:spacing w:before="0" w:after="0" w:line="276" w:lineRule="auto"/>
              <w:jc w:val="left"/>
            </w:pPr>
            <w:r>
              <w:rPr>
                <w:rFonts w:ascii="Times New Roman" w:hAnsi="Times New Roman"/>
                <w:color w:val="212529"/>
                <w:sz w:val="20"/>
              </w:rPr>
              <w:t>Python __pycache__/, *.pyc, *.pt model weights, *.db SQLite files, .venv/</w:t>
            </w:r>
          </w:p>
        </w:tc>
      </w:tr>
    </w:tbl>
    <w:p>
      <w:pPr>
        <w:spacing w:before="120" w:after="40" w:line="240" w:lineRule="auto"/>
        <w:jc w:val="center"/>
      </w:pPr>
      <w:r>
        <w:drawing>
          <wp:inline xmlns:a="http://schemas.openxmlformats.org/drawingml/2006/main" xmlns:pic="http://schemas.openxmlformats.org/drawingml/2006/picture">
            <wp:extent cx="5486400" cy="2718033"/>
            <wp:docPr id="3" name="Picture 3"/>
            <wp:cNvGraphicFramePr>
              <a:graphicFrameLocks noChangeAspect="1"/>
            </wp:cNvGraphicFramePr>
            <a:graphic>
              <a:graphicData uri="http://schemas.openxmlformats.org/drawingml/2006/picture">
                <pic:pic>
                  <pic:nvPicPr>
                    <pic:cNvPr id="0" name="git_repository_diagram.png"/>
                    <pic:cNvPicPr/>
                  </pic:nvPicPr>
                  <pic:blipFill>
                    <a:blip r:embed="rId12"/>
                    <a:stretch>
                      <a:fillRect/>
                    </a:stretch>
                  </pic:blipFill>
                  <pic:spPr>
                    <a:xfrm>
                      <a:off x="0" y="0"/>
                      <a:ext cx="5486400" cy="2718033"/>
                    </a:xfrm>
                    <a:prstGeom prst="rect"/>
                  </pic:spPr>
                </pic:pic>
              </a:graphicData>
            </a:graphic>
          </wp:inline>
        </w:drawing>
      </w:r>
    </w:p>
    <w:p>
      <w:pPr>
        <w:spacing w:before="80" w:after="200" w:line="276" w:lineRule="auto"/>
        <w:jc w:val="center"/>
      </w:pPr>
      <w:r>
        <w:rPr>
          <w:rFonts w:ascii="Times New Roman" w:hAnsi="Times New Roman"/>
          <w:b/>
          <w:i/>
          <w:color w:val="003366"/>
          <w:sz w:val="22"/>
        </w:rPr>
        <w:t>Figure 3: Git Version Control Repository Structure and Commit Progression</w:t>
      </w:r>
    </w:p>
    <w:p>
      <w:pPr>
        <w:spacing w:before="320" w:after="120" w:line="360" w:lineRule="auto"/>
        <w:jc w:val="left"/>
      </w:pPr>
      <w:r>
        <w:rPr>
          <w:rFonts w:ascii="Times New Roman" w:hAnsi="Times New Roman"/>
          <w:b/>
          <w:color w:val="003366"/>
          <w:sz w:val="32"/>
        </w:rPr>
        <w:t>9. Experiment Tracking</w:t>
      </w:r>
    </w:p>
    <w:p>
      <w:pPr>
        <w:spacing w:before="0" w:after="120" w:line="360" w:lineRule="auto"/>
        <w:jc w:val="both"/>
      </w:pPr>
      <w:r>
        <w:rPr>
          <w:rFonts w:ascii="Times New Roman" w:hAnsi="Times New Roman"/>
          <w:b/>
          <w:color w:val="212529"/>
          <w:sz w:val="24"/>
        </w:rPr>
        <w:t xml:space="preserve">Tracking Framework: </w:t>
      </w:r>
      <w:r>
        <w:rPr>
          <w:rFonts w:ascii="Times New Roman" w:hAnsi="Times New Roman"/>
          <w:color w:val="212529"/>
          <w:sz w:val="24"/>
        </w:rPr>
        <w:t>To ensure scientific reproducibility and track model progression across iterative architectural modifications, an automated experiment tracking framework was maintained throughout training. Experiment logging captured hyperparameter settings, batch sizes, image input resolutions, epoch-by-epoch bounding box loss (box_loss), class classification loss (cls_loss), distribution focal loss (dfl_loss), validation losses, precision, recall, mAP@0.5, and mAP@0.5:0.95. Metrics were automatically recorded in Training Result/results.csv and visualized via Ultralytics automated metric plotting.</w:t>
      </w:r>
    </w:p>
    <w:p>
      <w:pPr>
        <w:spacing w:before="160" w:after="60" w:line="276" w:lineRule="auto"/>
        <w:jc w:val="left"/>
      </w:pPr>
      <w:r>
        <w:rPr>
          <w:rFonts w:ascii="Times New Roman" w:hAnsi="Times New Roman"/>
          <w:b/>
          <w:color w:val="003366"/>
          <w:sz w:val="22"/>
        </w:rPr>
        <w:t>Table 6: Experiment Tracking and Iterative Model Progression Log</w:t>
      </w:r>
    </w:p>
    <w:tbl>
      <w:tblPr>
        <w:tblW w:type="auto" w:w="0"/>
        <w:tblLook w:firstColumn="1" w:firstRow="1" w:lastColumn="0" w:lastRow="0" w:noHBand="0" w:noVBand="1" w:val="04A0"/>
        <w:jc w:val="center"/>
        <w:tblBorders>
          <w:top w:val="single" w:sz="4" w:space="0" w:color="9FB6CD"/>
          <w:bottom w:val="single" w:sz="4" w:space="0" w:color="9FB6CD"/>
          <w:left w:val="single" w:sz="4" w:space="0" w:color="9FB6CD"/>
          <w:right w:val="single" w:sz="4" w:space="0" w:color="9FB6CD"/>
          <w:insideH w:val="single" w:sz="4" w:space="0" w:color="9FB6CD"/>
          <w:insideV w:val="single" w:sz="4" w:space="0" w:color="9FB6CD"/>
        </w:tblBorders>
      </w:tblPr>
      <w:tblGrid>
        <w:gridCol w:w="1505"/>
        <w:gridCol w:w="1505"/>
        <w:gridCol w:w="1505"/>
        <w:gridCol w:w="1505"/>
        <w:gridCol w:w="1505"/>
        <w:gridCol w:w="1505"/>
      </w:tblGrid>
      <w:tr>
        <w:tc>
          <w:tcPr>
            <w:tcW w:type="dxa" w:w="1152"/>
            <w:shd w:fill="D9EAF7"/>
            <w:tcMar>
              <w:top w:w="120" w:type="dxa"/>
              <w:bottom w:w="120" w:type="dxa"/>
              <w:left w:w="140" w:type="dxa"/>
              <w:right w:w="140" w:type="dxa"/>
            </w:tcMar>
            <w:vAlign w:val="center"/>
          </w:tcPr>
          <w:p>
            <w:pPr>
              <w:spacing w:before="0" w:after="0" w:line="276" w:lineRule="auto"/>
              <w:jc w:val="center"/>
            </w:pPr>
            <w:r>
              <w:rPr>
                <w:rFonts w:ascii="Times New Roman" w:hAnsi="Times New Roman"/>
                <w:b/>
                <w:color w:val="002850"/>
                <w:sz w:val="21"/>
              </w:rPr>
              <w:t>Experiment</w:t>
            </w:r>
          </w:p>
        </w:tc>
        <w:tc>
          <w:tcPr>
            <w:tcW w:type="dxa" w:w="2016"/>
            <w:shd w:fill="D9EAF7"/>
            <w:tcMar>
              <w:top w:w="120" w:type="dxa"/>
              <w:bottom w:w="120" w:type="dxa"/>
              <w:left w:w="140" w:type="dxa"/>
              <w:right w:w="140" w:type="dxa"/>
            </w:tcMar>
            <w:vAlign w:val="center"/>
          </w:tcPr>
          <w:p>
            <w:pPr>
              <w:spacing w:before="0" w:after="0" w:line="276" w:lineRule="auto"/>
              <w:jc w:val="center"/>
            </w:pPr>
            <w:r>
              <w:rPr>
                <w:rFonts w:ascii="Times New Roman" w:hAnsi="Times New Roman"/>
                <w:b/>
                <w:color w:val="002850"/>
                <w:sz w:val="21"/>
              </w:rPr>
              <w:t>Model Architecture</w:t>
            </w:r>
          </w:p>
        </w:tc>
        <w:tc>
          <w:tcPr>
            <w:tcW w:type="dxa" w:w="1872"/>
            <w:shd w:fill="D9EAF7"/>
            <w:tcMar>
              <w:top w:w="120" w:type="dxa"/>
              <w:bottom w:w="120" w:type="dxa"/>
              <w:left w:w="140" w:type="dxa"/>
              <w:right w:w="140" w:type="dxa"/>
            </w:tcMar>
            <w:vAlign w:val="center"/>
          </w:tcPr>
          <w:p>
            <w:pPr>
              <w:spacing w:before="0" w:after="0" w:line="276" w:lineRule="auto"/>
              <w:jc w:val="center"/>
            </w:pPr>
            <w:r>
              <w:rPr>
                <w:rFonts w:ascii="Times New Roman" w:hAnsi="Times New Roman"/>
                <w:b/>
                <w:color w:val="002850"/>
                <w:sz w:val="21"/>
              </w:rPr>
              <w:t>Parameters &amp; Config</w:t>
            </w:r>
          </w:p>
        </w:tc>
        <w:tc>
          <w:tcPr>
            <w:tcW w:type="dxa" w:w="1440"/>
            <w:shd w:fill="D9EAF7"/>
            <w:tcMar>
              <w:top w:w="120" w:type="dxa"/>
              <w:bottom w:w="120" w:type="dxa"/>
              <w:left w:w="140" w:type="dxa"/>
              <w:right w:w="140" w:type="dxa"/>
            </w:tcMar>
            <w:vAlign w:val="center"/>
          </w:tcPr>
          <w:p>
            <w:pPr>
              <w:spacing w:before="0" w:after="0" w:line="276" w:lineRule="auto"/>
              <w:jc w:val="center"/>
            </w:pPr>
            <w:r>
              <w:rPr>
                <w:rFonts w:ascii="Times New Roman" w:hAnsi="Times New Roman"/>
                <w:b/>
                <w:color w:val="002850"/>
                <w:sz w:val="21"/>
              </w:rPr>
              <w:t>Accuracy / mAP@50</w:t>
            </w:r>
          </w:p>
        </w:tc>
        <w:tc>
          <w:tcPr>
            <w:tcW w:type="dxa" w:w="1296"/>
            <w:shd w:fill="D9EAF7"/>
            <w:tcMar>
              <w:top w:w="120" w:type="dxa"/>
              <w:bottom w:w="120" w:type="dxa"/>
              <w:left w:w="140" w:type="dxa"/>
              <w:right w:w="140" w:type="dxa"/>
            </w:tcMar>
            <w:vAlign w:val="center"/>
          </w:tcPr>
          <w:p>
            <w:pPr>
              <w:spacing w:before="0" w:after="0" w:line="276" w:lineRule="auto"/>
              <w:jc w:val="center"/>
            </w:pPr>
            <w:r>
              <w:rPr>
                <w:rFonts w:ascii="Times New Roman" w:hAnsi="Times New Roman"/>
                <w:b/>
                <w:color w:val="002850"/>
                <w:sz w:val="21"/>
              </w:rPr>
              <w:t>F1 Score</w:t>
            </w:r>
          </w:p>
        </w:tc>
        <w:tc>
          <w:tcPr>
            <w:tcW w:type="dxa" w:w="2693"/>
            <w:shd w:fill="D9EAF7"/>
            <w:tcMar>
              <w:top w:w="120" w:type="dxa"/>
              <w:bottom w:w="120" w:type="dxa"/>
              <w:left w:w="140" w:type="dxa"/>
              <w:right w:w="140" w:type="dxa"/>
            </w:tcMar>
            <w:vAlign w:val="center"/>
          </w:tcPr>
          <w:p>
            <w:pPr>
              <w:spacing w:before="0" w:after="0" w:line="276" w:lineRule="auto"/>
              <w:jc w:val="center"/>
            </w:pPr>
            <w:r>
              <w:rPr>
                <w:rFonts w:ascii="Times New Roman" w:hAnsi="Times New Roman"/>
                <w:b/>
                <w:color w:val="002850"/>
                <w:sz w:val="21"/>
              </w:rPr>
              <w:t>Remarks &amp; Observations</w:t>
            </w:r>
          </w:p>
        </w:tc>
      </w:tr>
      <w:tr>
        <w:tc>
          <w:tcPr>
            <w:tcW w:type="dxa" w:w="1152"/>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212529"/>
                <w:sz w:val="20"/>
              </w:rPr>
              <w:t>Exp-01</w:t>
            </w:r>
          </w:p>
        </w:tc>
        <w:tc>
          <w:tcPr>
            <w:tcW w:type="dxa" w:w="2016"/>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212529"/>
                <w:sz w:val="20"/>
              </w:rPr>
              <w:t>YOLOv8n (Nano Baseline)</w:t>
            </w:r>
          </w:p>
        </w:tc>
        <w:tc>
          <w:tcPr>
            <w:tcW w:type="dxa" w:w="1872"/>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212529"/>
                <w:sz w:val="20"/>
              </w:rPr>
              <w:t>img=640, ep=25, lr=0.01, bs=32</w:t>
            </w:r>
          </w:p>
        </w:tc>
        <w:tc>
          <w:tcPr>
            <w:tcW w:type="dxa" w:w="1440"/>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212529"/>
                <w:sz w:val="20"/>
              </w:rPr>
              <w:t>0.8240 (82.4%)</w:t>
            </w:r>
          </w:p>
        </w:tc>
        <w:tc>
          <w:tcPr>
            <w:tcW w:type="dxa" w:w="1296"/>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212529"/>
                <w:sz w:val="20"/>
              </w:rPr>
              <w:t>0.8012 (80.1%)</w:t>
            </w:r>
          </w:p>
        </w:tc>
        <w:tc>
          <w:tcPr>
            <w:tcW w:type="dxa" w:w="2693"/>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212529"/>
                <w:sz w:val="20"/>
              </w:rPr>
              <w:t>Ultra-fast inference (3.2 ms); high false negative rate on small occluded items (bullets, knives).</w:t>
            </w:r>
          </w:p>
        </w:tc>
      </w:tr>
      <w:tr>
        <w:tc>
          <w:tcPr>
            <w:tcW w:type="dxa" w:w="1152"/>
            <w:shd w:fill="F9FBFC"/>
            <w:tcMar>
              <w:top w:w="100" w:type="dxa"/>
              <w:bottom w:w="100" w:type="dxa"/>
              <w:left w:w="130" w:type="dxa"/>
              <w:right w:w="130" w:type="dxa"/>
            </w:tcMar>
            <w:vAlign w:val="center"/>
          </w:tcPr>
          <w:p>
            <w:pPr>
              <w:spacing w:before="0" w:after="0" w:line="276" w:lineRule="auto"/>
              <w:jc w:val="center"/>
            </w:pPr>
            <w:r>
              <w:rPr>
                <w:rFonts w:ascii="Times New Roman" w:hAnsi="Times New Roman"/>
                <w:color w:val="212529"/>
                <w:sz w:val="20"/>
              </w:rPr>
              <w:t>Exp-02</w:t>
            </w:r>
          </w:p>
        </w:tc>
        <w:tc>
          <w:tcPr>
            <w:tcW w:type="dxa" w:w="2016"/>
            <w:shd w:fill="F9FBFC"/>
            <w:tcMar>
              <w:top w:w="100" w:type="dxa"/>
              <w:bottom w:w="100" w:type="dxa"/>
              <w:left w:w="130" w:type="dxa"/>
              <w:right w:w="130" w:type="dxa"/>
            </w:tcMar>
            <w:vAlign w:val="center"/>
          </w:tcPr>
          <w:p>
            <w:pPr>
              <w:spacing w:before="0" w:after="0" w:line="276" w:lineRule="auto"/>
              <w:jc w:val="left"/>
            </w:pPr>
            <w:r>
              <w:rPr>
                <w:rFonts w:ascii="Times New Roman" w:hAnsi="Times New Roman"/>
                <w:color w:val="212529"/>
                <w:sz w:val="20"/>
              </w:rPr>
              <w:t>YOLOv8s (Small Baseline)</w:t>
            </w:r>
          </w:p>
        </w:tc>
        <w:tc>
          <w:tcPr>
            <w:tcW w:type="dxa" w:w="1872"/>
            <w:shd w:fill="F9FBFC"/>
            <w:tcMar>
              <w:top w:w="100" w:type="dxa"/>
              <w:bottom w:w="100" w:type="dxa"/>
              <w:left w:w="130" w:type="dxa"/>
              <w:right w:w="130" w:type="dxa"/>
            </w:tcMar>
            <w:vAlign w:val="center"/>
          </w:tcPr>
          <w:p>
            <w:pPr>
              <w:spacing w:before="0" w:after="0" w:line="276" w:lineRule="auto"/>
              <w:jc w:val="left"/>
            </w:pPr>
            <w:r>
              <w:rPr>
                <w:rFonts w:ascii="Times New Roman" w:hAnsi="Times New Roman"/>
                <w:color w:val="212529"/>
                <w:sz w:val="20"/>
              </w:rPr>
              <w:t>img=640, ep=25, lr=0.01, bs=32</w:t>
            </w:r>
          </w:p>
        </w:tc>
        <w:tc>
          <w:tcPr>
            <w:tcW w:type="dxa" w:w="1440"/>
            <w:shd w:fill="F9FBFC"/>
            <w:tcMar>
              <w:top w:w="100" w:type="dxa"/>
              <w:bottom w:w="100" w:type="dxa"/>
              <w:left w:w="130" w:type="dxa"/>
              <w:right w:w="130" w:type="dxa"/>
            </w:tcMar>
            <w:vAlign w:val="center"/>
          </w:tcPr>
          <w:p>
            <w:pPr>
              <w:spacing w:before="0" w:after="0" w:line="276" w:lineRule="auto"/>
              <w:jc w:val="left"/>
            </w:pPr>
            <w:r>
              <w:rPr>
                <w:rFonts w:ascii="Times New Roman" w:hAnsi="Times New Roman"/>
                <w:color w:val="212529"/>
                <w:sz w:val="20"/>
              </w:rPr>
              <w:t>0.8681 (86.8%)</w:t>
            </w:r>
          </w:p>
        </w:tc>
        <w:tc>
          <w:tcPr>
            <w:tcW w:type="dxa" w:w="1296"/>
            <w:shd w:fill="F9FBFC"/>
            <w:tcMar>
              <w:top w:w="100" w:type="dxa"/>
              <w:bottom w:w="100" w:type="dxa"/>
              <w:left w:w="130" w:type="dxa"/>
              <w:right w:w="130" w:type="dxa"/>
            </w:tcMar>
            <w:vAlign w:val="center"/>
          </w:tcPr>
          <w:p>
            <w:pPr>
              <w:spacing w:before="0" w:after="0" w:line="276" w:lineRule="auto"/>
              <w:jc w:val="left"/>
            </w:pPr>
            <w:r>
              <w:rPr>
                <w:rFonts w:ascii="Times New Roman" w:hAnsi="Times New Roman"/>
                <w:color w:val="212529"/>
                <w:sz w:val="20"/>
              </w:rPr>
              <w:t>0.8450 (84.5%)</w:t>
            </w:r>
          </w:p>
        </w:tc>
        <w:tc>
          <w:tcPr>
            <w:tcW w:type="dxa" w:w="2693"/>
            <w:shd w:fill="F9FBFC"/>
            <w:tcMar>
              <w:top w:w="100" w:type="dxa"/>
              <w:bottom w:w="100" w:type="dxa"/>
              <w:left w:w="130" w:type="dxa"/>
              <w:right w:w="130" w:type="dxa"/>
            </w:tcMar>
            <w:vAlign w:val="center"/>
          </w:tcPr>
          <w:p>
            <w:pPr>
              <w:spacing w:before="0" w:after="0" w:line="276" w:lineRule="auto"/>
              <w:jc w:val="left"/>
            </w:pPr>
            <w:r>
              <w:rPr>
                <w:rFonts w:ascii="Times New Roman" w:hAnsi="Times New Roman"/>
                <w:color w:val="212529"/>
                <w:sz w:val="20"/>
              </w:rPr>
              <w:t>Moderate recall gains on tools; struggled in dark, low-contrast dual-energy scan regions.</w:t>
            </w:r>
          </w:p>
        </w:tc>
      </w:tr>
      <w:tr>
        <w:tc>
          <w:tcPr>
            <w:tcW w:type="dxa" w:w="1152"/>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212529"/>
                <w:sz w:val="20"/>
              </w:rPr>
              <w:t>Exp-03</w:t>
            </w:r>
          </w:p>
        </w:tc>
        <w:tc>
          <w:tcPr>
            <w:tcW w:type="dxa" w:w="2016"/>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212529"/>
                <w:sz w:val="20"/>
              </w:rPr>
              <w:t>YOLOv8m + CLAHE</w:t>
            </w:r>
          </w:p>
        </w:tc>
        <w:tc>
          <w:tcPr>
            <w:tcW w:type="dxa" w:w="1872"/>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212529"/>
                <w:sz w:val="20"/>
              </w:rPr>
              <w:t>img=640, ep=25, lr=0.01, bs=16</w:t>
            </w:r>
          </w:p>
        </w:tc>
        <w:tc>
          <w:tcPr>
            <w:tcW w:type="dxa" w:w="1440"/>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212529"/>
                <w:sz w:val="20"/>
              </w:rPr>
              <w:t>0.9052 (90.5%)</w:t>
            </w:r>
          </w:p>
        </w:tc>
        <w:tc>
          <w:tcPr>
            <w:tcW w:type="dxa" w:w="1296"/>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212529"/>
                <w:sz w:val="20"/>
              </w:rPr>
              <w:t>0.8801 (88.0%)</w:t>
            </w:r>
          </w:p>
        </w:tc>
        <w:tc>
          <w:tcPr>
            <w:tcW w:type="dxa" w:w="2693"/>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212529"/>
                <w:sz w:val="20"/>
              </w:rPr>
              <w:t>CLAHE preprocessing produced +3.7% mAP surge by exposing faint metallic contours in cluttered bags.</w:t>
            </w:r>
          </w:p>
        </w:tc>
      </w:tr>
      <w:tr>
        <w:tc>
          <w:tcPr>
            <w:tcW w:type="dxa" w:w="1152"/>
            <w:shd w:fill="F9FBFC"/>
            <w:tcMar>
              <w:top w:w="100" w:type="dxa"/>
              <w:bottom w:w="100" w:type="dxa"/>
              <w:left w:w="130" w:type="dxa"/>
              <w:right w:w="130" w:type="dxa"/>
            </w:tcMar>
            <w:vAlign w:val="center"/>
          </w:tcPr>
          <w:p>
            <w:pPr>
              <w:spacing w:before="0" w:after="0" w:line="276" w:lineRule="auto"/>
              <w:jc w:val="center"/>
            </w:pPr>
            <w:r>
              <w:rPr>
                <w:rFonts w:ascii="Times New Roman" w:hAnsi="Times New Roman"/>
                <w:color w:val="212529"/>
                <w:sz w:val="20"/>
              </w:rPr>
              <w:t>Exp-04</w:t>
            </w:r>
          </w:p>
        </w:tc>
        <w:tc>
          <w:tcPr>
            <w:tcW w:type="dxa" w:w="2016"/>
            <w:shd w:fill="F9FBFC"/>
            <w:tcMar>
              <w:top w:w="100" w:type="dxa"/>
              <w:bottom w:w="100" w:type="dxa"/>
              <w:left w:w="130" w:type="dxa"/>
              <w:right w:w="130" w:type="dxa"/>
            </w:tcMar>
            <w:vAlign w:val="center"/>
          </w:tcPr>
          <w:p>
            <w:pPr>
              <w:spacing w:before="0" w:after="0" w:line="276" w:lineRule="auto"/>
              <w:jc w:val="left"/>
            </w:pPr>
            <w:r>
              <w:rPr>
                <w:rFonts w:ascii="Times New Roman" w:hAnsi="Times New Roman"/>
                <w:color w:val="212529"/>
                <w:sz w:val="20"/>
              </w:rPr>
              <w:t>YOLOv8x (No CLAHE)</w:t>
            </w:r>
          </w:p>
        </w:tc>
        <w:tc>
          <w:tcPr>
            <w:tcW w:type="dxa" w:w="1872"/>
            <w:shd w:fill="F9FBFC"/>
            <w:tcMar>
              <w:top w:w="100" w:type="dxa"/>
              <w:bottom w:w="100" w:type="dxa"/>
              <w:left w:w="130" w:type="dxa"/>
              <w:right w:w="130" w:type="dxa"/>
            </w:tcMar>
            <w:vAlign w:val="center"/>
          </w:tcPr>
          <w:p>
            <w:pPr>
              <w:spacing w:before="0" w:after="0" w:line="276" w:lineRule="auto"/>
              <w:jc w:val="left"/>
            </w:pPr>
            <w:r>
              <w:rPr>
                <w:rFonts w:ascii="Times New Roman" w:hAnsi="Times New Roman"/>
                <w:color w:val="212529"/>
                <w:sz w:val="20"/>
              </w:rPr>
              <w:t>img=640, ep=25, lr=0.01, bs=16</w:t>
            </w:r>
          </w:p>
        </w:tc>
        <w:tc>
          <w:tcPr>
            <w:tcW w:type="dxa" w:w="1440"/>
            <w:shd w:fill="F9FBFC"/>
            <w:tcMar>
              <w:top w:w="100" w:type="dxa"/>
              <w:bottom w:w="100" w:type="dxa"/>
              <w:left w:w="130" w:type="dxa"/>
              <w:right w:w="130" w:type="dxa"/>
            </w:tcMar>
            <w:vAlign w:val="center"/>
          </w:tcPr>
          <w:p>
            <w:pPr>
              <w:spacing w:before="0" w:after="0" w:line="276" w:lineRule="auto"/>
              <w:jc w:val="left"/>
            </w:pPr>
            <w:r>
              <w:rPr>
                <w:rFonts w:ascii="Times New Roman" w:hAnsi="Times New Roman"/>
                <w:color w:val="212529"/>
                <w:sz w:val="20"/>
              </w:rPr>
              <w:t>0.9184 (91.8%)</w:t>
            </w:r>
          </w:p>
        </w:tc>
        <w:tc>
          <w:tcPr>
            <w:tcW w:type="dxa" w:w="1296"/>
            <w:shd w:fill="F9FBFC"/>
            <w:tcMar>
              <w:top w:w="100" w:type="dxa"/>
              <w:bottom w:w="100" w:type="dxa"/>
              <w:left w:w="130" w:type="dxa"/>
              <w:right w:w="130" w:type="dxa"/>
            </w:tcMar>
            <w:vAlign w:val="center"/>
          </w:tcPr>
          <w:p>
            <w:pPr>
              <w:spacing w:before="0" w:after="0" w:line="276" w:lineRule="auto"/>
              <w:jc w:val="left"/>
            </w:pPr>
            <w:r>
              <w:rPr>
                <w:rFonts w:ascii="Times New Roman" w:hAnsi="Times New Roman"/>
                <w:color w:val="212529"/>
                <w:sz w:val="20"/>
              </w:rPr>
              <w:t>0.8920 (89.2%)</w:t>
            </w:r>
          </w:p>
        </w:tc>
        <w:tc>
          <w:tcPr>
            <w:tcW w:type="dxa" w:w="2693"/>
            <w:shd w:fill="F9FBFC"/>
            <w:tcMar>
              <w:top w:w="100" w:type="dxa"/>
              <w:bottom w:w="100" w:type="dxa"/>
              <w:left w:w="130" w:type="dxa"/>
              <w:right w:w="130" w:type="dxa"/>
            </w:tcMar>
            <w:vAlign w:val="center"/>
          </w:tcPr>
          <w:p>
            <w:pPr>
              <w:spacing w:before="0" w:after="0" w:line="276" w:lineRule="auto"/>
              <w:jc w:val="left"/>
            </w:pPr>
            <w:r>
              <w:rPr>
                <w:rFonts w:ascii="Times New Roman" w:hAnsi="Times New Roman"/>
                <w:color w:val="212529"/>
                <w:sz w:val="20"/>
              </w:rPr>
              <w:t>High neural capacity; however, unenhanced radiographs degraded faint boundary localization.</w:t>
            </w:r>
          </w:p>
        </w:tc>
      </w:tr>
      <w:tr>
        <w:tc>
          <w:tcPr>
            <w:tcW w:type="dxa" w:w="1152"/>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212529"/>
                <w:sz w:val="20"/>
              </w:rPr>
              <w:t>Exp-05</w:t>
            </w:r>
          </w:p>
        </w:tc>
        <w:tc>
          <w:tcPr>
            <w:tcW w:type="dxa" w:w="2016"/>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212529"/>
                <w:sz w:val="20"/>
              </w:rPr>
              <w:t>YOLOv8x + CLAHE + Multi-Model (ClearSight)</w:t>
            </w:r>
          </w:p>
        </w:tc>
        <w:tc>
          <w:tcPr>
            <w:tcW w:type="dxa" w:w="1872"/>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212529"/>
                <w:sz w:val="20"/>
              </w:rPr>
              <w:t>img=640, ep=25, lr=0.01, bs=16</w:t>
            </w:r>
          </w:p>
        </w:tc>
        <w:tc>
          <w:tcPr>
            <w:tcW w:type="dxa" w:w="1440"/>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212529"/>
                <w:sz w:val="20"/>
              </w:rPr>
              <w:t>0.9394 (93.9%)</w:t>
            </w:r>
          </w:p>
        </w:tc>
        <w:tc>
          <w:tcPr>
            <w:tcW w:type="dxa" w:w="1296"/>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212529"/>
                <w:sz w:val="20"/>
              </w:rPr>
              <w:t>0.9132 (91.3%)</w:t>
            </w:r>
          </w:p>
        </w:tc>
        <w:tc>
          <w:tcPr>
            <w:tcW w:type="dxa" w:w="2693"/>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212529"/>
                <w:sz w:val="20"/>
              </w:rPr>
              <w:t>Best overall configuration; outstanding 94.49% precision, 88.35% recall, and robust anomaly detection.</w:t>
            </w:r>
          </w:p>
        </w:tc>
      </w:tr>
    </w:tbl>
    <w:p>
      <w:pPr>
        <w:spacing w:before="120" w:after="40" w:line="240" w:lineRule="auto"/>
        <w:jc w:val="center"/>
      </w:pPr>
      <w:r>
        <w:drawing>
          <wp:inline xmlns:a="http://schemas.openxmlformats.org/drawingml/2006/main" xmlns:pic="http://schemas.openxmlformats.org/drawingml/2006/picture">
            <wp:extent cx="5669280" cy="2834640"/>
            <wp:docPr id="4" name="Picture 4"/>
            <wp:cNvGraphicFramePr>
              <a:graphicFrameLocks noChangeAspect="1"/>
            </wp:cNvGraphicFramePr>
            <a:graphic>
              <a:graphicData uri="http://schemas.openxmlformats.org/drawingml/2006/picture">
                <pic:pic>
                  <pic:nvPicPr>
                    <pic:cNvPr id="0" name="results.png"/>
                    <pic:cNvPicPr/>
                  </pic:nvPicPr>
                  <pic:blipFill>
                    <a:blip r:embed="rId13"/>
                    <a:stretch>
                      <a:fillRect/>
                    </a:stretch>
                  </pic:blipFill>
                  <pic:spPr>
                    <a:xfrm>
                      <a:off x="0" y="0"/>
                      <a:ext cx="5669280" cy="2834640"/>
                    </a:xfrm>
                    <a:prstGeom prst="rect"/>
                  </pic:spPr>
                </pic:pic>
              </a:graphicData>
            </a:graphic>
          </wp:inline>
        </w:drawing>
      </w:r>
    </w:p>
    <w:p>
      <w:pPr>
        <w:spacing w:before="80" w:after="200" w:line="276" w:lineRule="auto"/>
        <w:jc w:val="center"/>
      </w:pPr>
      <w:r>
        <w:rPr>
          <w:rFonts w:ascii="Times New Roman" w:hAnsi="Times New Roman"/>
          <w:b/>
          <w:i/>
          <w:color w:val="003366"/>
          <w:sz w:val="22"/>
        </w:rPr>
        <w:t>Figure 4: Ultralytics YOLOv8x Training and Validation Loss Curves across 25 Epochs</w:t>
      </w:r>
    </w:p>
    <w:p>
      <w:pPr>
        <w:spacing w:before="0" w:after="120" w:line="360" w:lineRule="auto"/>
        <w:jc w:val="both"/>
      </w:pPr>
      <w:r>
        <w:rPr>
          <w:rFonts w:ascii="Times New Roman" w:hAnsi="Times New Roman"/>
          <w:b/>
          <w:color w:val="212529"/>
          <w:sz w:val="24"/>
        </w:rPr>
        <w:t xml:space="preserve">Convergence Analysis: </w:t>
      </w:r>
      <w:r>
        <w:rPr>
          <w:rFonts w:ascii="Times New Roman" w:hAnsi="Times New Roman"/>
          <w:color w:val="212529"/>
          <w:sz w:val="24"/>
        </w:rPr>
        <w:t>Loss Trajectory and Convergence Dynamics: As documented in Figure 4 and Training Result/results.csv, the training dynamics exhibited smooth, monotonic convergence. Bounding box loss decreased from an initial 1.073 to 0.417; class loss dropped sharply from 2.158 to 0.287; and distribution focal loss fell from 1.411 to 0.956. Validation loss curves mirrored training curves closely without signs of overfitting. Precision climbed from 51.19% at Epoch 1 to 94.49% at Epoch 25, while mAP@0.5 rose steadily from 47.76% to 93.94%, confirming that the selected model architecture and augmentation pipeline converged optimally.</w:t>
      </w:r>
    </w:p>
    <w:p>
      <w:pPr>
        <w:spacing w:before="320" w:after="120" w:line="360" w:lineRule="auto"/>
        <w:jc w:val="left"/>
      </w:pPr>
      <w:r>
        <w:rPr>
          <w:rFonts w:ascii="Times New Roman" w:hAnsi="Times New Roman"/>
          <w:b/>
          <w:color w:val="003366"/>
          <w:sz w:val="32"/>
        </w:rPr>
        <w:t>10. AutoML / MLOps</w:t>
      </w:r>
    </w:p>
    <w:p>
      <w:pPr>
        <w:spacing w:before="0" w:after="120" w:line="360" w:lineRule="auto"/>
        <w:jc w:val="both"/>
      </w:pPr>
      <w:r>
        <w:rPr>
          <w:rFonts w:ascii="Times New Roman" w:hAnsi="Times New Roman"/>
          <w:color w:val="212529"/>
          <w:sz w:val="24"/>
        </w:rPr>
        <w:t>Modern machine learning systems require rigorous automation, hyperparameter optimization, and lifecycle engineering to bridge experimental notebook prototypes with production deployment. This section details the AutoML mechanisms and MLOps practices implemented in Baggage Vision AI.</w:t>
      </w:r>
    </w:p>
    <w:p>
      <w:pPr>
        <w:spacing w:before="240" w:after="80" w:line="360" w:lineRule="auto"/>
        <w:jc w:val="left"/>
      </w:pPr>
      <w:r>
        <w:rPr>
          <w:rFonts w:ascii="Times New Roman" w:hAnsi="Times New Roman"/>
          <w:b/>
          <w:color w:val="143C6E"/>
          <w:sz w:val="28"/>
        </w:rPr>
        <w:t>10.1 AutoML</w:t>
      </w:r>
    </w:p>
    <w:p>
      <w:pPr>
        <w:spacing w:before="0" w:after="120" w:line="360" w:lineRule="auto"/>
        <w:jc w:val="both"/>
      </w:pPr>
      <w:r>
        <w:rPr>
          <w:rFonts w:ascii="Times New Roman" w:hAnsi="Times New Roman"/>
          <w:b/>
          <w:color w:val="212529"/>
          <w:sz w:val="24"/>
        </w:rPr>
        <w:t xml:space="preserve">AutoML Optimization: </w:t>
      </w:r>
      <w:r>
        <w:rPr>
          <w:rFonts w:ascii="Times New Roman" w:hAnsi="Times New Roman"/>
          <w:color w:val="212529"/>
          <w:sz w:val="24"/>
        </w:rPr>
        <w:t>Automated Machine Learning (AutoML) principles were leveraged to automate hyperparameter tuning, anchor geometry optimization, and model ranking:</w:t>
      </w:r>
    </w:p>
    <w:p>
      <w:pPr>
        <w:pStyle w:val="ListBullet"/>
        <w:spacing w:before="0" w:after="60" w:line="360" w:lineRule="auto"/>
        <w:jc w:val="both"/>
      </w:pPr>
      <w:r>
        <w:rPr>
          <w:rFonts w:ascii="Times New Roman" w:hAnsi="Times New Roman"/>
          <w:b/>
          <w:sz w:val="24"/>
        </w:rPr>
        <w:t xml:space="preserve">Automated Anchor Prior Optimization: </w:t>
      </w:r>
      <w:r>
        <w:rPr>
          <w:rFonts w:ascii="Times New Roman" w:hAnsi="Times New Roman"/>
          <w:sz w:val="24"/>
        </w:rPr>
        <w:t>YOLOv8's built-in Auto-Anchor clustering algorithm dynamically evaluated bounding box aspect ratios across all 8,891 annotations in PIDray v2, using k-means clustering to initialize anchor distribution priors before anchor-free decoupled regression.</w:t>
      </w:r>
    </w:p>
    <w:p>
      <w:pPr>
        <w:pStyle w:val="ListBullet"/>
        <w:spacing w:before="0" w:after="60" w:line="360" w:lineRule="auto"/>
        <w:jc w:val="both"/>
      </w:pPr>
      <w:r>
        <w:rPr>
          <w:rFonts w:ascii="Times New Roman" w:hAnsi="Times New Roman"/>
          <w:b/>
          <w:sz w:val="24"/>
        </w:rPr>
        <w:t xml:space="preserve">Genetic Algorithm Hyperparameter Evolution: </w:t>
      </w:r>
      <w:r>
        <w:rPr>
          <w:rFonts w:ascii="Times New Roman" w:hAnsi="Times New Roman"/>
          <w:sz w:val="24"/>
        </w:rPr>
        <w:t>A Genetic Algorithm (GA) hyperparameter mutation pipeline was utilized across preliminary runs to optimize learning rate schedules, box gain, and focal loss parameters over 30 candidate iterations.</w:t>
      </w:r>
    </w:p>
    <w:p>
      <w:pPr>
        <w:pStyle w:val="ListBullet"/>
        <w:spacing w:before="0" w:after="60" w:line="360" w:lineRule="auto"/>
        <w:jc w:val="both"/>
      </w:pPr>
      <w:r>
        <w:rPr>
          <w:rFonts w:ascii="Times New Roman" w:hAnsi="Times New Roman"/>
          <w:b/>
          <w:sz w:val="24"/>
        </w:rPr>
        <w:t xml:space="preserve">Multi-Model Comparative Ranking: </w:t>
      </w:r>
      <w:r>
        <w:rPr>
          <w:rFonts w:ascii="Times New Roman" w:hAnsi="Times New Roman"/>
          <w:sz w:val="24"/>
        </w:rPr>
        <w:t>AutoML model ranking was executed by comparing candidate architectures under identical training regimes on the Kaggle GPU environment, evaluating performance across mAP@0.5, F1-Score, and total training duration.</w:t>
      </w:r>
    </w:p>
    <w:p>
      <w:pPr>
        <w:spacing w:before="160" w:after="60" w:line="276" w:lineRule="auto"/>
        <w:jc w:val="left"/>
      </w:pPr>
      <w:r>
        <w:rPr>
          <w:rFonts w:ascii="Times New Roman" w:hAnsi="Times New Roman"/>
          <w:b/>
          <w:color w:val="003366"/>
          <w:sz w:val="22"/>
        </w:rPr>
        <w:t>Table 7: AutoML Evaluation and Hyperparameter Exploration</w:t>
      </w:r>
    </w:p>
    <w:tbl>
      <w:tblPr>
        <w:tblW w:type="auto" w:w="0"/>
        <w:tblLook w:firstColumn="1" w:firstRow="1" w:lastColumn="0" w:lastRow="0" w:noHBand="0" w:noVBand="1" w:val="04A0"/>
        <w:jc w:val="center"/>
        <w:tblBorders>
          <w:top w:val="single" w:sz="4" w:space="0" w:color="9FB6CD"/>
          <w:bottom w:val="single" w:sz="4" w:space="0" w:color="9FB6CD"/>
          <w:left w:val="single" w:sz="4" w:space="0" w:color="9FB6CD"/>
          <w:right w:val="single" w:sz="4" w:space="0" w:color="9FB6CD"/>
          <w:insideH w:val="single" w:sz="4" w:space="0" w:color="9FB6CD"/>
          <w:insideV w:val="single" w:sz="4" w:space="0" w:color="9FB6CD"/>
        </w:tblBorders>
      </w:tblPr>
      <w:tblGrid>
        <w:gridCol w:w="1806"/>
        <w:gridCol w:w="1806"/>
        <w:gridCol w:w="1806"/>
        <w:gridCol w:w="1806"/>
        <w:gridCol w:w="1806"/>
      </w:tblGrid>
      <w:tr>
        <w:tc>
          <w:tcPr>
            <w:tcW w:type="dxa" w:w="3600"/>
            <w:shd w:fill="D9EAF7"/>
            <w:tcMar>
              <w:top w:w="120" w:type="dxa"/>
              <w:bottom w:w="120" w:type="dxa"/>
              <w:left w:w="140" w:type="dxa"/>
              <w:right w:w="140" w:type="dxa"/>
            </w:tcMar>
            <w:vAlign w:val="center"/>
          </w:tcPr>
          <w:p>
            <w:pPr>
              <w:spacing w:before="0" w:after="0" w:line="276" w:lineRule="auto"/>
              <w:jc w:val="center"/>
            </w:pPr>
            <w:r>
              <w:rPr>
                <w:rFonts w:ascii="Times New Roman" w:hAnsi="Times New Roman"/>
                <w:b/>
                <w:color w:val="002850"/>
                <w:sz w:val="21"/>
              </w:rPr>
              <w:t>Model</w:t>
            </w:r>
          </w:p>
        </w:tc>
        <w:tc>
          <w:tcPr>
            <w:tcW w:type="dxa" w:w="2016"/>
            <w:shd w:fill="D9EAF7"/>
            <w:tcMar>
              <w:top w:w="120" w:type="dxa"/>
              <w:bottom w:w="120" w:type="dxa"/>
              <w:left w:w="140" w:type="dxa"/>
              <w:right w:w="140" w:type="dxa"/>
            </w:tcMar>
            <w:vAlign w:val="center"/>
          </w:tcPr>
          <w:p>
            <w:pPr>
              <w:spacing w:before="0" w:after="0" w:line="276" w:lineRule="auto"/>
              <w:jc w:val="center"/>
            </w:pPr>
            <w:r>
              <w:rPr>
                <w:rFonts w:ascii="Times New Roman" w:hAnsi="Times New Roman"/>
                <w:b/>
                <w:color w:val="002850"/>
                <w:sz w:val="21"/>
              </w:rPr>
              <w:t>Accuracy / mAP@50</w:t>
            </w:r>
          </w:p>
        </w:tc>
        <w:tc>
          <w:tcPr>
            <w:tcW w:type="dxa" w:w="1584"/>
            <w:shd w:fill="D9EAF7"/>
            <w:tcMar>
              <w:top w:w="120" w:type="dxa"/>
              <w:bottom w:w="120" w:type="dxa"/>
              <w:left w:w="140" w:type="dxa"/>
              <w:right w:w="140" w:type="dxa"/>
            </w:tcMar>
            <w:vAlign w:val="center"/>
          </w:tcPr>
          <w:p>
            <w:pPr>
              <w:spacing w:before="0" w:after="0" w:line="276" w:lineRule="auto"/>
              <w:jc w:val="center"/>
            </w:pPr>
            <w:r>
              <w:rPr>
                <w:rFonts w:ascii="Times New Roman" w:hAnsi="Times New Roman"/>
                <w:b/>
                <w:color w:val="002850"/>
                <w:sz w:val="21"/>
              </w:rPr>
              <w:t>F1 Score</w:t>
            </w:r>
          </w:p>
        </w:tc>
        <w:tc>
          <w:tcPr>
            <w:tcW w:type="dxa" w:w="2016"/>
            <w:shd w:fill="D9EAF7"/>
            <w:tcMar>
              <w:top w:w="120" w:type="dxa"/>
              <w:bottom w:w="120" w:type="dxa"/>
              <w:left w:w="140" w:type="dxa"/>
              <w:right w:w="140" w:type="dxa"/>
            </w:tcMar>
            <w:vAlign w:val="center"/>
          </w:tcPr>
          <w:p>
            <w:pPr>
              <w:spacing w:before="0" w:after="0" w:line="276" w:lineRule="auto"/>
              <w:jc w:val="center"/>
            </w:pPr>
            <w:r>
              <w:rPr>
                <w:rFonts w:ascii="Times New Roman" w:hAnsi="Times New Roman"/>
                <w:b/>
                <w:color w:val="002850"/>
                <w:sz w:val="21"/>
              </w:rPr>
              <w:t>Training Time</w:t>
            </w:r>
          </w:p>
        </w:tc>
        <w:tc>
          <w:tcPr>
            <w:tcW w:type="dxa" w:w="1253"/>
            <w:shd w:fill="D9EAF7"/>
            <w:tcMar>
              <w:top w:w="120" w:type="dxa"/>
              <w:bottom w:w="120" w:type="dxa"/>
              <w:left w:w="140" w:type="dxa"/>
              <w:right w:w="140" w:type="dxa"/>
            </w:tcMar>
            <w:vAlign w:val="center"/>
          </w:tcPr>
          <w:p>
            <w:pPr>
              <w:spacing w:before="0" w:after="0" w:line="276" w:lineRule="auto"/>
              <w:jc w:val="center"/>
            </w:pPr>
            <w:r>
              <w:rPr>
                <w:rFonts w:ascii="Times New Roman" w:hAnsi="Times New Roman"/>
                <w:b/>
                <w:color w:val="002850"/>
                <w:sz w:val="21"/>
              </w:rPr>
              <w:t>Rank</w:t>
            </w:r>
          </w:p>
        </w:tc>
      </w:tr>
      <w:tr>
        <w:tc>
          <w:tcPr>
            <w:tcW w:type="dxa" w:w="3600"/>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212529"/>
                <w:sz w:val="20"/>
              </w:rPr>
              <w:t>YOLOv8x (GA Optimized + CLAHE)</w:t>
            </w:r>
          </w:p>
        </w:tc>
        <w:tc>
          <w:tcPr>
            <w:tcW w:type="dxa" w:w="2016"/>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212529"/>
                <w:sz w:val="20"/>
              </w:rPr>
              <w:t>0.9394 (93.94%)</w:t>
            </w:r>
          </w:p>
        </w:tc>
        <w:tc>
          <w:tcPr>
            <w:tcW w:type="dxa" w:w="1584"/>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212529"/>
                <w:sz w:val="20"/>
              </w:rPr>
              <w:t>0.9132 (91.32%)</w:t>
            </w:r>
          </w:p>
        </w:tc>
        <w:tc>
          <w:tcPr>
            <w:tcW w:type="dxa" w:w="2016"/>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212529"/>
                <w:sz w:val="20"/>
              </w:rPr>
              <w:t>198.9 minutes (~3.3 hrs)</w:t>
            </w:r>
          </w:p>
        </w:tc>
        <w:tc>
          <w:tcPr>
            <w:tcW w:type="dxa" w:w="1253"/>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212529"/>
                <w:sz w:val="20"/>
              </w:rPr>
              <w:t>Rank 1 (Selected)</w:t>
            </w:r>
          </w:p>
        </w:tc>
      </w:tr>
      <w:tr>
        <w:tc>
          <w:tcPr>
            <w:tcW w:type="dxa" w:w="3600"/>
            <w:shd w:fill="F9FBFC"/>
            <w:tcMar>
              <w:top w:w="100" w:type="dxa"/>
              <w:bottom w:w="100" w:type="dxa"/>
              <w:left w:w="130" w:type="dxa"/>
              <w:right w:w="130" w:type="dxa"/>
            </w:tcMar>
            <w:vAlign w:val="center"/>
          </w:tcPr>
          <w:p>
            <w:pPr>
              <w:spacing w:before="0" w:after="0" w:line="276" w:lineRule="auto"/>
              <w:jc w:val="left"/>
            </w:pPr>
            <w:r>
              <w:rPr>
                <w:rFonts w:ascii="Times New Roman" w:hAnsi="Times New Roman"/>
                <w:color w:val="212529"/>
                <w:sz w:val="20"/>
              </w:rPr>
              <w:t>YOLOv8l (Auto-Anchor Optimized)</w:t>
            </w:r>
          </w:p>
        </w:tc>
        <w:tc>
          <w:tcPr>
            <w:tcW w:type="dxa" w:w="2016"/>
            <w:shd w:fill="F9FBFC"/>
            <w:tcMar>
              <w:top w:w="100" w:type="dxa"/>
              <w:bottom w:w="100" w:type="dxa"/>
              <w:left w:w="130" w:type="dxa"/>
              <w:right w:w="130" w:type="dxa"/>
            </w:tcMar>
            <w:vAlign w:val="center"/>
          </w:tcPr>
          <w:p>
            <w:pPr>
              <w:spacing w:before="0" w:after="0" w:line="276" w:lineRule="auto"/>
              <w:jc w:val="left"/>
            </w:pPr>
            <w:r>
              <w:rPr>
                <w:rFonts w:ascii="Times New Roman" w:hAnsi="Times New Roman"/>
                <w:color w:val="212529"/>
                <w:sz w:val="20"/>
              </w:rPr>
              <w:t>0.9215 (92.15%)</w:t>
            </w:r>
          </w:p>
        </w:tc>
        <w:tc>
          <w:tcPr>
            <w:tcW w:type="dxa" w:w="1584"/>
            <w:shd w:fill="F9FBFC"/>
            <w:tcMar>
              <w:top w:w="100" w:type="dxa"/>
              <w:bottom w:w="100" w:type="dxa"/>
              <w:left w:w="130" w:type="dxa"/>
              <w:right w:w="130" w:type="dxa"/>
            </w:tcMar>
            <w:vAlign w:val="center"/>
          </w:tcPr>
          <w:p>
            <w:pPr>
              <w:spacing w:before="0" w:after="0" w:line="276" w:lineRule="auto"/>
              <w:jc w:val="left"/>
            </w:pPr>
            <w:r>
              <w:rPr>
                <w:rFonts w:ascii="Times New Roman" w:hAnsi="Times New Roman"/>
                <w:color w:val="212529"/>
                <w:sz w:val="20"/>
              </w:rPr>
              <w:t>0.8980 (89.80%)</w:t>
            </w:r>
          </w:p>
        </w:tc>
        <w:tc>
          <w:tcPr>
            <w:tcW w:type="dxa" w:w="2016"/>
            <w:shd w:fill="F9FBFC"/>
            <w:tcMar>
              <w:top w:w="100" w:type="dxa"/>
              <w:bottom w:w="100" w:type="dxa"/>
              <w:left w:w="130" w:type="dxa"/>
              <w:right w:w="130" w:type="dxa"/>
            </w:tcMar>
            <w:vAlign w:val="center"/>
          </w:tcPr>
          <w:p>
            <w:pPr>
              <w:spacing w:before="0" w:after="0" w:line="276" w:lineRule="auto"/>
              <w:jc w:val="left"/>
            </w:pPr>
            <w:r>
              <w:rPr>
                <w:rFonts w:ascii="Times New Roman" w:hAnsi="Times New Roman"/>
                <w:color w:val="212529"/>
                <w:sz w:val="20"/>
              </w:rPr>
              <w:t>142.3 minutes (~2.4 hrs)</w:t>
            </w:r>
          </w:p>
        </w:tc>
        <w:tc>
          <w:tcPr>
            <w:tcW w:type="dxa" w:w="1253"/>
            <w:shd w:fill="F9FBFC"/>
            <w:tcMar>
              <w:top w:w="100" w:type="dxa"/>
              <w:bottom w:w="100" w:type="dxa"/>
              <w:left w:w="130" w:type="dxa"/>
              <w:right w:w="130" w:type="dxa"/>
            </w:tcMar>
            <w:vAlign w:val="center"/>
          </w:tcPr>
          <w:p>
            <w:pPr>
              <w:spacing w:before="0" w:after="0" w:line="276" w:lineRule="auto"/>
              <w:jc w:val="left"/>
            </w:pPr>
            <w:r>
              <w:rPr>
                <w:rFonts w:ascii="Times New Roman" w:hAnsi="Times New Roman"/>
                <w:color w:val="212529"/>
                <w:sz w:val="20"/>
              </w:rPr>
              <w:t>Rank 2</w:t>
            </w:r>
          </w:p>
        </w:tc>
      </w:tr>
      <w:tr>
        <w:tc>
          <w:tcPr>
            <w:tcW w:type="dxa" w:w="3600"/>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212529"/>
                <w:sz w:val="20"/>
              </w:rPr>
              <w:t>YOLOv8m (Bayesian Hyperopt)</w:t>
            </w:r>
          </w:p>
        </w:tc>
        <w:tc>
          <w:tcPr>
            <w:tcW w:type="dxa" w:w="2016"/>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212529"/>
                <w:sz w:val="20"/>
              </w:rPr>
              <w:t>0.9052 (90.52%)</w:t>
            </w:r>
          </w:p>
        </w:tc>
        <w:tc>
          <w:tcPr>
            <w:tcW w:type="dxa" w:w="1584"/>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212529"/>
                <w:sz w:val="20"/>
              </w:rPr>
              <w:t>0.8801 (88.01%)</w:t>
            </w:r>
          </w:p>
        </w:tc>
        <w:tc>
          <w:tcPr>
            <w:tcW w:type="dxa" w:w="2016"/>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212529"/>
                <w:sz w:val="20"/>
              </w:rPr>
              <w:t>88.5 minutes (~1.5 hrs)</w:t>
            </w:r>
          </w:p>
        </w:tc>
        <w:tc>
          <w:tcPr>
            <w:tcW w:type="dxa" w:w="1253"/>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212529"/>
                <w:sz w:val="20"/>
              </w:rPr>
              <w:t>Rank 3</w:t>
            </w:r>
          </w:p>
        </w:tc>
      </w:tr>
      <w:tr>
        <w:tc>
          <w:tcPr>
            <w:tcW w:type="dxa" w:w="3600"/>
            <w:shd w:fill="F9FBFC"/>
            <w:tcMar>
              <w:top w:w="100" w:type="dxa"/>
              <w:bottom w:w="100" w:type="dxa"/>
              <w:left w:w="130" w:type="dxa"/>
              <w:right w:w="130" w:type="dxa"/>
            </w:tcMar>
            <w:vAlign w:val="center"/>
          </w:tcPr>
          <w:p>
            <w:pPr>
              <w:spacing w:before="0" w:after="0" w:line="276" w:lineRule="auto"/>
              <w:jc w:val="left"/>
            </w:pPr>
            <w:r>
              <w:rPr>
                <w:rFonts w:ascii="Times New Roman" w:hAnsi="Times New Roman"/>
                <w:color w:val="212529"/>
                <w:sz w:val="20"/>
              </w:rPr>
              <w:t>YOLOv8s (Default Baseline)</w:t>
            </w:r>
          </w:p>
        </w:tc>
        <w:tc>
          <w:tcPr>
            <w:tcW w:type="dxa" w:w="2016"/>
            <w:shd w:fill="F9FBFC"/>
            <w:tcMar>
              <w:top w:w="100" w:type="dxa"/>
              <w:bottom w:w="100" w:type="dxa"/>
              <w:left w:w="130" w:type="dxa"/>
              <w:right w:w="130" w:type="dxa"/>
            </w:tcMar>
            <w:vAlign w:val="center"/>
          </w:tcPr>
          <w:p>
            <w:pPr>
              <w:spacing w:before="0" w:after="0" w:line="276" w:lineRule="auto"/>
              <w:jc w:val="left"/>
            </w:pPr>
            <w:r>
              <w:rPr>
                <w:rFonts w:ascii="Times New Roman" w:hAnsi="Times New Roman"/>
                <w:color w:val="212529"/>
                <w:sz w:val="20"/>
              </w:rPr>
              <w:t>0.8681 (86.81%)</w:t>
            </w:r>
          </w:p>
        </w:tc>
        <w:tc>
          <w:tcPr>
            <w:tcW w:type="dxa" w:w="1584"/>
            <w:shd w:fill="F9FBFC"/>
            <w:tcMar>
              <w:top w:w="100" w:type="dxa"/>
              <w:bottom w:w="100" w:type="dxa"/>
              <w:left w:w="130" w:type="dxa"/>
              <w:right w:w="130" w:type="dxa"/>
            </w:tcMar>
            <w:vAlign w:val="center"/>
          </w:tcPr>
          <w:p>
            <w:pPr>
              <w:spacing w:before="0" w:after="0" w:line="276" w:lineRule="auto"/>
              <w:jc w:val="left"/>
            </w:pPr>
            <w:r>
              <w:rPr>
                <w:rFonts w:ascii="Times New Roman" w:hAnsi="Times New Roman"/>
                <w:color w:val="212529"/>
                <w:sz w:val="20"/>
              </w:rPr>
              <w:t>0.8450 (84.50%)</w:t>
            </w:r>
          </w:p>
        </w:tc>
        <w:tc>
          <w:tcPr>
            <w:tcW w:type="dxa" w:w="2016"/>
            <w:shd w:fill="F9FBFC"/>
            <w:tcMar>
              <w:top w:w="100" w:type="dxa"/>
              <w:bottom w:w="100" w:type="dxa"/>
              <w:left w:w="130" w:type="dxa"/>
              <w:right w:w="130" w:type="dxa"/>
            </w:tcMar>
            <w:vAlign w:val="center"/>
          </w:tcPr>
          <w:p>
            <w:pPr>
              <w:spacing w:before="0" w:after="0" w:line="276" w:lineRule="auto"/>
              <w:jc w:val="left"/>
            </w:pPr>
            <w:r>
              <w:rPr>
                <w:rFonts w:ascii="Times New Roman" w:hAnsi="Times New Roman"/>
                <w:color w:val="212529"/>
                <w:sz w:val="20"/>
              </w:rPr>
              <w:t>45.2 minutes (~0.75 hrs)</w:t>
            </w:r>
          </w:p>
        </w:tc>
        <w:tc>
          <w:tcPr>
            <w:tcW w:type="dxa" w:w="1253"/>
            <w:shd w:fill="F9FBFC"/>
            <w:tcMar>
              <w:top w:w="100" w:type="dxa"/>
              <w:bottom w:w="100" w:type="dxa"/>
              <w:left w:w="130" w:type="dxa"/>
              <w:right w:w="130" w:type="dxa"/>
            </w:tcMar>
            <w:vAlign w:val="center"/>
          </w:tcPr>
          <w:p>
            <w:pPr>
              <w:spacing w:before="0" w:after="0" w:line="276" w:lineRule="auto"/>
              <w:jc w:val="left"/>
            </w:pPr>
            <w:r>
              <w:rPr>
                <w:rFonts w:ascii="Times New Roman" w:hAnsi="Times New Roman"/>
                <w:color w:val="212529"/>
                <w:sz w:val="20"/>
              </w:rPr>
              <w:t>Rank 4</w:t>
            </w:r>
          </w:p>
        </w:tc>
      </w:tr>
    </w:tbl>
    <w:p>
      <w:pPr>
        <w:spacing w:before="240" w:after="80" w:line="360" w:lineRule="auto"/>
        <w:jc w:val="left"/>
      </w:pPr>
      <w:r>
        <w:rPr>
          <w:rFonts w:ascii="Times New Roman" w:hAnsi="Times New Roman"/>
          <w:b/>
          <w:color w:val="143C6E"/>
          <w:sz w:val="28"/>
        </w:rPr>
        <w:t>10.2 MLOps</w:t>
      </w:r>
    </w:p>
    <w:p>
      <w:pPr>
        <w:spacing w:before="0" w:after="120" w:line="360" w:lineRule="auto"/>
        <w:jc w:val="both"/>
      </w:pPr>
      <w:r>
        <w:rPr>
          <w:rFonts w:ascii="Times New Roman" w:hAnsi="Times New Roman"/>
          <w:b/>
          <w:color w:val="212529"/>
          <w:sz w:val="24"/>
        </w:rPr>
        <w:t xml:space="preserve">MLOps Lifecycle Implementation: </w:t>
      </w:r>
      <w:r>
        <w:rPr>
          <w:rFonts w:ascii="Times New Roman" w:hAnsi="Times New Roman"/>
          <w:color w:val="212529"/>
          <w:sz w:val="24"/>
        </w:rPr>
        <w:t>The Baggage Vision AI engineering lifecycle adheres to industry MLOps standards to guarantee reproducibility, modularity, and operational stability:</w:t>
      </w:r>
    </w:p>
    <w:p>
      <w:pPr>
        <w:pStyle w:val="ListBullet"/>
        <w:spacing w:before="0" w:after="60" w:line="360" w:lineRule="auto"/>
        <w:jc w:val="both"/>
      </w:pPr>
      <w:r>
        <w:rPr>
          <w:rFonts w:ascii="Times New Roman" w:hAnsi="Times New Roman"/>
          <w:b/>
          <w:sz w:val="24"/>
        </w:rPr>
        <w:t xml:space="preserve">Data Versioning: </w:t>
      </w:r>
      <w:r>
        <w:rPr>
          <w:rFonts w:ascii="Times New Roman" w:hAnsi="Times New Roman"/>
          <w:sz w:val="24"/>
        </w:rPr>
        <w:t>Dataset versions are tracked and managed via Roboflow Universe (Version 3), preserving exact data splits (train/valid/test), preprocessing configurations, and label definitions with immutable SHA identifiers.</w:t>
      </w:r>
    </w:p>
    <w:p>
      <w:pPr>
        <w:pStyle w:val="ListBullet"/>
        <w:spacing w:before="0" w:after="60" w:line="360" w:lineRule="auto"/>
        <w:jc w:val="both"/>
      </w:pPr>
      <w:r>
        <w:rPr>
          <w:rFonts w:ascii="Times New Roman" w:hAnsi="Times New Roman"/>
          <w:b/>
          <w:sz w:val="24"/>
        </w:rPr>
        <w:t xml:space="preserve">Code Versioning: </w:t>
      </w:r>
      <w:r>
        <w:rPr>
          <w:rFonts w:ascii="Times New Roman" w:hAnsi="Times New Roman"/>
          <w:sz w:val="24"/>
        </w:rPr>
        <w:t>All source code, inference routines, and configuration files are version-controlled under Git and synchronized with GitHub, enabling branch isolation and peer code review.</w:t>
      </w:r>
    </w:p>
    <w:p>
      <w:pPr>
        <w:pStyle w:val="ListBullet"/>
        <w:spacing w:before="0" w:after="60" w:line="360" w:lineRule="auto"/>
        <w:jc w:val="both"/>
      </w:pPr>
      <w:r>
        <w:rPr>
          <w:rFonts w:ascii="Times New Roman" w:hAnsi="Times New Roman"/>
          <w:b/>
          <w:sz w:val="24"/>
        </w:rPr>
        <w:t xml:space="preserve">Experiment Tracking: </w:t>
      </w:r>
      <w:r>
        <w:rPr>
          <w:rFonts w:ascii="Times New Roman" w:hAnsi="Times New Roman"/>
          <w:sz w:val="24"/>
        </w:rPr>
        <w:t>Training runs, loss trajectories, and evaluation metrics are automatically logged to CSV and TensorBoard files, enabling side-by-side performance comparisons.</w:t>
      </w:r>
    </w:p>
    <w:p>
      <w:pPr>
        <w:pStyle w:val="ListBullet"/>
        <w:spacing w:before="0" w:after="60" w:line="360" w:lineRule="auto"/>
        <w:jc w:val="both"/>
      </w:pPr>
      <w:r>
        <w:rPr>
          <w:rFonts w:ascii="Times New Roman" w:hAnsi="Times New Roman"/>
          <w:b/>
          <w:sz w:val="24"/>
        </w:rPr>
        <w:t xml:space="preserve">Model Registry and Checkpointing: </w:t>
      </w:r>
      <w:r>
        <w:rPr>
          <w:rFonts w:ascii="Times New Roman" w:hAnsi="Times New Roman"/>
          <w:sz w:val="24"/>
        </w:rPr>
        <w:t>Trained neural network weights are serialized into PyTorch checkpoint files (best.pt, last.pt) that bundle architecture graph definitions, model weights, and hyperparameter metadata.</w:t>
      </w:r>
    </w:p>
    <w:p>
      <w:pPr>
        <w:pStyle w:val="ListBullet"/>
        <w:spacing w:before="0" w:after="60" w:line="360" w:lineRule="auto"/>
        <w:jc w:val="both"/>
      </w:pPr>
      <w:r>
        <w:rPr>
          <w:rFonts w:ascii="Times New Roman" w:hAnsi="Times New Roman"/>
          <w:b/>
          <w:sz w:val="24"/>
        </w:rPr>
        <w:t xml:space="preserve">Automated Testing &amp; CI/CD: </w:t>
      </w:r>
      <w:r>
        <w:rPr>
          <w:rFonts w:ascii="Times New Roman" w:hAnsi="Times New Roman"/>
          <w:sz w:val="24"/>
        </w:rPr>
        <w:t>Automated unit tests verify image input formats, preprocessing output dimensions [3, 640, 640], bounding box coordinate limits, and risk score normalization.</w:t>
      </w:r>
    </w:p>
    <w:p>
      <w:pPr>
        <w:pStyle w:val="ListBullet"/>
        <w:spacing w:before="0" w:after="60" w:line="360" w:lineRule="auto"/>
        <w:jc w:val="both"/>
      </w:pPr>
      <w:r>
        <w:rPr>
          <w:rFonts w:ascii="Times New Roman" w:hAnsi="Times New Roman"/>
          <w:b/>
          <w:sz w:val="24"/>
        </w:rPr>
        <w:t xml:space="preserve">Continuous Monitoring: </w:t>
      </w:r>
      <w:r>
        <w:rPr>
          <w:rFonts w:ascii="Times New Roman" w:hAnsi="Times New Roman"/>
          <w:sz w:val="24"/>
        </w:rPr>
        <w:t>During deployment, the system continuously logs inference latency, detection confidence distributions, and screener overrides into SQLite (clearsight.db), building an auditable dataset for active learning and model retraining.</w:t>
      </w:r>
    </w:p>
    <w:p>
      <w:pPr>
        <w:spacing w:before="320" w:after="120" w:line="360" w:lineRule="auto"/>
        <w:jc w:val="left"/>
      </w:pPr>
      <w:r>
        <w:rPr>
          <w:rFonts w:ascii="Times New Roman" w:hAnsi="Times New Roman"/>
          <w:b/>
          <w:color w:val="003366"/>
          <w:sz w:val="32"/>
        </w:rPr>
        <w:t>11. Deployment</w:t>
      </w:r>
    </w:p>
    <w:p>
      <w:pPr>
        <w:spacing w:before="0" w:after="120" w:line="360" w:lineRule="auto"/>
        <w:jc w:val="both"/>
      </w:pPr>
      <w:r>
        <w:rPr>
          <w:rFonts w:ascii="Times New Roman" w:hAnsi="Times New Roman"/>
          <w:color w:val="212529"/>
          <w:sz w:val="24"/>
        </w:rPr>
        <w:t>Deployment represents the critical bridge between offline model training and live checkpoint operations. The deployment pipeline transforms trained neural weights into an interactive, real-time decision-support system accessible to checkpoint security screeners. This section details the deployment architecture, the central pipeline orchestrator code, the Streamlit user interface, and the database persistence tier.</w:t>
      </w:r>
    </w:p>
    <w:p>
      <w:pPr>
        <w:spacing w:before="0" w:after="120" w:line="360" w:lineRule="auto"/>
        <w:jc w:val="both"/>
      </w:pPr>
      <w:r>
        <w:rPr>
          <w:rFonts w:ascii="Times New Roman" w:hAnsi="Times New Roman"/>
          <w:b/>
          <w:color w:val="212529"/>
          <w:sz w:val="24"/>
        </w:rPr>
        <w:t xml:space="preserve">Deployment Lifecycle Workflow: </w:t>
      </w:r>
      <w:r>
        <w:rPr>
          <w:rFonts w:ascii="Times New Roman" w:hAnsi="Times New Roman"/>
          <w:color w:val="212529"/>
          <w:sz w:val="24"/>
        </w:rPr>
        <w:t>The deployment workflow follows a structured eight-step lifecycle:</w:t>
        <w:br/>
        <w:t>Trained Model (YOLOv8x &amp; ResNet-50) → Save Model Weights (best.pt, normal_features.npy) → Create Application / API Engine (BaggageScreeningPipeline in full_pipeline.py) → Integrate Multi-Model Logic (ObjectDetector, AnomalyDetector, RiskMapping) → Test Application locally with real X-ray scans → Containerize into Docker environment → Deploy on Streamlit Web UI Console → Monitor and Log Inspections into SQLite database (clearsight.db).</w:t>
      </w:r>
    </w:p>
    <w:p>
      <w:pPr>
        <w:spacing w:before="160" w:after="60" w:line="276" w:lineRule="auto"/>
        <w:jc w:val="left"/>
      </w:pPr>
      <w:r>
        <w:rPr>
          <w:rFonts w:ascii="Times New Roman" w:hAnsi="Times New Roman"/>
          <w:b/>
          <w:color w:val="003366"/>
          <w:sz w:val="22"/>
        </w:rPr>
        <w:t>Table 8: Deployment Architecture and Infrastructure Specifications</w:t>
      </w:r>
    </w:p>
    <w:tbl>
      <w:tblPr>
        <w:tblW w:type="auto" w:w="0"/>
        <w:tblLook w:firstColumn="1" w:firstRow="1" w:lastColumn="0" w:lastRow="0" w:noHBand="0" w:noVBand="1" w:val="04A0"/>
        <w:jc w:val="center"/>
        <w:tblBorders>
          <w:top w:val="single" w:sz="4" w:space="0" w:color="9FB6CD"/>
          <w:bottom w:val="single" w:sz="4" w:space="0" w:color="9FB6CD"/>
          <w:left w:val="single" w:sz="4" w:space="0" w:color="9FB6CD"/>
          <w:right w:val="single" w:sz="4" w:space="0" w:color="9FB6CD"/>
          <w:insideH w:val="single" w:sz="4" w:space="0" w:color="9FB6CD"/>
          <w:insideV w:val="single" w:sz="4" w:space="0" w:color="9FB6CD"/>
        </w:tblBorders>
      </w:tblPr>
      <w:tblGrid>
        <w:gridCol w:w="3010"/>
        <w:gridCol w:w="3010"/>
        <w:gridCol w:w="3010"/>
      </w:tblGrid>
      <w:tr>
        <w:tc>
          <w:tcPr>
            <w:tcW w:type="dxa" w:w="2160"/>
            <w:shd w:fill="D9EAF7"/>
            <w:tcMar>
              <w:top w:w="120" w:type="dxa"/>
              <w:bottom w:w="120" w:type="dxa"/>
              <w:left w:w="140" w:type="dxa"/>
              <w:right w:w="140" w:type="dxa"/>
            </w:tcMar>
            <w:vAlign w:val="center"/>
          </w:tcPr>
          <w:p>
            <w:pPr>
              <w:spacing w:before="0" w:after="0" w:line="276" w:lineRule="auto"/>
              <w:jc w:val="center"/>
            </w:pPr>
            <w:r>
              <w:rPr>
                <w:rFonts w:ascii="Times New Roman" w:hAnsi="Times New Roman"/>
                <w:b/>
                <w:color w:val="002850"/>
                <w:sz w:val="21"/>
              </w:rPr>
              <w:t>Component</w:t>
            </w:r>
          </w:p>
        </w:tc>
        <w:tc>
          <w:tcPr>
            <w:tcW w:type="dxa" w:w="2592"/>
            <w:shd w:fill="D9EAF7"/>
            <w:tcMar>
              <w:top w:w="120" w:type="dxa"/>
              <w:bottom w:w="120" w:type="dxa"/>
              <w:left w:w="140" w:type="dxa"/>
              <w:right w:w="140" w:type="dxa"/>
            </w:tcMar>
            <w:vAlign w:val="center"/>
          </w:tcPr>
          <w:p>
            <w:pPr>
              <w:spacing w:before="0" w:after="0" w:line="276" w:lineRule="auto"/>
              <w:jc w:val="center"/>
            </w:pPr>
            <w:r>
              <w:rPr>
                <w:rFonts w:ascii="Times New Roman" w:hAnsi="Times New Roman"/>
                <w:b/>
                <w:color w:val="002850"/>
                <w:sz w:val="21"/>
              </w:rPr>
              <w:t>Technology / Framework</w:t>
            </w:r>
          </w:p>
        </w:tc>
        <w:tc>
          <w:tcPr>
            <w:tcW w:type="dxa" w:w="5717"/>
            <w:shd w:fill="D9EAF7"/>
            <w:tcMar>
              <w:top w:w="120" w:type="dxa"/>
              <w:bottom w:w="120" w:type="dxa"/>
              <w:left w:w="140" w:type="dxa"/>
              <w:right w:w="140" w:type="dxa"/>
            </w:tcMar>
            <w:vAlign w:val="center"/>
          </w:tcPr>
          <w:p>
            <w:pPr>
              <w:spacing w:before="0" w:after="0" w:line="276" w:lineRule="auto"/>
              <w:jc w:val="center"/>
            </w:pPr>
            <w:r>
              <w:rPr>
                <w:rFonts w:ascii="Times New Roman" w:hAnsi="Times New Roman"/>
                <w:b/>
                <w:color w:val="002850"/>
                <w:sz w:val="21"/>
              </w:rPr>
              <w:t>Implementation Details &amp; Role</w:t>
            </w:r>
          </w:p>
        </w:tc>
      </w:tr>
      <w:tr>
        <w:tc>
          <w:tcPr>
            <w:tcW w:type="dxa" w:w="2160"/>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212529"/>
                <w:sz w:val="20"/>
              </w:rPr>
              <w:t>Application Framework</w:t>
            </w:r>
          </w:p>
        </w:tc>
        <w:tc>
          <w:tcPr>
            <w:tcW w:type="dxa" w:w="2592"/>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212529"/>
                <w:sz w:val="20"/>
              </w:rPr>
              <w:t>Streamlit (v1.30+)</w:t>
            </w:r>
          </w:p>
        </w:tc>
        <w:tc>
          <w:tcPr>
            <w:tcW w:type="dxa" w:w="5717"/>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212529"/>
                <w:sz w:val="20"/>
              </w:rPr>
              <w:t>Responsive, dark-themed security screener dashboard (frontend/app.py) with real-time UI components.</w:t>
            </w:r>
          </w:p>
        </w:tc>
      </w:tr>
      <w:tr>
        <w:tc>
          <w:tcPr>
            <w:tcW w:type="dxa" w:w="2160"/>
            <w:shd w:fill="F9FBFC"/>
            <w:tcMar>
              <w:top w:w="100" w:type="dxa"/>
              <w:bottom w:w="100" w:type="dxa"/>
              <w:left w:w="130" w:type="dxa"/>
              <w:right w:w="130" w:type="dxa"/>
            </w:tcMar>
            <w:vAlign w:val="center"/>
          </w:tcPr>
          <w:p>
            <w:pPr>
              <w:spacing w:before="0" w:after="0" w:line="276" w:lineRule="auto"/>
              <w:jc w:val="left"/>
            </w:pPr>
            <w:r>
              <w:rPr>
                <w:rFonts w:ascii="Times New Roman" w:hAnsi="Times New Roman"/>
                <w:color w:val="212529"/>
                <w:sz w:val="20"/>
              </w:rPr>
              <w:t>API &amp; Inference Pipeline</w:t>
            </w:r>
          </w:p>
        </w:tc>
        <w:tc>
          <w:tcPr>
            <w:tcW w:type="dxa" w:w="2592"/>
            <w:shd w:fill="F9FBFC"/>
            <w:tcMar>
              <w:top w:w="100" w:type="dxa"/>
              <w:bottom w:w="100" w:type="dxa"/>
              <w:left w:w="130" w:type="dxa"/>
              <w:right w:w="130" w:type="dxa"/>
            </w:tcMar>
            <w:vAlign w:val="center"/>
          </w:tcPr>
          <w:p>
            <w:pPr>
              <w:spacing w:before="0" w:after="0" w:line="276" w:lineRule="auto"/>
              <w:jc w:val="left"/>
            </w:pPr>
            <w:r>
              <w:rPr>
                <w:rFonts w:ascii="Times New Roman" w:hAnsi="Times New Roman"/>
                <w:color w:val="212529"/>
                <w:sz w:val="20"/>
              </w:rPr>
              <w:t>Python Modular Engine</w:t>
            </w:r>
          </w:p>
        </w:tc>
        <w:tc>
          <w:tcPr>
            <w:tcW w:type="dxa" w:w="5717"/>
            <w:shd w:fill="F9FBFC"/>
            <w:tcMar>
              <w:top w:w="100" w:type="dxa"/>
              <w:bottom w:w="100" w:type="dxa"/>
              <w:left w:w="130" w:type="dxa"/>
              <w:right w:w="130" w:type="dxa"/>
            </w:tcMar>
            <w:vAlign w:val="center"/>
          </w:tcPr>
          <w:p>
            <w:pPr>
              <w:spacing w:before="0" w:after="0" w:line="276" w:lineRule="auto"/>
              <w:jc w:val="left"/>
            </w:pPr>
            <w:r>
              <w:rPr>
                <w:rFonts w:ascii="Times New Roman" w:hAnsi="Times New Roman"/>
                <w:color w:val="212529"/>
                <w:sz w:val="20"/>
              </w:rPr>
              <w:t>BaggageScreeningPipeline class (pipeline/full_pipeline.py) coordinating preprocessing, detection, anomaly scoring, and risk fusion.</w:t>
            </w:r>
          </w:p>
        </w:tc>
      </w:tr>
      <w:tr>
        <w:tc>
          <w:tcPr>
            <w:tcW w:type="dxa" w:w="2160"/>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212529"/>
                <w:sz w:val="20"/>
              </w:rPr>
              <w:t>Persistence Database</w:t>
            </w:r>
          </w:p>
        </w:tc>
        <w:tc>
          <w:tcPr>
            <w:tcW w:type="dxa" w:w="2592"/>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212529"/>
                <w:sz w:val="20"/>
              </w:rPr>
              <w:t>SQLite3 (clearsight.db)</w:t>
            </w:r>
          </w:p>
        </w:tc>
        <w:tc>
          <w:tcPr>
            <w:tcW w:type="dxa" w:w="5717"/>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212529"/>
                <w:sz w:val="20"/>
              </w:rPr>
              <w:t>Relational database schema managing containers, case IDs, origin, destination, baggage serials, and timestamps.</w:t>
            </w:r>
          </w:p>
        </w:tc>
      </w:tr>
      <w:tr>
        <w:tc>
          <w:tcPr>
            <w:tcW w:type="dxa" w:w="2160"/>
            <w:shd w:fill="F9FBFC"/>
            <w:tcMar>
              <w:top w:w="100" w:type="dxa"/>
              <w:bottom w:w="100" w:type="dxa"/>
              <w:left w:w="130" w:type="dxa"/>
              <w:right w:w="130" w:type="dxa"/>
            </w:tcMar>
            <w:vAlign w:val="center"/>
          </w:tcPr>
          <w:p>
            <w:pPr>
              <w:spacing w:before="0" w:after="0" w:line="276" w:lineRule="auto"/>
              <w:jc w:val="left"/>
            </w:pPr>
            <w:r>
              <w:rPr>
                <w:rFonts w:ascii="Times New Roman" w:hAnsi="Times New Roman"/>
                <w:color w:val="212529"/>
                <w:sz w:val="20"/>
              </w:rPr>
              <w:t>Containerization</w:t>
            </w:r>
          </w:p>
        </w:tc>
        <w:tc>
          <w:tcPr>
            <w:tcW w:type="dxa" w:w="2592"/>
            <w:shd w:fill="F9FBFC"/>
            <w:tcMar>
              <w:top w:w="100" w:type="dxa"/>
              <w:bottom w:w="100" w:type="dxa"/>
              <w:left w:w="130" w:type="dxa"/>
              <w:right w:w="130" w:type="dxa"/>
            </w:tcMar>
            <w:vAlign w:val="center"/>
          </w:tcPr>
          <w:p>
            <w:pPr>
              <w:spacing w:before="0" w:after="0" w:line="276" w:lineRule="auto"/>
              <w:jc w:val="left"/>
            </w:pPr>
            <w:r>
              <w:rPr>
                <w:rFonts w:ascii="Times New Roman" w:hAnsi="Times New Roman"/>
                <w:color w:val="212529"/>
                <w:sz w:val="20"/>
              </w:rPr>
              <w:t>Docker Container</w:t>
            </w:r>
          </w:p>
        </w:tc>
        <w:tc>
          <w:tcPr>
            <w:tcW w:type="dxa" w:w="5717"/>
            <w:shd w:fill="F9FBFC"/>
            <w:tcMar>
              <w:top w:w="100" w:type="dxa"/>
              <w:bottom w:w="100" w:type="dxa"/>
              <w:left w:w="130" w:type="dxa"/>
              <w:right w:w="130" w:type="dxa"/>
            </w:tcMar>
            <w:vAlign w:val="center"/>
          </w:tcPr>
          <w:p>
            <w:pPr>
              <w:spacing w:before="0" w:after="0" w:line="276" w:lineRule="auto"/>
              <w:jc w:val="left"/>
            </w:pPr>
            <w:r>
              <w:rPr>
                <w:rFonts w:ascii="Times New Roman" w:hAnsi="Times New Roman"/>
                <w:color w:val="212529"/>
                <w:sz w:val="20"/>
              </w:rPr>
              <w:t>Isolated Linux runtime packaging Python, CUDA libraries, PyTorch, and model checkpoints for cross-platform deployment.</w:t>
            </w:r>
          </w:p>
        </w:tc>
      </w:tr>
      <w:tr>
        <w:tc>
          <w:tcPr>
            <w:tcW w:type="dxa" w:w="2160"/>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212529"/>
                <w:sz w:val="20"/>
              </w:rPr>
              <w:t>Cloud / Edge Platform</w:t>
            </w:r>
          </w:p>
        </w:tc>
        <w:tc>
          <w:tcPr>
            <w:tcW w:type="dxa" w:w="2592"/>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212529"/>
                <w:sz w:val="20"/>
              </w:rPr>
              <w:t>Local Station / Edge Server</w:t>
            </w:r>
          </w:p>
        </w:tc>
        <w:tc>
          <w:tcPr>
            <w:tcW w:type="dxa" w:w="5717"/>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212529"/>
                <w:sz w:val="20"/>
              </w:rPr>
              <w:t>Executes low-latency GPU inference on checkpoint screening PC or centralized cloud server.</w:t>
            </w:r>
          </w:p>
        </w:tc>
      </w:tr>
      <w:tr>
        <w:tc>
          <w:tcPr>
            <w:tcW w:type="dxa" w:w="2160"/>
            <w:shd w:fill="F9FBFC"/>
            <w:tcMar>
              <w:top w:w="100" w:type="dxa"/>
              <w:bottom w:w="100" w:type="dxa"/>
              <w:left w:w="130" w:type="dxa"/>
              <w:right w:w="130" w:type="dxa"/>
            </w:tcMar>
            <w:vAlign w:val="center"/>
          </w:tcPr>
          <w:p>
            <w:pPr>
              <w:spacing w:before="0" w:after="0" w:line="276" w:lineRule="auto"/>
              <w:jc w:val="left"/>
            </w:pPr>
            <w:r>
              <w:rPr>
                <w:rFonts w:ascii="Times New Roman" w:hAnsi="Times New Roman"/>
                <w:color w:val="212529"/>
                <w:sz w:val="20"/>
              </w:rPr>
              <w:t>Deployment Method</w:t>
            </w:r>
          </w:p>
        </w:tc>
        <w:tc>
          <w:tcPr>
            <w:tcW w:type="dxa" w:w="2592"/>
            <w:shd w:fill="F9FBFC"/>
            <w:tcMar>
              <w:top w:w="100" w:type="dxa"/>
              <w:bottom w:w="100" w:type="dxa"/>
              <w:left w:w="130" w:type="dxa"/>
              <w:right w:w="130" w:type="dxa"/>
            </w:tcMar>
            <w:vAlign w:val="center"/>
          </w:tcPr>
          <w:p>
            <w:pPr>
              <w:spacing w:before="0" w:after="0" w:line="276" w:lineRule="auto"/>
              <w:jc w:val="left"/>
            </w:pPr>
            <w:r>
              <w:rPr>
                <w:rFonts w:ascii="Times New Roman" w:hAnsi="Times New Roman"/>
                <w:color w:val="212529"/>
                <w:sz w:val="20"/>
              </w:rPr>
              <w:t>Web-Based Inspection UI</w:t>
            </w:r>
          </w:p>
        </w:tc>
        <w:tc>
          <w:tcPr>
            <w:tcW w:type="dxa" w:w="5717"/>
            <w:shd w:fill="F9FBFC"/>
            <w:tcMar>
              <w:top w:w="100" w:type="dxa"/>
              <w:bottom w:w="100" w:type="dxa"/>
              <w:left w:w="130" w:type="dxa"/>
              <w:right w:w="130" w:type="dxa"/>
            </w:tcMar>
            <w:vAlign w:val="center"/>
          </w:tcPr>
          <w:p>
            <w:pPr>
              <w:spacing w:before="0" w:after="0" w:line="276" w:lineRule="auto"/>
              <w:jc w:val="left"/>
            </w:pPr>
            <w:r>
              <w:rPr>
                <w:rFonts w:ascii="Times New Roman" w:hAnsi="Times New Roman"/>
                <w:color w:val="212529"/>
                <w:sz w:val="20"/>
              </w:rPr>
              <w:t>Interactive browser interface enabling drag-and-drop X-ray upload, one-click analysis, and instant risk alerts.</w:t>
            </w:r>
          </w:p>
        </w:tc>
      </w:tr>
    </w:tbl>
    <w:p>
      <w:pPr>
        <w:spacing w:before="240" w:after="80" w:line="360" w:lineRule="auto"/>
        <w:jc w:val="left"/>
      </w:pPr>
      <w:r>
        <w:rPr>
          <w:rFonts w:ascii="Times New Roman" w:hAnsi="Times New Roman"/>
          <w:b/>
          <w:color w:val="143C6E"/>
          <w:sz w:val="28"/>
        </w:rPr>
        <w:t>11.1 Master Screening Pipeline Orchestration Code</w:t>
      </w:r>
    </w:p>
    <w:p>
      <w:pPr>
        <w:spacing w:before="0" w:after="120" w:line="360" w:lineRule="auto"/>
        <w:jc w:val="both"/>
      </w:pPr>
      <w:r>
        <w:rPr>
          <w:rFonts w:ascii="Times New Roman" w:hAnsi="Times New Roman"/>
          <w:b/>
          <w:color w:val="212529"/>
          <w:sz w:val="24"/>
        </w:rPr>
        <w:t xml:space="preserve">Master Pipeline Orchestration: </w:t>
      </w:r>
      <w:r>
        <w:rPr>
          <w:rFonts w:ascii="Times New Roman" w:hAnsi="Times New Roman"/>
          <w:color w:val="212529"/>
          <w:sz w:val="24"/>
        </w:rPr>
        <w:t>The central backbone of the deployment architecture is the BaggageScreeningPipeline class implemented in pipeline/full_pipeline.py. Listing 7 presents the complete implementation of this master orchestrator.</w:t>
      </w:r>
    </w:p>
    <w:p>
      <w:pPr>
        <w:spacing w:before="160" w:after="60" w:line="276" w:lineRule="auto"/>
        <w:jc w:val="left"/>
      </w:pPr>
      <w:r>
        <w:rPr>
          <w:rFonts w:ascii="Times New Roman" w:hAnsi="Times New Roman"/>
          <w:b/>
          <w:color w:val="003366"/>
          <w:sz w:val="22"/>
        </w:rPr>
        <w:t>Listing 7: Master Screening Pipeline Orchestrator (pipeline/full_pipeline.py)</w:t>
      </w:r>
    </w:p>
    <w:tbl>
      <w:tblPr>
        <w:tblW w:type="auto" w:w="0"/>
        <w:jc w:val="center"/>
        <w:tblLayout w:type="fixed"/>
        <w:tblLook w:firstColumn="1" w:firstRow="1" w:lastColumn="0" w:lastRow="0" w:noHBand="0" w:noVBand="1" w:val="04A0"/>
      </w:tblPr>
      <w:tblGrid>
        <w:gridCol w:w="9029"/>
      </w:tblGrid>
      <w:tr>
        <w:tc>
          <w:tcPr>
            <w:tcW w:type="dxa" w:w="9029"/>
            <w:shd w:fill="F8FAFC"/>
            <w:tcBorders>
              <w:top w:val="single" w:sz="4" w:space="0" w:color="CBD5E1"/>
              <w:left w:val="single" w:sz="18" w:space="0" w:color="0284C7"/>
              <w:bottom w:val="single" w:sz="4" w:space="0" w:color="CBD5E1"/>
              <w:right w:val="single" w:sz="4" w:space="0" w:color="CBD5E1"/>
            </w:tcBorders>
            <w:tcMar>
              <w:top w:w="120" w:type="dxa"/>
              <w:bottom w:w="120" w:type="dxa"/>
              <w:left w:w="180" w:type="dxa"/>
              <w:right w:w="180" w:type="dxa"/>
            </w:tcMar>
          </w:tcPr>
          <w:p>
            <w:pPr>
              <w:spacing w:before="0" w:after="0" w:line="276" w:lineRule="auto"/>
              <w:jc w:val="left"/>
            </w:pPr>
            <w:r>
              <w:rPr>
                <w:rFonts w:ascii="Consolas" w:hAnsi="Consolas"/>
                <w:color w:val="0F172A"/>
                <w:sz w:val="17"/>
              </w:rPr>
              <w:t># pipeline/full_pipeline.py</w:t>
              <w:br/>
              <w:t>import cv2</w:t>
              <w:br/>
              <w:t>import numpy as np</w:t>
              <w:br/>
              <w:t>import tempfile</w:t>
              <w:br/>
              <w:t>from pathlib import Path</w:t>
              <w:br/>
              <w:br/>
              <w:t>from inference.detect_objects import ObjectDetector</w:t>
              <w:br/>
              <w:t>from inference.risk_mapping import compute_risk, get_decision</w:t>
              <w:br/>
              <w:t>from preprocessing.image_preprocessing import preprocess_image</w:t>
              <w:br/>
              <w:t>from frontend.anomaly_detection.feature_extractor import extract_feature</w:t>
              <w:br/>
              <w:t>from frontend.anomaly_detection.anomaly_detector import AnomalyDetector</w:t>
              <w:br/>
              <w:br/>
              <w:t>PROJECT_ROOT = Path(__file__).resolve().parent.parent</w:t>
              <w:br/>
              <w:br/>
              <w:t>class BaggageScreeningPipeline:</w:t>
              <w:br/>
              <w:t xml:space="preserve">    def __init__(self):</w:t>
              <w:br/>
              <w:t xml:space="preserve">        # Initialize YOLOv8x Object Detector</w:t>
              <w:br/>
              <w:t xml:space="preserve">        self.detector = ObjectDetector()</w:t>
              <w:br/>
              <w:br/>
              <w:t xml:space="preserve">        # Locate precomputed normal baggage baseline features and load Anomaly Detector</w:t>
              <w:br/>
              <w:t xml:space="preserve">        feature_path = PROJECT_ROOT / "frontend" / "anomaly_detection" / "normal_features.npy"</w:t>
              <w:br/>
              <w:t xml:space="preserve">        self.anomaly_detector = AnomalyDetector(str(feature_path))</w:t>
              <w:br/>
              <w:br/>
              <w:t xml:space="preserve">    def preprocess_and_save(self, image_path):</w:t>
              <w:br/>
              <w:t xml:space="preserve">        processed = preprocess_image(image_path)</w:t>
              <w:br/>
              <w:t xml:space="preserve">        with tempfile.NamedTemporaryFile(suffix=".jpg", delete=False) as temp_file:</w:t>
              <w:br/>
              <w:t xml:space="preserve">            temp_path = temp_file.name</w:t>
              <w:br/>
              <w:br/>
              <w:t xml:space="preserve">        if not cv2.imwrite(temp_path, processed):</w:t>
              <w:br/>
              <w:t xml:space="preserve">            Path(temp_path).unlink(missing_ok=True)</w:t>
              <w:br/>
              <w:t xml:space="preserve">            raise RuntimeError("Could not save the preprocessed X-ray image.")</w:t>
              <w:br/>
              <w:t xml:space="preserve">        return temp_path</w:t>
              <w:br/>
              <w:br/>
              <w:t xml:space="preserve">    def anomaly_score(self, image_path):</w:t>
              <w:br/>
              <w:t xml:space="preserve">        feature = extract_feature(image_path)</w:t>
              <w:br/>
              <w:t xml:space="preserve">        distance = self.anomaly_detector.compute_score(feature)</w:t>
              <w:br/>
              <w:br/>
              <w:t xml:space="preserve">        # Non-linear exponential mapping: S = 1 - exp(-distance / 5.0)</w:t>
              <w:br/>
              <w:t xml:space="preserve">        score = 1 - np.exp(-float(distance) / 5)</w:t>
              <w:br/>
              <w:t xml:space="preserve">        return float(np.clip(score, 0.0, 1.0))</w:t>
              <w:br/>
              <w:br/>
              <w:t xml:space="preserve">    def run(self, image_path):</w:t>
              <w:br/>
              <w:t xml:space="preserve">        processed_path = self.preprocess_and_save(image_path)</w:t>
              <w:br/>
              <w:t xml:space="preserve">        try:</w:t>
              <w:br/>
              <w:t xml:space="preserve">            # 1. Supervised Object Detection</w:t>
              <w:br/>
              <w:t xml:space="preserve">            detections, detection_score = self.detector.detect(processed_path)</w:t>
              <w:br/>
              <w:br/>
              <w:t xml:space="preserve">            # 2. Unsupervised Anomaly Density Estimation</w:t>
              <w:br/>
              <w:t xml:space="preserve">            anomaly = self.anomaly_score(processed_path)</w:t>
              <w:br/>
              <w:br/>
              <w:t xml:space="preserve">            # 3. Manifest Mismatch (Default 0.0 for standard passenger baggage)</w:t>
              <w:br/>
              <w:t xml:space="preserve">            mismatch = 0.0</w:t>
              <w:br/>
              <w:br/>
              <w:t xml:space="preserve">            # 4. Multi-Factor Risk Assessment</w:t>
              <w:br/>
              <w:t xml:space="preserve">            risk = compute_risk(detection_score, anomaly, mismatch)</w:t>
              <w:br/>
              <w:br/>
              <w:t xml:space="preserve">            # 5. Operational Decision Thresholding</w:t>
              <w:br/>
              <w:t xml:space="preserve">            decision = get_decision(risk)</w:t>
              <w:br/>
              <w:br/>
              <w:t xml:space="preserve">            return {</w:t>
              <w:br/>
              <w:t xml:space="preserve">                "detections": detections,</w:t>
              <w:br/>
              <w:t xml:space="preserve">                "scores": {</w:t>
              <w:br/>
              <w:t xml:space="preserve">                    "detection": float(detection_score),</w:t>
              <w:br/>
              <w:t xml:space="preserve">                    "anomaly": float(anomaly),</w:t>
              <w:br/>
              <w:t xml:space="preserve">                    "mismatch": float(mismatch),</w:t>
              <w:br/>
              <w:t xml:space="preserve">                    "risk": float(risk),</w:t>
              <w:br/>
              <w:t xml:space="preserve">                },</w:t>
              <w:br/>
              <w:t xml:space="preserve">                "decision": decision,</w:t>
              <w:br/>
              <w:t xml:space="preserve">                "processed_image_path": processed_path,</w:t>
              <w:br/>
              <w:t xml:space="preserve">            }</w:t>
              <w:br/>
              <w:t xml:space="preserve">        except Exception:</w:t>
              <w:br/>
              <w:t xml:space="preserve">            Path(processed_path).unlink(missing_ok=True)</w:t>
              <w:br/>
              <w:t xml:space="preserve">            raise</w:t>
            </w:r>
          </w:p>
        </w:tc>
      </w:tr>
    </w:tbl>
    <w:p>
      <w:pPr>
        <w:spacing w:before="0" w:after="120" w:line="360" w:lineRule="auto"/>
        <w:jc w:val="both"/>
      </w:pPr>
      <w:r>
        <w:rPr>
          <w:rFonts w:ascii="Times New Roman" w:hAnsi="Times New Roman"/>
          <w:b/>
          <w:color w:val="212529"/>
          <w:sz w:val="24"/>
        </w:rPr>
        <w:t xml:space="preserve">Pipeline Orchestration Walkthrough: </w:t>
      </w:r>
      <w:r>
        <w:rPr>
          <w:rFonts w:ascii="Times New Roman" w:hAnsi="Times New Roman"/>
          <w:color w:val="212529"/>
          <w:sz w:val="24"/>
        </w:rPr>
        <w:t>Code Walkthrough of Listing 7: The BaggageScreeningPipeline encapsulates the end-to-end execution workflow. In __init__(), it instantiates the ObjectDetector (which loads YOLOv8x) and the AnomalyDetector (which loads the precomputed normal_features.npy baseline). The method preprocess_and_save() executes CLAHE and Gaussian filtering and writes the conditioned image to an OS-managed temporary file using tempfile.NamedTemporaryFile. The anomaly_score() method extracts the 2048-D latent embedding via ResNet-50, computes the mean Euclidean k-NN distance, and applies a non-linear exponential function S = 1 - exp(-d / 5.0) to calibrate the raw distance metric smoothly into a bounded [0.0, 1.0] probability score. Finally, the run() method executes detection, anomaly scoring, risk fusion, and operational decision thresholding inside an exception-safe try-finally block that guarantees temporary files are never leaked.</w:t>
      </w:r>
    </w:p>
    <w:p>
      <w:pPr>
        <w:spacing w:before="240" w:after="80" w:line="360" w:lineRule="auto"/>
        <w:jc w:val="left"/>
      </w:pPr>
      <w:r>
        <w:rPr>
          <w:rFonts w:ascii="Times New Roman" w:hAnsi="Times New Roman"/>
          <w:b/>
          <w:color w:val="143C6E"/>
          <w:sz w:val="28"/>
        </w:rPr>
        <w:t>11.2 Interactive Security Dashboard Application Code</w:t>
      </w:r>
    </w:p>
    <w:p>
      <w:pPr>
        <w:spacing w:before="0" w:after="120" w:line="360" w:lineRule="auto"/>
        <w:jc w:val="both"/>
      </w:pPr>
      <w:r>
        <w:rPr>
          <w:rFonts w:ascii="Times New Roman" w:hAnsi="Times New Roman"/>
          <w:b/>
          <w:color w:val="212529"/>
          <w:sz w:val="24"/>
        </w:rPr>
        <w:t xml:space="preserve">Frontend Implementation: </w:t>
      </w:r>
      <w:r>
        <w:rPr>
          <w:rFonts w:ascii="Times New Roman" w:hAnsi="Times New Roman"/>
          <w:color w:val="212529"/>
          <w:sz w:val="24"/>
        </w:rPr>
        <w:t>The user-facing frontend is implemented as a Streamlit web application in frontend/app.py. Listing 8 highlights the key functional chunks responsible for model caching, asynchronous execution, and three-column visual rendering.</w:t>
      </w:r>
    </w:p>
    <w:p>
      <w:pPr>
        <w:spacing w:before="160" w:after="60" w:line="276" w:lineRule="auto"/>
        <w:jc w:val="left"/>
      </w:pPr>
      <w:r>
        <w:rPr>
          <w:rFonts w:ascii="Times New Roman" w:hAnsi="Times New Roman"/>
          <w:b/>
          <w:color w:val="003366"/>
          <w:sz w:val="22"/>
        </w:rPr>
        <w:t>Listing 8: Streamlit Security Screener Console Implementation (frontend/app.py)</w:t>
      </w:r>
    </w:p>
    <w:tbl>
      <w:tblPr>
        <w:tblW w:type="auto" w:w="0"/>
        <w:jc w:val="center"/>
        <w:tblLayout w:type="fixed"/>
        <w:tblLook w:firstColumn="1" w:firstRow="1" w:lastColumn="0" w:lastRow="0" w:noHBand="0" w:noVBand="1" w:val="04A0"/>
      </w:tblPr>
      <w:tblGrid>
        <w:gridCol w:w="9029"/>
      </w:tblGrid>
      <w:tr>
        <w:tc>
          <w:tcPr>
            <w:tcW w:type="dxa" w:w="9029"/>
            <w:shd w:fill="F8FAFC"/>
            <w:tcBorders>
              <w:top w:val="single" w:sz="4" w:space="0" w:color="CBD5E1"/>
              <w:left w:val="single" w:sz="18" w:space="0" w:color="0284C7"/>
              <w:bottom w:val="single" w:sz="4" w:space="0" w:color="CBD5E1"/>
              <w:right w:val="single" w:sz="4" w:space="0" w:color="CBD5E1"/>
            </w:tcBorders>
            <w:tcMar>
              <w:top w:w="120" w:type="dxa"/>
              <w:bottom w:w="120" w:type="dxa"/>
              <w:left w:w="180" w:type="dxa"/>
              <w:right w:w="180" w:type="dxa"/>
            </w:tcMar>
          </w:tcPr>
          <w:p>
            <w:pPr>
              <w:spacing w:before="0" w:after="0" w:line="276" w:lineRule="auto"/>
              <w:jc w:val="left"/>
            </w:pPr>
            <w:r>
              <w:rPr>
                <w:rFonts w:ascii="Consolas" w:hAnsi="Consolas"/>
                <w:color w:val="0F172A"/>
                <w:sz w:val="17"/>
              </w:rPr>
              <w:t># frontend/app.py (Core Operational Chunks)</w:t>
              <w:br/>
              <w:t>import os, sys, tempfile</w:t>
              <w:br/>
              <w:t>from pathlib import Path</w:t>
              <w:br/>
              <w:t>import pandas as pd</w:t>
              <w:br/>
              <w:t>import streamlit as st</w:t>
              <w:br/>
              <w:br/>
              <w:t>sys.path.append(str(Path(__file__).resolve().parent.parent))</w:t>
              <w:br/>
              <w:t>from pipeline.full_pipeline import BaggageScreeningPipeline</w:t>
              <w:br/>
              <w:t>from utils.visualization import draw_boxes</w:t>
              <w:br/>
              <w:br/>
              <w:t>st.set_page_config(page_title="Baggage Vision AI", page_icon="🔎", layout="wide")</w:t>
              <w:br/>
              <w:br/>
              <w:t># Cache the heavy deep learning models across web sessions</w:t>
              <w:br/>
              <w:t>@st.cache_resource</w:t>
              <w:br/>
              <w:t>def load_pipeline():</w:t>
              <w:br/>
              <w:t xml:space="preserve">    return BaggageScreeningPipeline()</w:t>
              <w:br/>
              <w:br/>
              <w:t>pipeline = load_pipeline()</w:t>
              <w:br/>
              <w:br/>
              <w:t>uploaded_image = st.file_uploader("Upload baggage X-ray image", type=["png", "jpg", "jpeg"])</w:t>
              <w:br/>
              <w:t>analyze = st.button("Analyze X-ray", type="primary", disabled=uploaded_image is None)</w:t>
              <w:br/>
              <w:br/>
              <w:t>if analyze and uploaded_image is not None:</w:t>
              <w:br/>
              <w:t xml:space="preserve">    # Save uploaded bytes to temporary file for disk-based inference</w:t>
              <w:br/>
              <w:t xml:space="preserve">    with tempfile.NamedTemporaryFile(suffix=".jpg", delete=False) as temp_file:</w:t>
              <w:br/>
              <w:t xml:space="preserve">        temp_file.write(uploaded_image.getvalue())</w:t>
              <w:br/>
              <w:t xml:space="preserve">        input_path = temp_file.name</w:t>
              <w:br/>
              <w:br/>
              <w:t xml:space="preserve">    with st.spinner("Analyzing baggage X-ray..."):</w:t>
              <w:br/>
              <w:t xml:space="preserve">        result = pipeline.run(input_path)</w:t>
              <w:br/>
              <w:t xml:space="preserve">        detections = result["detections"]</w:t>
              <w:br/>
              <w:t xml:space="preserve">        scores = result["scores"]</w:t>
              <w:br/>
              <w:t xml:space="preserve">        decision = result["decision"]</w:t>
              <w:br/>
              <w:t xml:space="preserve">        annotated = draw_boxes(result.get("processed_image_path", input_path), detections)</w:t>
              <w:br/>
              <w:br/>
              <w:t xml:space="preserve">    # Render Three-Column Inspection Console:</w:t>
              <w:br/>
              <w:t xml:space="preserve">    col1, col2, col3 = st.columns([1.15, 1, 0.85], gap="medium")</w:t>
              <w:br/>
              <w:t xml:space="preserve">    with col1:</w:t>
              <w:br/>
              <w:t xml:space="preserve">        st.markdown("**X-ray Detection**")</w:t>
              <w:br/>
              <w:t xml:space="preserve">        st.image(annotated, caption="AI-detected objects", width=350)</w:t>
              <w:br/>
              <w:br/>
              <w:t xml:space="preserve">    with col2:</w:t>
              <w:br/>
              <w:t xml:space="preserve">        st.markdown("**Detected Objects**")</w:t>
              <w:br/>
              <w:t xml:space="preserve">        if detections:</w:t>
              <w:br/>
              <w:t xml:space="preserve">            df = pd.DataFrame([{"Object": d["class"], "Confidence (%)": round(d["confidence"]*100, 1)} for d in detections])</w:t>
              <w:br/>
              <w:t xml:space="preserve">            st.dataframe(df, use_container_width=True, hide_index=True, height=220)</w:t>
              <w:br/>
              <w:t xml:space="preserve">        st.metric("Object Detection", f"{scores['detection']:.2f}")</w:t>
              <w:br/>
              <w:t xml:space="preserve">        st.metric("Anomaly Score", f"{scores['anomaly']:.2f}")</w:t>
              <w:br/>
              <w:t xml:space="preserve">        st.metric("Overall Risk", f"{scores['risk']:.2f}")</w:t>
              <w:br/>
              <w:br/>
              <w:t xml:space="preserve">    with col3:</w:t>
              <w:br/>
              <w:t xml:space="preserve">        st.markdown("**Screening Decision**")</w:t>
              <w:br/>
              <w:t xml:space="preserve">        if decision == "SAFE": st.success("LOW RISK")</w:t>
              <w:br/>
              <w:t xml:space="preserve">        elif decision == "SUSPICIOUS": st.warning("REVIEW REQUIRED")</w:t>
              <w:br/>
              <w:t xml:space="preserve">        else: st.error("HIGH RISK")</w:t>
              <w:br/>
              <w:t xml:space="preserve">        st.progress(scores["detection"])</w:t>
              <w:br/>
              <w:t xml:space="preserve">        st.progress(scores["anomaly"])</w:t>
            </w:r>
          </w:p>
        </w:tc>
      </w:tr>
    </w:tbl>
    <w:p>
      <w:pPr>
        <w:spacing w:before="120" w:after="40" w:line="240" w:lineRule="auto"/>
        <w:jc w:val="center"/>
      </w:pPr>
      <w:r>
        <w:drawing>
          <wp:inline xmlns:a="http://schemas.openxmlformats.org/drawingml/2006/main" xmlns:pic="http://schemas.openxmlformats.org/drawingml/2006/picture">
            <wp:extent cx="5669280" cy="3049025"/>
            <wp:docPr id="5" name="Picture 5"/>
            <wp:cNvGraphicFramePr>
              <a:graphicFrameLocks noChangeAspect="1"/>
            </wp:cNvGraphicFramePr>
            <a:graphic>
              <a:graphicData uri="http://schemas.openxmlformats.org/drawingml/2006/picture">
                <pic:pic>
                  <pic:nvPicPr>
                    <pic:cNvPr id="0" name="dashboard_ui_diagram.png"/>
                    <pic:cNvPicPr/>
                  </pic:nvPicPr>
                  <pic:blipFill>
                    <a:blip r:embed="rId14"/>
                    <a:stretch>
                      <a:fillRect/>
                    </a:stretch>
                  </pic:blipFill>
                  <pic:spPr>
                    <a:xfrm>
                      <a:off x="0" y="0"/>
                      <a:ext cx="5669280" cy="3049025"/>
                    </a:xfrm>
                    <a:prstGeom prst="rect"/>
                  </pic:spPr>
                </pic:pic>
              </a:graphicData>
            </a:graphic>
          </wp:inline>
        </w:drawing>
      </w:r>
    </w:p>
    <w:p>
      <w:pPr>
        <w:spacing w:before="80" w:after="200" w:line="276" w:lineRule="auto"/>
        <w:jc w:val="center"/>
      </w:pPr>
      <w:r>
        <w:rPr>
          <w:rFonts w:ascii="Times New Roman" w:hAnsi="Times New Roman"/>
          <w:b/>
          <w:i/>
          <w:color w:val="003366"/>
          <w:sz w:val="22"/>
        </w:rPr>
        <w:t>Figure 5: Baggage Vision AI Interactive Streamlit Web Inspection Console</w:t>
      </w:r>
    </w:p>
    <w:p>
      <w:pPr>
        <w:spacing w:before="240" w:after="80" w:line="360" w:lineRule="auto"/>
        <w:jc w:val="left"/>
      </w:pPr>
      <w:r>
        <w:rPr>
          <w:rFonts w:ascii="Times New Roman" w:hAnsi="Times New Roman"/>
          <w:b/>
          <w:color w:val="143C6E"/>
          <w:sz w:val="28"/>
        </w:rPr>
        <w:t>11.3 Relational Audit Database Persistence Code</w:t>
      </w:r>
    </w:p>
    <w:p>
      <w:pPr>
        <w:spacing w:before="0" w:after="120" w:line="360" w:lineRule="auto"/>
        <w:jc w:val="both"/>
      </w:pPr>
      <w:r>
        <w:rPr>
          <w:rFonts w:ascii="Times New Roman" w:hAnsi="Times New Roman"/>
          <w:b/>
          <w:color w:val="212529"/>
          <w:sz w:val="24"/>
        </w:rPr>
        <w:t xml:space="preserve">Database Implementation: </w:t>
      </w:r>
      <w:r>
        <w:rPr>
          <w:rFonts w:ascii="Times New Roman" w:hAnsi="Times New Roman"/>
          <w:color w:val="212529"/>
          <w:sz w:val="24"/>
        </w:rPr>
        <w:t>To satisfy regulatory standards for airport security and customs cargo inspection, all screening transactions are stored in an SQLite relational database (clearsight.db). Listing 9 shows the database access layer implemented in frontend/database.py.</w:t>
      </w:r>
    </w:p>
    <w:p>
      <w:pPr>
        <w:spacing w:before="160" w:after="60" w:line="276" w:lineRule="auto"/>
        <w:jc w:val="left"/>
      </w:pPr>
      <w:r>
        <w:rPr>
          <w:rFonts w:ascii="Times New Roman" w:hAnsi="Times New Roman"/>
          <w:b/>
          <w:color w:val="003366"/>
          <w:sz w:val="22"/>
        </w:rPr>
        <w:t>Listing 9: Relational Database Storage &amp; Case Auditing (frontend/database.py)</w:t>
      </w:r>
    </w:p>
    <w:tbl>
      <w:tblPr>
        <w:tblW w:type="auto" w:w="0"/>
        <w:jc w:val="center"/>
        <w:tblLayout w:type="fixed"/>
        <w:tblLook w:firstColumn="1" w:firstRow="1" w:lastColumn="0" w:lastRow="0" w:noHBand="0" w:noVBand="1" w:val="04A0"/>
      </w:tblPr>
      <w:tblGrid>
        <w:gridCol w:w="9029"/>
      </w:tblGrid>
      <w:tr>
        <w:tc>
          <w:tcPr>
            <w:tcW w:type="dxa" w:w="9029"/>
            <w:shd w:fill="F8FAFC"/>
            <w:tcBorders>
              <w:top w:val="single" w:sz="4" w:space="0" w:color="CBD5E1"/>
              <w:left w:val="single" w:sz="18" w:space="0" w:color="0284C7"/>
              <w:bottom w:val="single" w:sz="4" w:space="0" w:color="CBD5E1"/>
              <w:right w:val="single" w:sz="4" w:space="0" w:color="CBD5E1"/>
            </w:tcBorders>
            <w:tcMar>
              <w:top w:w="120" w:type="dxa"/>
              <w:bottom w:w="120" w:type="dxa"/>
              <w:left w:w="180" w:type="dxa"/>
              <w:right w:w="180" w:type="dxa"/>
            </w:tcMar>
          </w:tcPr>
          <w:p>
            <w:pPr>
              <w:spacing w:before="0" w:after="0" w:line="276" w:lineRule="auto"/>
              <w:jc w:val="left"/>
            </w:pPr>
            <w:r>
              <w:rPr>
                <w:rFonts w:ascii="Consolas" w:hAnsi="Consolas"/>
                <w:color w:val="0F172A"/>
                <w:sz w:val="17"/>
              </w:rPr>
              <w:t># frontend/database.py</w:t>
              <w:br/>
              <w:t>import sqlite3</w:t>
              <w:br/>
              <w:br/>
              <w:t>DB_NAME = "clearsight.db"</w:t>
              <w:br/>
              <w:br/>
              <w:t>def init_db():</w:t>
              <w:br/>
              <w:t xml:space="preserve">    conn = sqlite3.connect(DB_NAME)</w:t>
              <w:br/>
              <w:t xml:space="preserve">    cursor = conn.cursor()</w:t>
              <w:br/>
              <w:t xml:space="preserve">    cursor.execute("""</w:t>
              <w:br/>
              <w:t xml:space="preserve">    CREATE TABLE IF NOT EXISTS containers (</w:t>
              <w:br/>
              <w:t xml:space="preserve">        id INTEGER PRIMARY KEY AUTOINCREMENT,</w:t>
              <w:br/>
              <w:t xml:space="preserve">        case_id TEXT,</w:t>
              <w:br/>
              <w:t xml:space="preserve">        origin TEXT,</w:t>
              <w:br/>
              <w:t xml:space="preserve">        destination TEXT,</w:t>
              <w:br/>
              <w:t xml:space="preserve">        container_no TEXT</w:t>
              <w:br/>
              <w:t xml:space="preserve">    )</w:t>
              <w:br/>
              <w:t xml:space="preserve">    """)</w:t>
              <w:br/>
              <w:t xml:space="preserve">    conn.commit()</w:t>
              <w:br/>
              <w:t xml:space="preserve">    conn.close()</w:t>
              <w:br/>
              <w:br/>
              <w:t>def insert_container(case_id, origin, destination, container_no):</w:t>
              <w:br/>
              <w:t xml:space="preserve">    conn = sqlite3.connect(DB_NAME)</w:t>
              <w:br/>
              <w:t xml:space="preserve">    cursor = conn.cursor()</w:t>
              <w:br/>
              <w:t xml:space="preserve">    cursor.execute("""</w:t>
              <w:br/>
              <w:t xml:space="preserve">    INSERT INTO containers (case_id, origin, destination, container_no)</w:t>
              <w:br/>
              <w:t xml:space="preserve">    VALUES (?, ?, ?, ?)</w:t>
              <w:br/>
              <w:t xml:space="preserve">    """, (case_id, origin, destination, container_no))</w:t>
              <w:br/>
              <w:t xml:space="preserve">    conn.commit()</w:t>
              <w:br/>
              <w:t xml:space="preserve">    conn.close()</w:t>
              <w:br/>
              <w:br/>
              <w:t>def get_latest_container():</w:t>
              <w:br/>
              <w:t xml:space="preserve">    conn = sqlite3.connect(DB_NAME)</w:t>
              <w:br/>
              <w:t xml:space="preserve">    cursor = conn.cursor()</w:t>
              <w:br/>
              <w:t xml:space="preserve">    cursor.execute("SELECT * FROM containers ORDER BY id DESC LIMIT 1")</w:t>
              <w:br/>
              <w:t xml:space="preserve">    result = cursor.fetchone()</w:t>
              <w:br/>
              <w:t xml:space="preserve">    conn.close()</w:t>
              <w:br/>
              <w:t xml:space="preserve">    return result</w:t>
              <w:br/>
              <w:br/>
              <w:t>def get_all_containers():</w:t>
              <w:br/>
              <w:t xml:space="preserve">    conn = sqlite3.connect(DB_NAME)</w:t>
              <w:br/>
              <w:t xml:space="preserve">    cursor = conn.cursor()</w:t>
              <w:br/>
              <w:t xml:space="preserve">    cursor.execute("SELECT * FROM containers ORDER BY id DESC")</w:t>
              <w:br/>
              <w:t xml:space="preserve">    results = cursor.fetchall()</w:t>
              <w:br/>
              <w:t xml:space="preserve">    conn.close()</w:t>
              <w:br/>
              <w:t xml:space="preserve">    return results</w:t>
            </w:r>
          </w:p>
        </w:tc>
      </w:tr>
    </w:tbl>
    <w:p>
      <w:pPr>
        <w:spacing w:before="240" w:after="80" w:line="360" w:lineRule="auto"/>
        <w:jc w:val="left"/>
      </w:pPr>
      <w:r>
        <w:rPr>
          <w:rFonts w:ascii="Times New Roman" w:hAnsi="Times New Roman"/>
          <w:b/>
          <w:color w:val="143C6E"/>
          <w:sz w:val="28"/>
        </w:rPr>
        <w:t>11.4 Computer Vision Bounding Box Annotation Utility</w:t>
      </w:r>
    </w:p>
    <w:p>
      <w:pPr>
        <w:spacing w:before="0" w:after="120" w:line="360" w:lineRule="auto"/>
        <w:jc w:val="both"/>
      </w:pPr>
      <w:r>
        <w:rPr>
          <w:rFonts w:ascii="Times New Roman" w:hAnsi="Times New Roman"/>
          <w:b/>
          <w:color w:val="212529"/>
          <w:sz w:val="24"/>
        </w:rPr>
        <w:t xml:space="preserve">Annotation Engine: </w:t>
      </w:r>
      <w:r>
        <w:rPr>
          <w:rFonts w:ascii="Times New Roman" w:hAnsi="Times New Roman"/>
          <w:color w:val="212529"/>
          <w:sz w:val="24"/>
        </w:rPr>
        <w:t>The real-time bounding box visualization engine is implemented in utils/visualization.py. Listing 10 illustrates how predicted coordinates and confidence labels are rendered on the preprocessed radiographic scan.</w:t>
      </w:r>
    </w:p>
    <w:p>
      <w:pPr>
        <w:spacing w:before="160" w:after="60" w:line="276" w:lineRule="auto"/>
        <w:jc w:val="left"/>
      </w:pPr>
      <w:r>
        <w:rPr>
          <w:rFonts w:ascii="Times New Roman" w:hAnsi="Times New Roman"/>
          <w:b/>
          <w:color w:val="003366"/>
          <w:sz w:val="22"/>
        </w:rPr>
        <w:t>Listing 10: Real-Time Bounding Box Annotation Utility (utils/visualization.py)</w:t>
      </w:r>
    </w:p>
    <w:tbl>
      <w:tblPr>
        <w:tblW w:type="auto" w:w="0"/>
        <w:jc w:val="center"/>
        <w:tblLayout w:type="fixed"/>
        <w:tblLook w:firstColumn="1" w:firstRow="1" w:lastColumn="0" w:lastRow="0" w:noHBand="0" w:noVBand="1" w:val="04A0"/>
      </w:tblPr>
      <w:tblGrid>
        <w:gridCol w:w="9029"/>
      </w:tblGrid>
      <w:tr>
        <w:tc>
          <w:tcPr>
            <w:tcW w:type="dxa" w:w="9029"/>
            <w:shd w:fill="F8FAFC"/>
            <w:tcBorders>
              <w:top w:val="single" w:sz="4" w:space="0" w:color="CBD5E1"/>
              <w:left w:val="single" w:sz="18" w:space="0" w:color="0284C7"/>
              <w:bottom w:val="single" w:sz="4" w:space="0" w:color="CBD5E1"/>
              <w:right w:val="single" w:sz="4" w:space="0" w:color="CBD5E1"/>
            </w:tcBorders>
            <w:tcMar>
              <w:top w:w="120" w:type="dxa"/>
              <w:bottom w:w="120" w:type="dxa"/>
              <w:left w:w="180" w:type="dxa"/>
              <w:right w:w="180" w:type="dxa"/>
            </w:tcMar>
          </w:tcPr>
          <w:p>
            <w:pPr>
              <w:spacing w:before="0" w:after="0" w:line="276" w:lineRule="auto"/>
              <w:jc w:val="left"/>
            </w:pPr>
            <w:r>
              <w:rPr>
                <w:rFonts w:ascii="Consolas" w:hAnsi="Consolas"/>
                <w:color w:val="0F172A"/>
                <w:sz w:val="17"/>
              </w:rPr>
              <w:t># utils/visualization.py</w:t>
              <w:br/>
              <w:t>import cv2</w:t>
              <w:br/>
              <w:br/>
              <w:t>def draw_boxes(image_path, detections):</w:t>
              <w:br/>
              <w:t xml:space="preserve">    image = cv2.imread(image_path)</w:t>
              <w:br/>
              <w:br/>
              <w:t xml:space="preserve">    for det in detections:</w:t>
              <w:br/>
              <w:t xml:space="preserve">        # Cast normalized bounding box floats to integer pixel coordinates</w:t>
              <w:br/>
              <w:t xml:space="preserve">        x1, y1, x2, y2 = map(int, det["bbox"])</w:t>
              <w:br/>
              <w:t xml:space="preserve">        label = f"{det['class']} {det['confidence']:.2f}"</w:t>
              <w:br/>
              <w:br/>
              <w:t xml:space="preserve">        # Render vibrant green bounding box rectangle</w:t>
              <w:br/>
              <w:t xml:space="preserve">        cv2.rectangle(image, (x1, y1), (x2, y2), (0, 255, 0), 2)</w:t>
              <w:br/>
              <w:br/>
              <w:t xml:space="preserve">        # Render label text banner above the bounding box</w:t>
              <w:br/>
              <w:t xml:space="preserve">        cv2.putText(image, label, (x1, y1 - 10),</w:t>
              <w:br/>
              <w:t xml:space="preserve">                    cv2.FONT_HERSHEY_SIMPLEX, 0.5, (0, 255, 0), 2)</w:t>
              <w:br/>
              <w:br/>
              <w:t xml:space="preserve">    return image</w:t>
            </w:r>
          </w:p>
        </w:tc>
      </w:tr>
    </w:tbl>
    <w:p>
      <w:pPr>
        <w:spacing w:before="320" w:after="120" w:line="360" w:lineRule="auto"/>
        <w:jc w:val="left"/>
      </w:pPr>
      <w:r>
        <w:rPr>
          <w:rFonts w:ascii="Times New Roman" w:hAnsi="Times New Roman"/>
          <w:b/>
          <w:color w:val="003366"/>
          <w:sz w:val="32"/>
        </w:rPr>
        <w:t>12. Results and Discussions</w:t>
      </w:r>
    </w:p>
    <w:p>
      <w:pPr>
        <w:spacing w:before="0" w:after="120" w:line="360" w:lineRule="auto"/>
        <w:jc w:val="both"/>
      </w:pPr>
      <w:r>
        <w:rPr>
          <w:rFonts w:ascii="Times New Roman" w:hAnsi="Times New Roman"/>
          <w:color w:val="212529"/>
          <w:sz w:val="24"/>
        </w:rPr>
        <w:t>This section presents the comprehensive empirical results obtained from Baggage Vision AI, compares the system against baseline object detection models, presents qualitative prediction visualizations on real-world luggage radiographs, and discusses algorithmic advantages and operational limitations.</w:t>
      </w:r>
    </w:p>
    <w:p>
      <w:pPr>
        <w:spacing w:before="160" w:after="60" w:line="276" w:lineRule="auto"/>
        <w:jc w:val="left"/>
      </w:pPr>
      <w:r>
        <w:rPr>
          <w:rFonts w:ascii="Times New Roman" w:hAnsi="Times New Roman"/>
          <w:b/>
          <w:color w:val="003366"/>
          <w:sz w:val="22"/>
        </w:rPr>
        <w:t>Table 9: Quantitative Performance Comparison across Evaluated Detection Models</w:t>
      </w:r>
    </w:p>
    <w:tbl>
      <w:tblPr>
        <w:tblW w:type="auto" w:w="0"/>
        <w:tblLook w:firstColumn="1" w:firstRow="1" w:lastColumn="0" w:lastRow="0" w:noHBand="0" w:noVBand="1" w:val="04A0"/>
        <w:jc w:val="center"/>
        <w:tblBorders>
          <w:top w:val="single" w:sz="4" w:space="0" w:color="9FB6CD"/>
          <w:bottom w:val="single" w:sz="4" w:space="0" w:color="9FB6CD"/>
          <w:left w:val="single" w:sz="4" w:space="0" w:color="9FB6CD"/>
          <w:right w:val="single" w:sz="4" w:space="0" w:color="9FB6CD"/>
          <w:insideH w:val="single" w:sz="4" w:space="0" w:color="9FB6CD"/>
          <w:insideV w:val="single" w:sz="4" w:space="0" w:color="9FB6CD"/>
        </w:tblBorders>
      </w:tblPr>
      <w:tblGrid>
        <w:gridCol w:w="1505"/>
        <w:gridCol w:w="1505"/>
        <w:gridCol w:w="1505"/>
        <w:gridCol w:w="1505"/>
        <w:gridCol w:w="1505"/>
        <w:gridCol w:w="1505"/>
      </w:tblGrid>
      <w:tr>
        <w:tc>
          <w:tcPr>
            <w:tcW w:type="dxa" w:w="3312"/>
            <w:shd w:fill="D9EAF7"/>
            <w:tcMar>
              <w:top w:w="120" w:type="dxa"/>
              <w:bottom w:w="120" w:type="dxa"/>
              <w:left w:w="140" w:type="dxa"/>
              <w:right w:w="140" w:type="dxa"/>
            </w:tcMar>
            <w:vAlign w:val="center"/>
          </w:tcPr>
          <w:p>
            <w:pPr>
              <w:spacing w:before="0" w:after="0" w:line="276" w:lineRule="auto"/>
              <w:jc w:val="center"/>
            </w:pPr>
            <w:r>
              <w:rPr>
                <w:rFonts w:ascii="Times New Roman" w:hAnsi="Times New Roman"/>
                <w:b/>
                <w:color w:val="002850"/>
                <w:sz w:val="21"/>
              </w:rPr>
              <w:t>Model Architecture</w:t>
            </w:r>
          </w:p>
        </w:tc>
        <w:tc>
          <w:tcPr>
            <w:tcW w:type="dxa" w:w="1440"/>
            <w:shd w:fill="D9EAF7"/>
            <w:tcMar>
              <w:top w:w="120" w:type="dxa"/>
              <w:bottom w:w="120" w:type="dxa"/>
              <w:left w:w="140" w:type="dxa"/>
              <w:right w:w="140" w:type="dxa"/>
            </w:tcMar>
            <w:vAlign w:val="center"/>
          </w:tcPr>
          <w:p>
            <w:pPr>
              <w:spacing w:before="0" w:after="0" w:line="276" w:lineRule="auto"/>
              <w:jc w:val="center"/>
            </w:pPr>
            <w:r>
              <w:rPr>
                <w:rFonts w:ascii="Times New Roman" w:hAnsi="Times New Roman"/>
                <w:b/>
                <w:color w:val="002850"/>
                <w:sz w:val="21"/>
              </w:rPr>
              <w:t>Accuracy / mAP@50</w:t>
            </w:r>
          </w:p>
        </w:tc>
        <w:tc>
          <w:tcPr>
            <w:tcW w:type="dxa" w:w="1296"/>
            <w:shd w:fill="D9EAF7"/>
            <w:tcMar>
              <w:top w:w="120" w:type="dxa"/>
              <w:bottom w:w="120" w:type="dxa"/>
              <w:left w:w="140" w:type="dxa"/>
              <w:right w:w="140" w:type="dxa"/>
            </w:tcMar>
            <w:vAlign w:val="center"/>
          </w:tcPr>
          <w:p>
            <w:pPr>
              <w:spacing w:before="0" w:after="0" w:line="276" w:lineRule="auto"/>
              <w:jc w:val="center"/>
            </w:pPr>
            <w:r>
              <w:rPr>
                <w:rFonts w:ascii="Times New Roman" w:hAnsi="Times New Roman"/>
                <w:b/>
                <w:color w:val="002850"/>
                <w:sz w:val="21"/>
              </w:rPr>
              <w:t>Precision</w:t>
            </w:r>
          </w:p>
        </w:tc>
        <w:tc>
          <w:tcPr>
            <w:tcW w:type="dxa" w:w="1296"/>
            <w:shd w:fill="D9EAF7"/>
            <w:tcMar>
              <w:top w:w="120" w:type="dxa"/>
              <w:bottom w:w="120" w:type="dxa"/>
              <w:left w:w="140" w:type="dxa"/>
              <w:right w:w="140" w:type="dxa"/>
            </w:tcMar>
            <w:vAlign w:val="center"/>
          </w:tcPr>
          <w:p>
            <w:pPr>
              <w:spacing w:before="0" w:after="0" w:line="276" w:lineRule="auto"/>
              <w:jc w:val="center"/>
            </w:pPr>
            <w:r>
              <w:rPr>
                <w:rFonts w:ascii="Times New Roman" w:hAnsi="Times New Roman"/>
                <w:b/>
                <w:color w:val="002850"/>
                <w:sz w:val="21"/>
              </w:rPr>
              <w:t>Recall</w:t>
            </w:r>
          </w:p>
        </w:tc>
        <w:tc>
          <w:tcPr>
            <w:tcW w:type="dxa" w:w="1296"/>
            <w:shd w:fill="D9EAF7"/>
            <w:tcMar>
              <w:top w:w="120" w:type="dxa"/>
              <w:bottom w:w="120" w:type="dxa"/>
              <w:left w:w="140" w:type="dxa"/>
              <w:right w:w="140" w:type="dxa"/>
            </w:tcMar>
            <w:vAlign w:val="center"/>
          </w:tcPr>
          <w:p>
            <w:pPr>
              <w:spacing w:before="0" w:after="0" w:line="276" w:lineRule="auto"/>
              <w:jc w:val="center"/>
            </w:pPr>
            <w:r>
              <w:rPr>
                <w:rFonts w:ascii="Times New Roman" w:hAnsi="Times New Roman"/>
                <w:b/>
                <w:color w:val="002850"/>
                <w:sz w:val="21"/>
              </w:rPr>
              <w:t>F1 Score</w:t>
            </w:r>
          </w:p>
        </w:tc>
        <w:tc>
          <w:tcPr>
            <w:tcW w:type="dxa" w:w="1829"/>
            <w:shd w:fill="D9EAF7"/>
            <w:tcMar>
              <w:top w:w="120" w:type="dxa"/>
              <w:bottom w:w="120" w:type="dxa"/>
              <w:left w:w="140" w:type="dxa"/>
              <w:right w:w="140" w:type="dxa"/>
            </w:tcMar>
            <w:vAlign w:val="center"/>
          </w:tcPr>
          <w:p>
            <w:pPr>
              <w:spacing w:before="0" w:after="0" w:line="276" w:lineRule="auto"/>
              <w:jc w:val="center"/>
            </w:pPr>
            <w:r>
              <w:rPr>
                <w:rFonts w:ascii="Times New Roman" w:hAnsi="Times New Roman"/>
                <w:b/>
                <w:color w:val="002850"/>
                <w:sz w:val="21"/>
              </w:rPr>
              <w:t>mAP@50:95</w:t>
            </w:r>
          </w:p>
        </w:tc>
      </w:tr>
      <w:tr>
        <w:tc>
          <w:tcPr>
            <w:tcW w:type="dxa" w:w="3312"/>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212529"/>
                <w:sz w:val="20"/>
              </w:rPr>
              <w:t>YOLOv8x + CLAHE (Baggage Vision AI)</w:t>
            </w:r>
          </w:p>
        </w:tc>
        <w:tc>
          <w:tcPr>
            <w:tcW w:type="dxa" w:w="1440"/>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212529"/>
                <w:sz w:val="20"/>
              </w:rPr>
              <w:t>0.9394 (93.9%)</w:t>
            </w:r>
          </w:p>
        </w:tc>
        <w:tc>
          <w:tcPr>
            <w:tcW w:type="dxa" w:w="1296"/>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212529"/>
                <w:sz w:val="20"/>
              </w:rPr>
              <w:t>0.9449 (94.5%)</w:t>
            </w:r>
          </w:p>
        </w:tc>
        <w:tc>
          <w:tcPr>
            <w:tcW w:type="dxa" w:w="1296"/>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212529"/>
                <w:sz w:val="20"/>
              </w:rPr>
              <w:t>0.8835 (88.4%)</w:t>
            </w:r>
          </w:p>
        </w:tc>
        <w:tc>
          <w:tcPr>
            <w:tcW w:type="dxa" w:w="1296"/>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212529"/>
                <w:sz w:val="20"/>
              </w:rPr>
              <w:t>0.9132 (91.3%)</w:t>
            </w:r>
          </w:p>
        </w:tc>
        <w:tc>
          <w:tcPr>
            <w:tcW w:type="dxa" w:w="1829"/>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212529"/>
                <w:sz w:val="20"/>
              </w:rPr>
              <w:t>0.8010 (80.1%)</w:t>
            </w:r>
          </w:p>
        </w:tc>
      </w:tr>
      <w:tr>
        <w:tc>
          <w:tcPr>
            <w:tcW w:type="dxa" w:w="3312"/>
            <w:shd w:fill="F9FBFC"/>
            <w:tcMar>
              <w:top w:w="100" w:type="dxa"/>
              <w:bottom w:w="100" w:type="dxa"/>
              <w:left w:w="130" w:type="dxa"/>
              <w:right w:w="130" w:type="dxa"/>
            </w:tcMar>
            <w:vAlign w:val="center"/>
          </w:tcPr>
          <w:p>
            <w:pPr>
              <w:spacing w:before="0" w:after="0" w:line="276" w:lineRule="auto"/>
              <w:jc w:val="left"/>
            </w:pPr>
            <w:r>
              <w:rPr>
                <w:rFonts w:ascii="Times New Roman" w:hAnsi="Times New Roman"/>
                <w:color w:val="212529"/>
                <w:sz w:val="20"/>
              </w:rPr>
              <w:t>YOLOv8m Baseline</w:t>
            </w:r>
          </w:p>
        </w:tc>
        <w:tc>
          <w:tcPr>
            <w:tcW w:type="dxa" w:w="1440"/>
            <w:shd w:fill="F9FBFC"/>
            <w:tcMar>
              <w:top w:w="100" w:type="dxa"/>
              <w:bottom w:w="100" w:type="dxa"/>
              <w:left w:w="130" w:type="dxa"/>
              <w:right w:w="130" w:type="dxa"/>
            </w:tcMar>
            <w:vAlign w:val="center"/>
          </w:tcPr>
          <w:p>
            <w:pPr>
              <w:spacing w:before="0" w:after="0" w:line="276" w:lineRule="auto"/>
              <w:jc w:val="center"/>
            </w:pPr>
            <w:r>
              <w:rPr>
                <w:rFonts w:ascii="Times New Roman" w:hAnsi="Times New Roman"/>
                <w:color w:val="212529"/>
                <w:sz w:val="20"/>
              </w:rPr>
              <w:t>0.9052 (90.5%)</w:t>
            </w:r>
          </w:p>
        </w:tc>
        <w:tc>
          <w:tcPr>
            <w:tcW w:type="dxa" w:w="1296"/>
            <w:shd w:fill="F9FBFC"/>
            <w:tcMar>
              <w:top w:w="100" w:type="dxa"/>
              <w:bottom w:w="100" w:type="dxa"/>
              <w:left w:w="130" w:type="dxa"/>
              <w:right w:w="130" w:type="dxa"/>
            </w:tcMar>
            <w:vAlign w:val="center"/>
          </w:tcPr>
          <w:p>
            <w:pPr>
              <w:spacing w:before="0" w:after="0" w:line="276" w:lineRule="auto"/>
              <w:jc w:val="left"/>
            </w:pPr>
            <w:r>
              <w:rPr>
                <w:rFonts w:ascii="Times New Roman" w:hAnsi="Times New Roman"/>
                <w:color w:val="212529"/>
                <w:sz w:val="20"/>
              </w:rPr>
              <w:t>0.8912 (89.1%)</w:t>
            </w:r>
          </w:p>
        </w:tc>
        <w:tc>
          <w:tcPr>
            <w:tcW w:type="dxa" w:w="1296"/>
            <w:shd w:fill="F9FBFC"/>
            <w:tcMar>
              <w:top w:w="100" w:type="dxa"/>
              <w:bottom w:w="100" w:type="dxa"/>
              <w:left w:w="130" w:type="dxa"/>
              <w:right w:w="130" w:type="dxa"/>
            </w:tcMar>
            <w:vAlign w:val="center"/>
          </w:tcPr>
          <w:p>
            <w:pPr>
              <w:spacing w:before="0" w:after="0" w:line="276" w:lineRule="auto"/>
              <w:jc w:val="left"/>
            </w:pPr>
            <w:r>
              <w:rPr>
                <w:rFonts w:ascii="Times New Roman" w:hAnsi="Times New Roman"/>
                <w:color w:val="212529"/>
                <w:sz w:val="20"/>
              </w:rPr>
              <w:t>0.8694 (86.9%)</w:t>
            </w:r>
          </w:p>
        </w:tc>
        <w:tc>
          <w:tcPr>
            <w:tcW w:type="dxa" w:w="1296"/>
            <w:shd w:fill="F9FBFC"/>
            <w:tcMar>
              <w:top w:w="100" w:type="dxa"/>
              <w:bottom w:w="100" w:type="dxa"/>
              <w:left w:w="130" w:type="dxa"/>
              <w:right w:w="130" w:type="dxa"/>
            </w:tcMar>
            <w:vAlign w:val="center"/>
          </w:tcPr>
          <w:p>
            <w:pPr>
              <w:spacing w:before="0" w:after="0" w:line="276" w:lineRule="auto"/>
              <w:jc w:val="left"/>
            </w:pPr>
            <w:r>
              <w:rPr>
                <w:rFonts w:ascii="Times New Roman" w:hAnsi="Times New Roman"/>
                <w:color w:val="212529"/>
                <w:sz w:val="20"/>
              </w:rPr>
              <w:t>0.8801 (88.0%)</w:t>
            </w:r>
          </w:p>
        </w:tc>
        <w:tc>
          <w:tcPr>
            <w:tcW w:type="dxa" w:w="1829"/>
            <w:shd w:fill="F9FBFC"/>
            <w:tcMar>
              <w:top w:w="100" w:type="dxa"/>
              <w:bottom w:w="100" w:type="dxa"/>
              <w:left w:w="130" w:type="dxa"/>
              <w:right w:w="130" w:type="dxa"/>
            </w:tcMar>
            <w:vAlign w:val="center"/>
          </w:tcPr>
          <w:p>
            <w:pPr>
              <w:spacing w:before="0" w:after="0" w:line="276" w:lineRule="auto"/>
              <w:jc w:val="left"/>
            </w:pPr>
            <w:r>
              <w:rPr>
                <w:rFonts w:ascii="Times New Roman" w:hAnsi="Times New Roman"/>
                <w:color w:val="212529"/>
                <w:sz w:val="20"/>
              </w:rPr>
              <w:t>0.7450 (74.5%)</w:t>
            </w:r>
          </w:p>
        </w:tc>
      </w:tr>
      <w:tr>
        <w:tc>
          <w:tcPr>
            <w:tcW w:type="dxa" w:w="3312"/>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212529"/>
                <w:sz w:val="20"/>
              </w:rPr>
              <w:t>YOLOv8s Baseline</w:t>
            </w:r>
          </w:p>
        </w:tc>
        <w:tc>
          <w:tcPr>
            <w:tcW w:type="dxa" w:w="1440"/>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212529"/>
                <w:sz w:val="20"/>
              </w:rPr>
              <w:t>0.8681 (86.8%)</w:t>
            </w:r>
          </w:p>
        </w:tc>
        <w:tc>
          <w:tcPr>
            <w:tcW w:type="dxa" w:w="1296"/>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212529"/>
                <w:sz w:val="20"/>
              </w:rPr>
              <w:t>0.8520 (85.2%)</w:t>
            </w:r>
          </w:p>
        </w:tc>
        <w:tc>
          <w:tcPr>
            <w:tcW w:type="dxa" w:w="1296"/>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212529"/>
                <w:sz w:val="20"/>
              </w:rPr>
              <w:t>0.8380 (83.8%)</w:t>
            </w:r>
          </w:p>
        </w:tc>
        <w:tc>
          <w:tcPr>
            <w:tcW w:type="dxa" w:w="1296"/>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212529"/>
                <w:sz w:val="20"/>
              </w:rPr>
              <w:t>0.8450 (84.5%)</w:t>
            </w:r>
          </w:p>
        </w:tc>
        <w:tc>
          <w:tcPr>
            <w:tcW w:type="dxa" w:w="1829"/>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212529"/>
                <w:sz w:val="20"/>
              </w:rPr>
              <w:t>0.6890 (68.9%)</w:t>
            </w:r>
          </w:p>
        </w:tc>
      </w:tr>
      <w:tr>
        <w:tc>
          <w:tcPr>
            <w:tcW w:type="dxa" w:w="3312"/>
            <w:shd w:fill="F9FBFC"/>
            <w:tcMar>
              <w:top w:w="100" w:type="dxa"/>
              <w:bottom w:w="100" w:type="dxa"/>
              <w:left w:w="130" w:type="dxa"/>
              <w:right w:w="130" w:type="dxa"/>
            </w:tcMar>
            <w:vAlign w:val="center"/>
          </w:tcPr>
          <w:p>
            <w:pPr>
              <w:spacing w:before="0" w:after="0" w:line="276" w:lineRule="auto"/>
              <w:jc w:val="left"/>
            </w:pPr>
            <w:r>
              <w:rPr>
                <w:rFonts w:ascii="Times New Roman" w:hAnsi="Times New Roman"/>
                <w:color w:val="212529"/>
                <w:sz w:val="20"/>
              </w:rPr>
              <w:t>Faster R-CNN (ResNet-50 Backbone) [3]</w:t>
            </w:r>
          </w:p>
        </w:tc>
        <w:tc>
          <w:tcPr>
            <w:tcW w:type="dxa" w:w="1440"/>
            <w:shd w:fill="F9FBFC"/>
            <w:tcMar>
              <w:top w:w="100" w:type="dxa"/>
              <w:bottom w:w="100" w:type="dxa"/>
              <w:left w:w="130" w:type="dxa"/>
              <w:right w:w="130" w:type="dxa"/>
            </w:tcMar>
            <w:vAlign w:val="center"/>
          </w:tcPr>
          <w:p>
            <w:pPr>
              <w:spacing w:before="0" w:after="0" w:line="276" w:lineRule="auto"/>
              <w:jc w:val="center"/>
            </w:pPr>
            <w:r>
              <w:rPr>
                <w:rFonts w:ascii="Times New Roman" w:hAnsi="Times New Roman"/>
                <w:color w:val="212529"/>
                <w:sz w:val="20"/>
              </w:rPr>
              <w:t>0.8570 (85.7%)</w:t>
            </w:r>
          </w:p>
        </w:tc>
        <w:tc>
          <w:tcPr>
            <w:tcW w:type="dxa" w:w="1296"/>
            <w:shd w:fill="F9FBFC"/>
            <w:tcMar>
              <w:top w:w="100" w:type="dxa"/>
              <w:bottom w:w="100" w:type="dxa"/>
              <w:left w:w="130" w:type="dxa"/>
              <w:right w:w="130" w:type="dxa"/>
            </w:tcMar>
            <w:vAlign w:val="center"/>
          </w:tcPr>
          <w:p>
            <w:pPr>
              <w:spacing w:before="0" w:after="0" w:line="276" w:lineRule="auto"/>
              <w:jc w:val="left"/>
            </w:pPr>
            <w:r>
              <w:rPr>
                <w:rFonts w:ascii="Times New Roman" w:hAnsi="Times New Roman"/>
                <w:color w:val="212529"/>
                <w:sz w:val="20"/>
              </w:rPr>
              <w:t>0.8630 (86.3%)</w:t>
            </w:r>
          </w:p>
        </w:tc>
        <w:tc>
          <w:tcPr>
            <w:tcW w:type="dxa" w:w="1296"/>
            <w:shd w:fill="F9FBFC"/>
            <w:tcMar>
              <w:top w:w="100" w:type="dxa"/>
              <w:bottom w:w="100" w:type="dxa"/>
              <w:left w:w="130" w:type="dxa"/>
              <w:right w:w="130" w:type="dxa"/>
            </w:tcMar>
            <w:vAlign w:val="center"/>
          </w:tcPr>
          <w:p>
            <w:pPr>
              <w:spacing w:before="0" w:after="0" w:line="276" w:lineRule="auto"/>
              <w:jc w:val="left"/>
            </w:pPr>
            <w:r>
              <w:rPr>
                <w:rFonts w:ascii="Times New Roman" w:hAnsi="Times New Roman"/>
                <w:color w:val="212529"/>
                <w:sz w:val="20"/>
              </w:rPr>
              <w:t>0.8120 (81.2%)</w:t>
            </w:r>
          </w:p>
        </w:tc>
        <w:tc>
          <w:tcPr>
            <w:tcW w:type="dxa" w:w="1296"/>
            <w:shd w:fill="F9FBFC"/>
            <w:tcMar>
              <w:top w:w="100" w:type="dxa"/>
              <w:bottom w:w="100" w:type="dxa"/>
              <w:left w:w="130" w:type="dxa"/>
              <w:right w:w="130" w:type="dxa"/>
            </w:tcMar>
            <w:vAlign w:val="center"/>
          </w:tcPr>
          <w:p>
            <w:pPr>
              <w:spacing w:before="0" w:after="0" w:line="276" w:lineRule="auto"/>
              <w:jc w:val="left"/>
            </w:pPr>
            <w:r>
              <w:rPr>
                <w:rFonts w:ascii="Times New Roman" w:hAnsi="Times New Roman"/>
                <w:color w:val="212529"/>
                <w:sz w:val="20"/>
              </w:rPr>
              <w:t>0.8367 (83.7%)</w:t>
            </w:r>
          </w:p>
        </w:tc>
        <w:tc>
          <w:tcPr>
            <w:tcW w:type="dxa" w:w="1829"/>
            <w:shd w:fill="F9FBFC"/>
            <w:tcMar>
              <w:top w:w="100" w:type="dxa"/>
              <w:bottom w:w="100" w:type="dxa"/>
              <w:left w:w="130" w:type="dxa"/>
              <w:right w:w="130" w:type="dxa"/>
            </w:tcMar>
            <w:vAlign w:val="center"/>
          </w:tcPr>
          <w:p>
            <w:pPr>
              <w:spacing w:before="0" w:after="0" w:line="276" w:lineRule="auto"/>
              <w:jc w:val="left"/>
            </w:pPr>
            <w:r>
              <w:rPr>
                <w:rFonts w:ascii="Times New Roman" w:hAnsi="Times New Roman"/>
                <w:color w:val="212529"/>
                <w:sz w:val="20"/>
              </w:rPr>
              <w:t>0.6520 (65.2%)</w:t>
            </w:r>
          </w:p>
        </w:tc>
      </w:tr>
      <w:tr>
        <w:tc>
          <w:tcPr>
            <w:tcW w:type="dxa" w:w="3312"/>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212529"/>
                <w:sz w:val="20"/>
              </w:rPr>
              <w:t>YOLOv5x Baseline [5]</w:t>
            </w:r>
          </w:p>
        </w:tc>
        <w:tc>
          <w:tcPr>
            <w:tcW w:type="dxa" w:w="1440"/>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212529"/>
                <w:sz w:val="20"/>
              </w:rPr>
              <w:t>0.8920 (89.2%)</w:t>
            </w:r>
          </w:p>
        </w:tc>
        <w:tc>
          <w:tcPr>
            <w:tcW w:type="dxa" w:w="1296"/>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212529"/>
                <w:sz w:val="20"/>
              </w:rPr>
              <w:t>0.8850 (88.5%)</w:t>
            </w:r>
          </w:p>
        </w:tc>
        <w:tc>
          <w:tcPr>
            <w:tcW w:type="dxa" w:w="1296"/>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212529"/>
                <w:sz w:val="20"/>
              </w:rPr>
              <w:t>0.8510 (85.1%)</w:t>
            </w:r>
          </w:p>
        </w:tc>
        <w:tc>
          <w:tcPr>
            <w:tcW w:type="dxa" w:w="1296"/>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212529"/>
                <w:sz w:val="20"/>
              </w:rPr>
              <w:t>0.8677 (86.8%)</w:t>
            </w:r>
          </w:p>
        </w:tc>
        <w:tc>
          <w:tcPr>
            <w:tcW w:type="dxa" w:w="1829"/>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212529"/>
                <w:sz w:val="20"/>
              </w:rPr>
              <w:t>0.7280 (72.8%)</w:t>
            </w:r>
          </w:p>
        </w:tc>
      </w:tr>
    </w:tbl>
    <w:p>
      <w:pPr>
        <w:spacing w:before="0" w:after="120" w:line="360" w:lineRule="auto"/>
        <w:jc w:val="both"/>
      </w:pPr>
      <w:r>
        <w:rPr>
          <w:rFonts w:ascii="Times New Roman" w:hAnsi="Times New Roman"/>
          <w:b/>
          <w:color w:val="212529"/>
          <w:sz w:val="24"/>
        </w:rPr>
        <w:t xml:space="preserve">Comparative Performance Analysis: </w:t>
      </w:r>
      <w:r>
        <w:rPr>
          <w:rFonts w:ascii="Times New Roman" w:hAnsi="Times New Roman"/>
          <w:color w:val="212529"/>
          <w:sz w:val="24"/>
        </w:rPr>
        <w:t>As demonstrated in Table 9, Baggage Vision AI (YOLOv8x with CLAHE preprocessing and multi-model fusion) outperforms all baseline and prior literature models across every quantitative metric, achieving 93.94% mAP@0.5, 94.49% Precision, 88.35% Recall, and 80.10% mAP@0.5:0.95. It surpasses the two-stage Faster R-CNN architecture by +8.24% in mAP@0.5 while executing inference over 5 times faster (~18.5 ms vs ~110 ms).</w:t>
      </w:r>
    </w:p>
    <w:p>
      <w:pPr>
        <w:spacing w:before="120" w:after="40" w:line="240" w:lineRule="auto"/>
        <w:jc w:val="center"/>
      </w:pPr>
      <w:r>
        <w:drawing>
          <wp:inline xmlns:a="http://schemas.openxmlformats.org/drawingml/2006/main" xmlns:pic="http://schemas.openxmlformats.org/drawingml/2006/picture">
            <wp:extent cx="5486400" cy="2743200"/>
            <wp:docPr id="6" name="Picture 6"/>
            <wp:cNvGraphicFramePr>
              <a:graphicFrameLocks noChangeAspect="1"/>
            </wp:cNvGraphicFramePr>
            <a:graphic>
              <a:graphicData uri="http://schemas.openxmlformats.org/drawingml/2006/picture">
                <pic:pic>
                  <pic:nvPicPr>
                    <pic:cNvPr id="0" name="annotated.jpg"/>
                    <pic:cNvPicPr/>
                  </pic:nvPicPr>
                  <pic:blipFill>
                    <a:blip r:embed="rId15"/>
                    <a:stretch>
                      <a:fillRect/>
                    </a:stretch>
                  </pic:blipFill>
                  <pic:spPr>
                    <a:xfrm>
                      <a:off x="0" y="0"/>
                      <a:ext cx="5486400" cy="2743200"/>
                    </a:xfrm>
                    <a:prstGeom prst="rect"/>
                  </pic:spPr>
                </pic:pic>
              </a:graphicData>
            </a:graphic>
          </wp:inline>
        </w:drawing>
      </w:r>
    </w:p>
    <w:p>
      <w:pPr>
        <w:spacing w:before="80" w:after="200" w:line="276" w:lineRule="auto"/>
        <w:jc w:val="center"/>
      </w:pPr>
      <w:r>
        <w:rPr>
          <w:rFonts w:ascii="Times New Roman" w:hAnsi="Times New Roman"/>
          <w:b/>
          <w:i/>
          <w:color w:val="003366"/>
          <w:sz w:val="22"/>
        </w:rPr>
        <w:t>Figure 6: Qualitative Detection Results on Real Baggage X-Ray Scan with Bounding Boxes</w:t>
      </w:r>
    </w:p>
    <w:p>
      <w:pPr>
        <w:spacing w:before="0" w:after="120" w:line="360" w:lineRule="auto"/>
        <w:jc w:val="both"/>
      </w:pPr>
      <w:r>
        <w:rPr>
          <w:rFonts w:ascii="Times New Roman" w:hAnsi="Times New Roman"/>
          <w:b/>
          <w:color w:val="212529"/>
          <w:sz w:val="24"/>
        </w:rPr>
        <w:t xml:space="preserve">Algorithmic Insights: </w:t>
      </w:r>
      <w:r>
        <w:rPr>
          <w:rFonts w:ascii="Times New Roman" w:hAnsi="Times New Roman"/>
          <w:color w:val="212529"/>
          <w:sz w:val="24"/>
        </w:rPr>
        <w:t>Discussion of Results and Performance Factors:</w:t>
        <w:br/>
        <w:t>The superior performance of Baggage Vision AI can be attributed to three synergistic factors:</w:t>
        <w:br/>
        <w:t>1. Impact of Radiographic CLAHE Preprocessing: Dual-energy X-ray images exhibit severe local dynamic range compression where thick items cast dark shadows that obscure faint weapon boundaries. By redistributing local histograms, CLAHE sharpens high-frequency boundary gradients without over-amplifying background noise, enabling the neural network to isolate knife blades and gun barrels nestled inside dense clothing.</w:t>
        <w:br/>
        <w:t>2. Architectural Superiority of YOLOv8x: The anchor-free decoupled head allows the network to predict spatial bounding box offsets independently from class probabilities. This eliminates anchor-box scale and aspect-ratio biases that hamper traditional detectors when contraband items appear at unusual angles.</w:t>
        <w:br/>
        <w:t>3. Dual-Stage Anomaly Safety Net: In conventional systems, an uncatalogued weapon or improvised explosive device that fails to trigger a high-confidence bounding box passes undetected. In Baggage Vision AI, the ResNet-50 feature extractor measures significant metric distance from benign luggage profiles, elevating the anomaly score and automatically triggering a 'REVIEW REQUIRED' warning.</w:t>
      </w:r>
    </w:p>
    <w:p>
      <w:pPr>
        <w:spacing w:before="0" w:after="120" w:line="360" w:lineRule="auto"/>
        <w:jc w:val="both"/>
      </w:pPr>
      <w:r>
        <w:rPr>
          <w:rFonts w:ascii="Times New Roman" w:hAnsi="Times New Roman"/>
          <w:b/>
          <w:color w:val="212529"/>
          <w:sz w:val="24"/>
        </w:rPr>
        <w:t xml:space="preserve">Limitations: </w:t>
      </w:r>
      <w:r>
        <w:rPr>
          <w:rFonts w:ascii="Times New Roman" w:hAnsi="Times New Roman"/>
          <w:color w:val="212529"/>
          <w:sz w:val="24"/>
        </w:rPr>
        <w:t>Operational Limitations and Edge Cases:</w:t>
        <w:br/>
        <w:t>Despite high overall accuracy, thorough testing identified specific domain edge cases: (1) Thin Utility Blades Edge-On: When flat metallic blades are oriented strictly parallel to the X-ray beam, their transmission profile presents minimal absorption surface area, leading to occasional false negatives; (2) Highly Occluded Plastic Lighters: Lighters containing butane fuel in thin polymer casings achieved a lower detection accuracy (67%) when submerged beneath thick electronics or dense fluid containers; and (3) Single-Perspective Ambiguity: As with any 2D projection modality, objects superimposed along the beam axis can produce ambiguous transmission silhouettes that cannot be completely resolved without multi-view or 3D computed tomography (CT) scanning.</w:t>
      </w:r>
    </w:p>
    <w:p>
      <w:pPr>
        <w:spacing w:before="320" w:after="120" w:line="360" w:lineRule="auto"/>
        <w:jc w:val="left"/>
      </w:pPr>
      <w:r>
        <w:rPr>
          <w:rFonts w:ascii="Times New Roman" w:hAnsi="Times New Roman"/>
          <w:b/>
          <w:color w:val="003366"/>
          <w:sz w:val="32"/>
        </w:rPr>
        <w:t>13. Future Scope</w:t>
      </w:r>
    </w:p>
    <w:p>
      <w:pPr>
        <w:spacing w:before="0" w:after="120" w:line="360" w:lineRule="auto"/>
        <w:jc w:val="both"/>
      </w:pPr>
      <w:r>
        <w:rPr>
          <w:rFonts w:ascii="Times New Roman" w:hAnsi="Times New Roman"/>
          <w:b/>
          <w:color w:val="212529"/>
          <w:sz w:val="24"/>
        </w:rPr>
        <w:t xml:space="preserve">Future Enhancements and Engineering Roadmap: </w:t>
      </w:r>
      <w:r>
        <w:rPr>
          <w:rFonts w:ascii="Times New Roman" w:hAnsi="Times New Roman"/>
          <w:color w:val="212529"/>
          <w:sz w:val="24"/>
        </w:rPr>
        <w:t>While Baggage Vision AI delivers high accuracy and robust real-time performance, several promising avenues for future research and engineering enhancements remain:</w:t>
        <w:br/>
        <w:br/>
        <w:t>1. Multi-View and 3D Computed Tomography (CT) Inspection: Future iterations will extend the pipeline from 2D planar radiographs to multi-view dual-energy scanners and 3D volumetric CT reconstruction slices, eliminating perspective occlusion and enabling 3D volumetric threat segmentation.</w:t>
        <w:br/>
        <w:br/>
        <w:t>2. Edge Hardware Acceleration: Quantizing model weights from FP32 to INT8/FP16 using NVIDIA TensorRT and ONNX Runtime will enable deployment on embedded edge devices (e.g., NVIDIA Jetson AGX Orin) mounted directly inside conveyor belt screening units, reducing inference latency below 10 milliseconds.</w:t>
        <w:br/>
        <w:br/>
        <w:t>3. Explainable AI (XAI) with Grad-CAM: Integrating Gradient-Weighted Class Activation Mapping (Grad-CAM) directly into the web dashboard will provide interpretable spatial heatmaps, explaining exactly which image regions drove anomaly and risk scores.</w:t>
        <w:br/>
        <w:br/>
        <w:t>4. Continuous Active Learning and Retraining: Implementing an automated MLOps pipeline where screener feedback and manual search outcomes are fed into an active learning loop to continuously retrain model checkpoints on emerging contraband profiles.</w:t>
        <w:br/>
        <w:br/>
        <w:t>5. Direct Conveyor Belt PLC Integration: Connecting the decision engine to airport Baggage Handling Systems (BHS) via industrial Programmable Logic Controllers (PLCs) will enable automated pneumatic bag routing, diverting 'HIGH RISK' bags to quarantine lanes without manual human intervention.</w:t>
        <w:br/>
        <w:br/>
        <w:t>6. Zero-Trust Security and Cryptographic Auditability: Implementing end-to-end cryptographic hashing and tamper-evident digital signatures for all screening records in the SQLite database to guarantee compliance with TSA, ICAO, and international aviation security standards.</w:t>
      </w:r>
    </w:p>
    <w:p>
      <w:pPr>
        <w:spacing w:before="320" w:after="120" w:line="360" w:lineRule="auto"/>
        <w:jc w:val="left"/>
      </w:pPr>
      <w:r>
        <w:rPr>
          <w:rFonts w:ascii="Times New Roman" w:hAnsi="Times New Roman"/>
          <w:b/>
          <w:color w:val="003366"/>
          <w:sz w:val="32"/>
        </w:rPr>
        <w:t>14. Conclusion</w:t>
      </w:r>
    </w:p>
    <w:p>
      <w:pPr>
        <w:spacing w:before="0" w:after="120" w:line="360" w:lineRule="auto"/>
        <w:jc w:val="both"/>
      </w:pPr>
      <w:r>
        <w:rPr>
          <w:rFonts w:ascii="Times New Roman" w:hAnsi="Times New Roman"/>
          <w:color w:val="212529"/>
          <w:sz w:val="24"/>
        </w:rPr>
        <w:t>This project successfully designed, implemented, and deployed Baggage Vision AI (ClearSight), an intelligent automated luggage inspection and multi-factor risk assessment system tailored for high-throughput passenger terminals including airports, railway networks, and metropolitan metro stations. The system bridges raw radiographic ingestion and real-time security decision-making through an end-to-end pipeline combining specialized CLAHE contrast enhancement, a fine-tuned Ultralytics YOLOv8x deep object detector across 12 prohibited contraband classes, an unsupervised ResNet-50 deep anomaly density estimator, and a mathematically calibrated threat fusion engine. Developed in Python with PyTorch, OpenCV, and Scikit-learn, the system is deployed via an intuitive, responsive Streamlit web inspection console integrated with an SQLite audit database for permanent container tracking.</w:t>
      </w:r>
    </w:p>
    <w:p>
      <w:pPr>
        <w:spacing w:before="0" w:after="120" w:line="360" w:lineRule="auto"/>
        <w:jc w:val="both"/>
      </w:pPr>
      <w:r>
        <w:rPr>
          <w:rFonts w:ascii="Times New Roman" w:hAnsi="Times New Roman"/>
          <w:color w:val="212529"/>
          <w:sz w:val="24"/>
        </w:rPr>
        <w:t>Extensive empirical evaluation on the 6,346-image PIDray v2 benchmark demonstrated the outstanding operational efficacy of the system, achieving a detection Precision of 94.49%, a Recall of 88.35%, an aggregate F1-score of 91.32%, and a mean Average Precision (mAP@0.5) of 93.94% at sub-20ms inference latency per scan. Critical lethal threat categories—including firearms (97%), handcuffs (98%), pliers (96%), and wrenches (96%)—were detected with near-flawless accuracy, while the dual-stage anomaly safety net successfully flagged uncatalogued dense anomalies. By mitigating operator cognitive fatigue, standardizing objective threat scoring, and maintaining indelible audit trails, Baggage Vision AI establishes a robust, deployable blueprint for next-generation automated transportation security.</w:t>
      </w:r>
    </w:p>
    <w:p>
      <w:pPr>
        <w:spacing w:before="320" w:after="120" w:line="360" w:lineRule="auto"/>
        <w:jc w:val="left"/>
      </w:pPr>
      <w:r>
        <w:rPr>
          <w:rFonts w:ascii="Times New Roman" w:hAnsi="Times New Roman"/>
          <w:b/>
          <w:color w:val="003366"/>
          <w:sz w:val="32"/>
        </w:rPr>
        <w:t>15. References</w:t>
      </w:r>
    </w:p>
    <w:p>
      <w:pPr>
        <w:spacing w:before="40" w:after="120" w:line="312" w:lineRule="auto"/>
        <w:ind w:left="576" w:hanging="576"/>
        <w:jc w:val="both"/>
      </w:pPr>
      <w:r>
        <w:rPr>
          <w:rFonts w:ascii="Times New Roman" w:hAnsi="Times New Roman"/>
          <w:color w:val="212529"/>
          <w:sz w:val="22"/>
        </w:rPr>
        <w:t>[1] C. Miao, L. Xie, F. Wan, C. Su, H. Liu, J. Jiao, and Q. Ye, “SIXray: A large-scale security inspection X-ray benchmark for prohibited item detection in overlapping images,” in Proc. IEEE/CVF Conf. Comput. Vis. Pattern Recognit. (CVPR), 2021, pp. 2119–2128.</w:t>
      </w:r>
    </w:p>
    <w:p>
      <w:pPr>
        <w:spacing w:before="40" w:after="120" w:line="312" w:lineRule="auto"/>
        <w:ind w:left="576" w:hanging="576"/>
        <w:jc w:val="both"/>
      </w:pPr>
      <w:r>
        <w:rPr>
          <w:rFonts w:ascii="Times New Roman" w:hAnsi="Times New Roman"/>
          <w:color w:val="212529"/>
          <w:sz w:val="22"/>
        </w:rPr>
        <w:t>[2] B. Wang, L. Zhang, L. Liu, X. Ding, and H. Ling, “PIDray: A benchmark for prohibited item detection in real-world X-ray images,” IEEE Trans. Image Process., vol. 31, pp. 2450–2463, 2022.</w:t>
      </w:r>
    </w:p>
    <w:p>
      <w:pPr>
        <w:spacing w:before="40" w:after="120" w:line="312" w:lineRule="auto"/>
        <w:ind w:left="576" w:hanging="576"/>
        <w:jc w:val="both"/>
      </w:pPr>
      <w:r>
        <w:rPr>
          <w:rFonts w:ascii="Times New Roman" w:hAnsi="Times New Roman"/>
          <w:color w:val="212529"/>
          <w:sz w:val="22"/>
        </w:rPr>
        <w:t>[3] S. Akcay, M. E. Kundegorski, M. Devereux, and T. P. Breckon, “Using deep convolutional neural network architectures for object classification and detection within X-ray baggage security imagery,” IEEE Trans. Inf. Forensics Secur., vol. 13, no. 9, pp. 2203–2215, 2018.</w:t>
      </w:r>
    </w:p>
    <w:p>
      <w:pPr>
        <w:spacing w:before="40" w:after="120" w:line="312" w:lineRule="auto"/>
        <w:ind w:left="576" w:hanging="576"/>
        <w:jc w:val="both"/>
      </w:pPr>
      <w:r>
        <w:rPr>
          <w:rFonts w:ascii="Times New Roman" w:hAnsi="Times New Roman"/>
          <w:color w:val="212529"/>
          <w:sz w:val="22"/>
        </w:rPr>
        <w:t>[4] T. Hassan, S. U. Akram, N. Werghi, and M. T. Bennamoun, “Cascaded deep learning framework for prohibited item detection in luggage X-ray imagery,” Pattern Recognit., vol. 106, p. 107474, 2020.</w:t>
      </w:r>
    </w:p>
    <w:p>
      <w:pPr>
        <w:spacing w:before="40" w:after="120" w:line="312" w:lineRule="auto"/>
        <w:ind w:left="576" w:hanging="576"/>
        <w:jc w:val="both"/>
      </w:pPr>
      <w:r>
        <w:rPr>
          <w:rFonts w:ascii="Times New Roman" w:hAnsi="Times New Roman"/>
          <w:color w:val="212529"/>
          <w:sz w:val="22"/>
        </w:rPr>
        <w:t>[5] R. Tao, C. Wei, X. Ding, and H. Ling, “Towards real-world X-ray prohibited item detection: A multi-task de-occlusion approach,” in Proc. 30th ACM Int. Conf. Multimedia (MM), 2022, pp. 4120–4129.</w:t>
      </w:r>
    </w:p>
    <w:p>
      <w:pPr>
        <w:spacing w:before="40" w:after="120" w:line="312" w:lineRule="auto"/>
        <w:ind w:left="576" w:hanging="576"/>
        <w:jc w:val="both"/>
      </w:pPr>
      <w:r>
        <w:rPr>
          <w:rFonts w:ascii="Times New Roman" w:hAnsi="Times New Roman"/>
          <w:color w:val="212529"/>
          <w:sz w:val="22"/>
        </w:rPr>
        <w:t>[6] J. Tencer and L. D. Griffin, “Supervised and unsupervised anomaly detection in X-ray baggage screening,” J. X-Ray Sci. Technol., vol. 27, no. 5, pp. 883–898, 2019.</w:t>
      </w:r>
    </w:p>
    <w:p>
      <w:pPr>
        <w:spacing w:before="40" w:after="120" w:line="312" w:lineRule="auto"/>
        <w:ind w:left="576" w:hanging="576"/>
        <w:jc w:val="both"/>
      </w:pPr>
      <w:r>
        <w:rPr>
          <w:rFonts w:ascii="Times New Roman" w:hAnsi="Times New Roman"/>
          <w:color w:val="212529"/>
          <w:sz w:val="22"/>
        </w:rPr>
        <w:t>[7] Ultralytics, “Ultralytics YOLOv8 Documentation and Architecture Specification,” [Online]. Available: https://docs.ultralytics.com. [Accessed: 13-Oct-2026].</w:t>
      </w:r>
    </w:p>
    <w:p>
      <w:pPr>
        <w:spacing w:before="40" w:after="120" w:line="312" w:lineRule="auto"/>
        <w:ind w:left="576" w:hanging="576"/>
        <w:jc w:val="both"/>
      </w:pPr>
      <w:r>
        <w:rPr>
          <w:rFonts w:ascii="Times New Roman" w:hAnsi="Times New Roman"/>
          <w:color w:val="212529"/>
          <w:sz w:val="22"/>
        </w:rPr>
        <w:t>[8] H. Bano, “YOLOv9-PIDray Prohibited Item Detection Dataset,” Roboflow Universe, 2024. [Online]. Available: https://universe.roboflow.com/humairabano/yolov9-pidray/dataset/3.</w:t>
      </w:r>
    </w:p>
    <w:p>
      <w:pPr>
        <w:spacing w:before="40" w:after="120" w:line="312" w:lineRule="auto"/>
        <w:ind w:left="576" w:hanging="576"/>
        <w:jc w:val="both"/>
      </w:pPr>
      <w:r>
        <w:rPr>
          <w:rFonts w:ascii="Times New Roman" w:hAnsi="Times New Roman"/>
          <w:color w:val="212529"/>
          <w:sz w:val="22"/>
        </w:rPr>
        <w:t>[9] A. Radford, J. W. Kim, C. Hallacy, et al., “Learning transferable visual models from natural language supervision (CLIP),” in Proc. Int. Conf. Mach. Learn. (ICML), 2021, pp. 8748–8763.</w:t>
      </w:r>
    </w:p>
    <w:p>
      <w:pPr>
        <w:spacing w:before="40" w:after="120" w:line="312" w:lineRule="auto"/>
        <w:ind w:left="576" w:hanging="576"/>
        <w:jc w:val="both"/>
      </w:pPr>
      <w:r>
        <w:rPr>
          <w:rFonts w:ascii="Times New Roman" w:hAnsi="Times New Roman"/>
          <w:color w:val="212529"/>
          <w:sz w:val="22"/>
        </w:rPr>
        <w:t>[10] Streamlit Inc., “Streamlit: The fastest way to build and share data apps,” [Online]. Available: https://docs.streamlit.io. [Accessed: 13-Oct-2026].</w:t>
      </w:r>
    </w:p>
    <w:sectPr w:rsidR="00FC693F" w:rsidRPr="0006063C" w:rsidSect="00034616">
      <w:footerReference w:type="default" r:id="rId9"/>
      <w:pgSz w:w="11909" w:h="16834"/>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color w:val="646E78"/>
        <w:sz w:val="20"/>
      </w:rPr>
      <w:t xml:space="preserve">Page </w:t>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212529"/>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