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0F172A"/>
          <w:sz w:val="56"/>
          <w:szCs w:val="56"/>
        </w:rPr>
        <w:t xml:space="preserve">University Success Analysis</w:t>
      </w:r>
    </w:p>
    <w:p>
      <w:pPr>
        <w:spacing w:after="120" w:before="0"/>
        <w:jc w:val="center"/>
      </w:pPr>
      <w:r>
        <w:rPr>
          <w:rFonts w:ascii="Arial" w:cs="Arial" w:eastAsia="Arial" w:hAnsi="Arial"/>
          <w:color w:val="94A3B8"/>
          <w:sz w:val="30"/>
          <w:szCs w:val="30"/>
        </w:rPr>
        <w:t xml:space="preserve">Dashboard Documentation &amp; User Guide</w:t>
      </w:r>
    </w:p>
    <w:p>
      <w:pPr>
        <w:pBdr>
          <w:bottom w:val="single" w:color="1D4ED8" w:sz="6" w:space="8"/>
        </w:pBdr>
        <w:spacing w:after="60" w:before="0"/>
        <w:jc w:val="center"/>
      </w:pPr>
      <w:r>
        <w:rPr>
          <w:rFonts w:ascii="Arial" w:cs="Arial" w:eastAsia="Arial" w:hAnsi="Arial"/>
          <w:sz w:val="22"/>
          <w:szCs w:val="22"/>
        </w:rPr>
        <w:t xml:space="preserve"/>
      </w:r>
    </w:p>
    <w:p>
      <w:pPr>
        <w:spacing w:after="0" w:before="12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tblGrid>
      <w:tr>
        <w:tc>
          <w:tcPr>
            <w:tcW w:type="dxa" w:w="1440"/>
            <w:tcBorders>
              <w:top w:val="none" w:color="FFFFFF" w:sz="0"/>
              <w:left w:val="none" w:color="FFFFFF" w:sz="0"/>
              <w:bottom w:val="none" w:color="FFFFFF" w:sz="0"/>
              <w:right w:val="none" w:color="FFFFFF" w:sz="0"/>
            </w:tcBorders>
            <w:shd w:fill="EFF6FF" w:val="clear"/>
            <w:tcMar>
              <w:top w:type="dxa" w:w="120"/>
              <w:left w:type="dxa" w:w="120"/>
              <w:bottom w:type="dxa" w:w="120"/>
              <w:right w:type="dxa" w:w="120"/>
            </w:tcMar>
          </w:tcPr>
          <w:p>
            <w:pPr>
              <w:jc w:val="center"/>
            </w:pPr>
            <w:r>
              <w:rPr>
                <w:rFonts w:ascii="Arial" w:cs="Arial" w:eastAsia="Arial" w:hAnsi="Arial"/>
                <w:b/>
                <w:bCs/>
                <w:color w:val="1D4ED8"/>
                <w:sz w:val="28"/>
                <w:szCs w:val="28"/>
              </w:rPr>
              <w:t xml:space="preserve">1,247</w:t>
            </w:r>
            <w:r>
              <w:rPr>
                <w:rFonts w:ascii="Arial" w:cs="Arial" w:eastAsia="Arial" w:hAnsi="Arial"/>
                <w:color w:val="94A3B8"/>
                <w:sz w:val="18"/>
                <w:szCs w:val="18"/>
              </w:rPr>
              <w:t xml:space="preserve">
Universities</w:t>
            </w:r>
          </w:p>
        </w:tc>
        <w:tc>
          <w:tcPr>
            <w:tcW w:type="dxa" w:w="1440"/>
            <w:tcBorders>
              <w:top w:val="none" w:color="FFFFFF" w:sz="0"/>
              <w:left w:val="none" w:color="FFFFFF" w:sz="0"/>
              <w:bottom w:val="none" w:color="FFFFFF" w:sz="0"/>
              <w:right w:val="none" w:color="FFFFFF" w:sz="0"/>
            </w:tcBorders>
            <w:shd w:fill="EEF2FF" w:val="clear"/>
            <w:tcMar>
              <w:top w:type="dxa" w:w="120"/>
              <w:left w:type="dxa" w:w="120"/>
              <w:bottom w:type="dxa" w:w="120"/>
              <w:right w:type="dxa" w:w="120"/>
            </w:tcMar>
          </w:tcPr>
          <w:p>
            <w:pPr>
              <w:jc w:val="center"/>
            </w:pPr>
            <w:r>
              <w:rPr>
                <w:rFonts w:ascii="Arial" w:cs="Arial" w:eastAsia="Arial" w:hAnsi="Arial"/>
                <w:b/>
                <w:bCs/>
                <w:color w:val="4F46E5"/>
                <w:sz w:val="28"/>
                <w:szCs w:val="28"/>
              </w:rPr>
              <w:t xml:space="preserve">74</w:t>
            </w:r>
            <w:r>
              <w:rPr>
                <w:rFonts w:ascii="Arial" w:cs="Arial" w:eastAsia="Arial" w:hAnsi="Arial"/>
                <w:color w:val="94A3B8"/>
                <w:sz w:val="18"/>
                <w:szCs w:val="18"/>
              </w:rPr>
              <w:t xml:space="preserve">
Countries</w:t>
            </w:r>
          </w:p>
        </w:tc>
        <w:tc>
          <w:tcPr>
            <w:tcW w:type="dxa" w:w="1440"/>
            <w:tcBorders>
              <w:top w:val="none" w:color="FFFFFF" w:sz="0"/>
              <w:left w:val="none" w:color="FFFFFF" w:sz="0"/>
              <w:bottom w:val="none" w:color="FFFFFF" w:sz="0"/>
              <w:right w:val="none" w:color="FFFFFF" w:sz="0"/>
            </w:tcBorders>
            <w:shd w:fill="FFFBEB" w:val="clear"/>
            <w:tcMar>
              <w:top w:type="dxa" w:w="120"/>
              <w:left w:type="dxa" w:w="120"/>
              <w:bottom w:type="dxa" w:w="120"/>
              <w:right w:type="dxa" w:w="120"/>
            </w:tcMar>
          </w:tcPr>
          <w:p>
            <w:pPr>
              <w:jc w:val="center"/>
            </w:pPr>
            <w:r>
              <w:rPr>
                <w:rFonts w:ascii="Arial" w:cs="Arial" w:eastAsia="Arial" w:hAnsi="Arial"/>
                <w:b/>
                <w:bCs/>
                <w:color w:val="D97706"/>
                <w:sz w:val="28"/>
                <w:szCs w:val="28"/>
              </w:rPr>
              <w:t xml:space="preserve">29,612</w:t>
            </w:r>
            <w:r>
              <w:rPr>
                <w:rFonts w:ascii="Arial" w:cs="Arial" w:eastAsia="Arial" w:hAnsi="Arial"/>
                <w:color w:val="94A3B8"/>
                <w:sz w:val="18"/>
                <w:szCs w:val="18"/>
              </w:rPr>
              <w:t xml:space="preserve">
Records</w:t>
            </w:r>
          </w:p>
        </w:tc>
        <w:tc>
          <w:tcPr>
            <w:tcW w:type="dxa" w:w="1440"/>
            <w:tcBorders>
              <w:top w:val="none" w:color="FFFFFF" w:sz="0"/>
              <w:left w:val="none" w:color="FFFFFF" w:sz="0"/>
              <w:bottom w:val="none" w:color="FFFFFF" w:sz="0"/>
              <w:right w:val="none" w:color="FFFFFF" w:sz="0"/>
            </w:tcBorders>
            <w:shd w:fill="F0FDF4" w:val="clear"/>
            <w:tcMar>
              <w:top w:type="dxa" w:w="120"/>
              <w:left w:type="dxa" w:w="120"/>
              <w:bottom w:type="dxa" w:w="120"/>
              <w:right w:type="dxa" w:w="120"/>
            </w:tcMar>
          </w:tcPr>
          <w:p>
            <w:pPr>
              <w:jc w:val="center"/>
            </w:pPr>
            <w:r>
              <w:rPr>
                <w:rFonts w:ascii="Arial" w:cs="Arial" w:eastAsia="Arial" w:hAnsi="Arial"/>
                <w:b/>
                <w:bCs/>
                <w:color w:val="059669"/>
                <w:sz w:val="22"/>
                <w:szCs w:val="22"/>
              </w:rPr>
              <w:t xml:space="preserve">2005–2016</w:t>
            </w:r>
            <w:r>
              <w:rPr>
                <w:rFonts w:ascii="Arial" w:cs="Arial" w:eastAsia="Arial" w:hAnsi="Arial"/>
                <w:color w:val="94A3B8"/>
                <w:sz w:val="18"/>
                <w:szCs w:val="18"/>
              </w:rPr>
              <w:t xml:space="preserve">
Years</w:t>
            </w:r>
          </w:p>
        </w:tc>
      </w:tr>
    </w:tbl>
    <w:p>
      <w:pPr>
        <w:spacing w:after="0" w:before="200"/>
      </w:pPr>
      <w:r>
        <w:t xml:space="preserve"/>
      </w:r>
    </w:p>
    <w:p>
      <w:pPr>
        <w:spacing w:after="0" w:before="0"/>
        <w:jc w:val="center"/>
      </w:pPr>
      <w:r>
        <w:rPr>
          <w:rFonts w:ascii="Arial" w:cs="Arial" w:eastAsia="Arial" w:hAnsi="Arial"/>
          <w:i/>
          <w:iCs/>
          <w:color w:val="94A3B8"/>
          <w:sz w:val="18"/>
          <w:szCs w:val="18"/>
        </w:rPr>
        <w:t xml:space="preserve">Source: UniversitySucessAnalysis — Power BI Desktop  |  3 Ranking Systems: THE, Shanghai, CWUR</w:t>
      </w:r>
    </w:p>
    <w:p>
      <w:pPr>
        <w:spacing w:after="0" w:before="2880"/>
      </w:pPr>
      <w:r>
        <w:t xml:space="preserve"/>
      </w:r>
    </w:p>
    <w:p>
      <w:pPr>
        <w:pStyle w:val="Heading1"/>
        <w:spacing w:after="160" w:before="360"/>
      </w:pPr>
      <w:r>
        <w:rPr>
          <w:rFonts w:ascii="Arial" w:cs="Arial" w:eastAsia="Arial" w:hAnsi="Arial"/>
          <w:b/>
          <w:bCs/>
          <w:color w:val="0F172A"/>
          <w:sz w:val="34"/>
          <w:szCs w:val="34"/>
        </w:rPr>
        <w:t xml:space="preserve">Table of Contents</w:t>
      </w:r>
    </w:p>
    <w:p>
      <w:pPr>
        <w:spacing w:after="60" w:before="60"/>
      </w:pPr>
      <w:r>
        <w:rPr>
          <w:rFonts w:ascii="Arial" w:cs="Arial" w:eastAsia="Arial" w:hAnsi="Arial"/>
          <w:color w:val="1D4ED8"/>
          <w:sz w:val="22"/>
          <w:szCs w:val="22"/>
        </w:rPr>
        <w:t xml:space="preserve">1.  Introduction &amp; Dashboard Purpose</w:t>
      </w:r>
    </w:p>
    <w:p>
      <w:pPr>
        <w:spacing w:after="60" w:before="60"/>
      </w:pPr>
      <w:r>
        <w:rPr>
          <w:rFonts w:ascii="Arial" w:cs="Arial" w:eastAsia="Arial" w:hAnsi="Arial"/>
          <w:color w:val="1D4ED8"/>
          <w:sz w:val="22"/>
          <w:szCs w:val="22"/>
        </w:rPr>
        <w:t xml:space="preserve">2.  Navigation &amp; Filter System</w:t>
      </w:r>
    </w:p>
    <w:p>
      <w:pPr>
        <w:spacing w:after="60" w:before="60"/>
      </w:pPr>
      <w:r>
        <w:rPr>
          <w:rFonts w:ascii="Arial" w:cs="Arial" w:eastAsia="Arial" w:hAnsi="Arial"/>
          <w:color w:val="1D4ED8"/>
          <w:sz w:val="22"/>
          <w:szCs w:val="22"/>
        </w:rPr>
        <w:t xml:space="preserve">3.  Section 1 — Overview</w:t>
      </w:r>
    </w:p>
    <w:p>
      <w:pPr>
        <w:spacing w:after="60" w:before="60"/>
      </w:pPr>
      <w:r>
        <w:rPr>
          <w:rFonts w:ascii="Arial" w:cs="Arial" w:eastAsia="Arial" w:hAnsi="Arial"/>
          <w:color w:val="1D4ED8"/>
          <w:sz w:val="22"/>
          <w:szCs w:val="22"/>
        </w:rPr>
        <w:t xml:space="preserve">4.  Section 2 — Country Analysis</w:t>
      </w:r>
    </w:p>
    <w:p>
      <w:pPr>
        <w:spacing w:after="60" w:before="60"/>
      </w:pPr>
      <w:r>
        <w:rPr>
          <w:rFonts w:ascii="Arial" w:cs="Arial" w:eastAsia="Arial" w:hAnsi="Arial"/>
          <w:color w:val="1D4ED8"/>
          <w:sz w:val="22"/>
          <w:szCs w:val="22"/>
        </w:rPr>
        <w:t xml:space="preserve">5.  Section 3 — University Analysis</w:t>
      </w:r>
    </w:p>
    <w:p>
      <w:pPr>
        <w:spacing w:after="60" w:before="60"/>
      </w:pPr>
      <w:r>
        <w:rPr>
          <w:rFonts w:ascii="Arial" w:cs="Arial" w:eastAsia="Arial" w:hAnsi="Arial"/>
          <w:color w:val="1D4ED8"/>
          <w:sz w:val="22"/>
          <w:szCs w:val="22"/>
        </w:rPr>
        <w:t xml:space="preserve">6.  Section 4 — Ranking Analysis</w:t>
      </w:r>
    </w:p>
    <w:p>
      <w:pPr>
        <w:spacing w:after="60" w:before="60"/>
      </w:pPr>
      <w:r>
        <w:rPr>
          <w:rFonts w:ascii="Arial" w:cs="Arial" w:eastAsia="Arial" w:hAnsi="Arial"/>
          <w:color w:val="1D4ED8"/>
          <w:sz w:val="22"/>
          <w:szCs w:val="22"/>
        </w:rPr>
        <w:t xml:space="preserve">7.  Section 5 — Yearly Analysis</w:t>
      </w:r>
    </w:p>
    <w:p>
      <w:pPr>
        <w:spacing w:after="60" w:before="60"/>
      </w:pPr>
      <w:r>
        <w:rPr>
          <w:rFonts w:ascii="Arial" w:cs="Arial" w:eastAsia="Arial" w:hAnsi="Arial"/>
          <w:color w:val="1D4ED8"/>
          <w:sz w:val="22"/>
          <w:szCs w:val="22"/>
        </w:rPr>
        <w:t xml:space="preserve">8.  Data Model &amp; Sources</w:t>
      </w:r>
    </w:p>
    <w:p>
      <w:pPr>
        <w:spacing w:after="60" w:before="60"/>
      </w:pPr>
      <w:r>
        <w:rPr>
          <w:rFonts w:ascii="Arial" w:cs="Arial" w:eastAsia="Arial" w:hAnsi="Arial"/>
          <w:color w:val="1D4ED8"/>
          <w:sz w:val="22"/>
          <w:szCs w:val="22"/>
        </w:rPr>
        <w:t xml:space="preserve">9.  How to Use the Dashboard Effectively</w:t>
      </w:r>
    </w:p>
    <w:p>
      <w:pPr>
        <w:spacing w:after="0" w:before="400"/>
      </w:pPr>
      <w:r>
        <w:t xml:space="preserve"/>
      </w:r>
    </w:p>
    <w:p>
      <w:pPr>
        <w:pStyle w:val="Heading1"/>
        <w:spacing w:after="160" w:before="360"/>
      </w:pPr>
      <w:r>
        <w:rPr>
          <w:rFonts w:ascii="Arial" w:cs="Arial" w:eastAsia="Arial" w:hAnsi="Arial"/>
          <w:b/>
          <w:bCs/>
          <w:color w:val="0F172A"/>
          <w:sz w:val="34"/>
          <w:szCs w:val="34"/>
        </w:rPr>
        <w:t xml:space="preserve">1. Introduction &amp; Dashboard Purpose</w:t>
      </w:r>
    </w:p>
    <w:p>
      <w:pPr>
        <w:spacing w:after="160" w:before="0"/>
      </w:pPr>
      <w:r>
        <w:rPr>
          <w:rFonts w:ascii="Arial" w:cs="Arial" w:eastAsia="Arial" w:hAnsi="Arial"/>
          <w:color w:val="475569"/>
          <w:sz w:val="22"/>
          <w:szCs w:val="22"/>
        </w:rPr>
        <w:t xml:space="preserve">The University Success Analysis Dashboard is a fully interactive Power BI custom visual (`.pbiviz`) built directly from the UniversitySucessAnalysis semantic model. It consolidates 12 years of global university data (2005–2016) across three internationally recognised ranking systems into a single, cohesive analytical tool.</w:t>
      </w:r>
    </w:p>
    <w:p>
      <w:pPr>
        <w:spacing w:after="160" w:before="0"/>
      </w:pPr>
      <w:r>
        <w:rPr>
          <w:rFonts w:ascii="Arial" w:cs="Arial" w:eastAsia="Arial" w:hAnsi="Arial"/>
          <w:color w:val="475569"/>
          <w:sz w:val="22"/>
          <w:szCs w:val="22"/>
        </w:rPr>
        <w:t xml:space="preserve">The dashboard is designed for academic administrators, policy researchers, institutional benchmarking teams, and education analysts who need a clear, data-driven view of how universities and countries perform across multiple dimensions — student population, international diversity, gender composition, and ranking quality.</w:t>
      </w:r>
    </w:p>
    <w:p>
      <w:pPr>
        <w:spacing w:after="0" w:before="80"/>
      </w:pPr>
      <w:r>
        <w:t xml:space="preserve"/>
      </w:r>
    </w:p>
    <w:p>
      <w:pPr>
        <w:pStyle w:val="Heading3"/>
        <w:spacing w:after="80" w:before="200"/>
      </w:pPr>
      <w:r>
        <w:rPr>
          <w:rFonts w:ascii="Arial" w:cs="Arial" w:eastAsia="Arial" w:hAnsi="Arial"/>
          <w:b/>
          <w:bCs/>
          <w:color w:val="4F46E5"/>
          <w:sz w:val="24"/>
          <w:szCs w:val="24"/>
        </w:rPr>
        <w:t xml:space="preserve">What the Dashboard Covers</w:t>
      </w:r>
    </w:p>
    <w:p>
      <w:pPr>
        <w:pStyle w:val="ListParagraph"/>
        <w:numPr>
          <w:ilvl w:val="0"/>
          <w:numId w:val="2"/>
        </w:numPr>
        <w:spacing w:after="40" w:before="40"/>
      </w:pPr>
      <w:r>
        <w:rPr>
          <w:rFonts w:ascii="Arial" w:cs="Arial" w:eastAsia="Arial" w:hAnsi="Arial"/>
          <w:color w:val="475569"/>
          <w:sz w:val="22"/>
          <w:szCs w:val="22"/>
        </w:rPr>
        <w:t xml:space="preserve">1,247 universities across 74 countries</w:t>
      </w:r>
    </w:p>
    <w:p>
      <w:pPr>
        <w:pStyle w:val="ListParagraph"/>
        <w:numPr>
          <w:ilvl w:val="0"/>
          <w:numId w:val="2"/>
        </w:numPr>
        <w:spacing w:after="40" w:before="40"/>
      </w:pPr>
      <w:r>
        <w:rPr>
          <w:rFonts w:ascii="Arial" w:cs="Arial" w:eastAsia="Arial" w:hAnsi="Arial"/>
          <w:color w:val="475569"/>
          <w:sz w:val="22"/>
          <w:szCs w:val="22"/>
        </w:rPr>
        <w:t xml:space="preserve">29,612 ranking records from 3 systems: Times Higher Education (THE), Shanghai Ranking (ARWU), and CWUR</w:t>
      </w:r>
    </w:p>
    <w:p>
      <w:pPr>
        <w:pStyle w:val="ListParagraph"/>
        <w:numPr>
          <w:ilvl w:val="0"/>
          <w:numId w:val="2"/>
        </w:numPr>
        <w:spacing w:after="40" w:before="40"/>
      </w:pPr>
      <w:r>
        <w:rPr>
          <w:rFonts w:ascii="Arial" w:cs="Arial" w:eastAsia="Arial" w:hAnsi="Arial"/>
          <w:color w:val="475569"/>
          <w:sz w:val="22"/>
          <w:szCs w:val="22"/>
        </w:rPr>
        <w:t xml:space="preserve">Per-university data: total students, international student %, female student %, student-staff ratio</w:t>
      </w:r>
    </w:p>
    <w:p>
      <w:pPr>
        <w:pStyle w:val="ListParagraph"/>
        <w:numPr>
          <w:ilvl w:val="0"/>
          <w:numId w:val="2"/>
        </w:numPr>
        <w:spacing w:after="40" w:before="40"/>
      </w:pPr>
      <w:r>
        <w:rPr>
          <w:rFonts w:ascii="Arial" w:cs="Arial" w:eastAsia="Arial" w:hAnsi="Arial"/>
          <w:color w:val="475569"/>
          <w:sz w:val="22"/>
          <w:szCs w:val="22"/>
        </w:rPr>
        <w:t xml:space="preserve">Per-country aggregations: university count, total students, international students, female students</w:t>
      </w:r>
    </w:p>
    <w:p>
      <w:pPr>
        <w:pStyle w:val="ListParagraph"/>
        <w:numPr>
          <w:ilvl w:val="0"/>
          <w:numId w:val="2"/>
        </w:numPr>
        <w:spacing w:after="40" w:before="40"/>
      </w:pPr>
      <w:r>
        <w:rPr>
          <w:rFonts w:ascii="Arial" w:cs="Arial" w:eastAsia="Arial" w:hAnsi="Arial"/>
          <w:color w:val="475569"/>
          <w:sz w:val="22"/>
          <w:szCs w:val="22"/>
        </w:rPr>
        <w:t xml:space="preserve">Year-by-year trends from 2005 through 2016</w:t>
      </w:r>
    </w:p>
    <w:p>
      <w:pPr>
        <w:pStyle w:val="ListParagraph"/>
        <w:numPr>
          <w:ilvl w:val="0"/>
          <w:numId w:val="2"/>
        </w:numPr>
        <w:spacing w:after="40" w:before="40"/>
      </w:pPr>
      <w:r>
        <w:rPr>
          <w:rFonts w:ascii="Arial" w:cs="Arial" w:eastAsia="Arial" w:hAnsi="Arial"/>
          <w:color w:val="475569"/>
          <w:sz w:val="22"/>
          <w:szCs w:val="22"/>
        </w:rPr>
        <w:t xml:space="preserve">Fully dynamic — all visuals respond to Year, Country, and Ranking System filters</w:t>
      </w:r>
    </w:p>
    <w:p>
      <w:pPr>
        <w:spacing w:after="0" w:before="200"/>
      </w:pPr>
      <w:r>
        <w:t xml:space="preserve"/>
      </w:r>
    </w:p>
    <w:p>
      <w:pPr>
        <w:pStyle w:val="Heading1"/>
        <w:spacing w:after="160" w:before="360"/>
      </w:pPr>
      <w:r>
        <w:rPr>
          <w:rFonts w:ascii="Arial" w:cs="Arial" w:eastAsia="Arial" w:hAnsi="Arial"/>
          <w:b/>
          <w:bCs/>
          <w:color w:val="0F172A"/>
          <w:sz w:val="34"/>
          <w:szCs w:val="34"/>
        </w:rPr>
        <w:t xml:space="preserve">2. Navigation &amp; Filter System</w:t>
      </w:r>
    </w:p>
    <w:p>
      <w:pPr>
        <w:spacing w:after="160" w:before="0"/>
      </w:pPr>
      <w:r>
        <w:rPr>
          <w:rFonts w:ascii="Arial" w:cs="Arial" w:eastAsia="Arial" w:hAnsi="Arial"/>
          <w:color w:val="475569"/>
          <w:sz w:val="22"/>
          <w:szCs w:val="22"/>
        </w:rPr>
        <w:t xml:space="preserve">The dashboard uses a fixed sidebar for navigation and a persistent filter bar across the top of each section. Both components remain visible at all times, enabling instant context-switching without losing your filter state.</w:t>
      </w:r>
    </w:p>
    <w:p>
      <w:pPr>
        <w:spacing w:after="0" w:before="80"/>
      </w:pPr>
      <w:r>
        <w:t xml:space="preserve"/>
      </w:r>
    </w:p>
    <w:p>
      <w:pPr>
        <w:pStyle w:val="Heading3"/>
        <w:spacing w:after="80" w:before="200"/>
      </w:pPr>
      <w:r>
        <w:rPr>
          <w:rFonts w:ascii="Arial" w:cs="Arial" w:eastAsia="Arial" w:hAnsi="Arial"/>
          <w:b/>
          <w:bCs/>
          <w:color w:val="4F46E5"/>
          <w:sz w:val="24"/>
          <w:szCs w:val="24"/>
        </w:rPr>
        <w:t xml:space="preserve">Sidebar Navigation</w:t>
      </w:r>
    </w:p>
    <w:p>
      <w:pPr>
        <w:spacing w:after="160" w:before="0"/>
      </w:pPr>
      <w:r>
        <w:rPr>
          <w:rFonts w:ascii="Arial" w:cs="Arial" w:eastAsia="Arial" w:hAnsi="Arial"/>
          <w:color w:val="475569"/>
          <w:sz w:val="22"/>
          <w:szCs w:val="22"/>
        </w:rPr>
        <w:t xml:space="preserve">The left-hand sidebar contains five navigation items, each leading to a distinct analytical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  Overview</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High-level summary of the entire dataset with section-by-section snapshot cards and trend charts.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  Country Analysis</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Geographic breakdown of universities, student populations, and international students by country.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  University Analysis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Institution-level metrics, correlation scatter plots, and a ranked leaderboard of all universities.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  Ranking Analysis</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Deep-dive into the three ranking systems, criteria comparisons, and country-level score distributions.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  Yearly Analysis</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Year-by-year enrollment trends, growth rates, and the evolution of international student ratios.</w:t>
            </w:r>
          </w:p>
        </w:tc>
      </w:tr>
    </w:tbl>
    <w:p>
      <w:pPr>
        <w:spacing w:after="0" w:before="160"/>
      </w:pPr>
      <w:r>
        <w:t xml:space="preserve"/>
      </w:r>
    </w:p>
    <w:p>
      <w:pPr>
        <w:pStyle w:val="Heading3"/>
        <w:spacing w:after="80" w:before="200"/>
      </w:pPr>
      <w:r>
        <w:rPr>
          <w:rFonts w:ascii="Arial" w:cs="Arial" w:eastAsia="Arial" w:hAnsi="Arial"/>
          <w:b/>
          <w:bCs/>
          <w:color w:val="4F46E5"/>
          <w:sz w:val="24"/>
          <w:szCs w:val="24"/>
        </w:rPr>
        <w:t xml:space="preserve">Filter Bar</w:t>
      </w:r>
    </w:p>
    <w:p>
      <w:pPr>
        <w:spacing w:after="160" w:before="0"/>
      </w:pPr>
      <w:r>
        <w:rPr>
          <w:rFonts w:ascii="Arial" w:cs="Arial" w:eastAsia="Arial" w:hAnsi="Arial"/>
          <w:color w:val="475569"/>
          <w:sz w:val="22"/>
          <w:szCs w:val="22"/>
        </w:rPr>
        <w:t xml:space="preserve">Three global filters appear at the top of every section. Changing any filter immediately recalculates all KPIs, charts, and tables on the active page.</w:t>
      </w:r>
    </w:p>
    <w:p>
      <w:pPr>
        <w:pStyle w:val="ListParagraph"/>
        <w:numPr>
          <w:ilvl w:val="0"/>
          <w:numId w:val="2"/>
        </w:numPr>
        <w:spacing w:after="40" w:before="40"/>
      </w:pPr>
      <w:r>
        <w:rPr>
          <w:rFonts w:ascii="Arial" w:cs="Arial" w:eastAsia="Arial" w:hAnsi="Arial"/>
          <w:b/>
          <w:bCs/>
          <w:color w:val="0F172A"/>
          <w:sz w:val="22"/>
          <w:szCs w:val="22"/>
        </w:rPr>
        <w:t xml:space="preserve">Year Filter: </w:t>
      </w:r>
      <w:r>
        <w:rPr>
          <w:rFonts w:ascii="Arial" w:cs="Arial" w:eastAsia="Arial" w:hAnsi="Arial"/>
          <w:color w:val="475569"/>
          <w:sz w:val="22"/>
          <w:szCs w:val="22"/>
        </w:rPr>
        <w:t xml:space="preserve">Select a specific year (2011–2016) or 'All Years'. When a year is selected, charts highlight that year's data point while dimming all others, KPIs show values for that year only, and tables display the corresponding subset of records.</w:t>
      </w:r>
    </w:p>
    <w:p>
      <w:pPr>
        <w:pStyle w:val="ListParagraph"/>
        <w:numPr>
          <w:ilvl w:val="0"/>
          <w:numId w:val="2"/>
        </w:numPr>
        <w:spacing w:after="40" w:before="40"/>
      </w:pPr>
      <w:r>
        <w:rPr>
          <w:rFonts w:ascii="Arial" w:cs="Arial" w:eastAsia="Arial" w:hAnsi="Arial"/>
          <w:b/>
          <w:bCs/>
          <w:color w:val="0F172A"/>
          <w:sz w:val="22"/>
          <w:szCs w:val="22"/>
        </w:rPr>
        <w:t xml:space="preserve">Country Filter: </w:t>
      </w:r>
      <w:r>
        <w:rPr>
          <w:rFonts w:ascii="Arial" w:cs="Arial" w:eastAsia="Arial" w:hAnsi="Arial"/>
          <w:color w:val="475569"/>
          <w:sz w:val="22"/>
          <w:szCs w:val="22"/>
        </w:rPr>
        <w:t xml:space="preserve">Narrows university-level data to a single country. Most impactful in the Country Analysis and University Analysis sections. In Country Analysis, the leaderboard redraws to show only institutions from the selected country.</w:t>
      </w:r>
    </w:p>
    <w:p>
      <w:pPr>
        <w:pStyle w:val="ListParagraph"/>
        <w:numPr>
          <w:ilvl w:val="0"/>
          <w:numId w:val="2"/>
        </w:numPr>
        <w:spacing w:after="40" w:before="40"/>
      </w:pPr>
      <w:r>
        <w:rPr>
          <w:rFonts w:ascii="Arial" w:cs="Arial" w:eastAsia="Arial" w:hAnsi="Arial"/>
          <w:b/>
          <w:bCs/>
          <w:color w:val="0F172A"/>
          <w:sz w:val="22"/>
          <w:szCs w:val="22"/>
        </w:rPr>
        <w:t xml:space="preserve">Ranking System Filter: </w:t>
      </w:r>
      <w:r>
        <w:rPr>
          <w:rFonts w:ascii="Arial" w:cs="Arial" w:eastAsia="Arial" w:hAnsi="Arial"/>
          <w:color w:val="475569"/>
          <w:sz w:val="22"/>
          <w:szCs w:val="22"/>
        </w:rPr>
        <w:t xml:space="preserve">Filters the context for Ranking Analysis criteria — choose between THE, Shanghai, or CWUR to focus on one system's evaluation methodology.</w:t>
      </w:r>
    </w:p>
    <w:p>
      <w:pPr>
        <w:pStyle w:val="ListParagraph"/>
        <w:numPr>
          <w:ilvl w:val="0"/>
          <w:numId w:val="2"/>
        </w:numPr>
        <w:spacing w:after="40" w:before="40"/>
      </w:pPr>
      <w:r>
        <w:rPr>
          <w:rFonts w:ascii="Arial" w:cs="Arial" w:eastAsia="Arial" w:hAnsi="Arial"/>
          <w:b/>
          <w:bCs/>
          <w:color w:val="0F172A"/>
          <w:sz w:val="22"/>
          <w:szCs w:val="22"/>
        </w:rPr>
        <w:t xml:space="preserve">Reset Button (⟳): </w:t>
      </w:r>
      <w:r>
        <w:rPr>
          <w:rFonts w:ascii="Arial" w:cs="Arial" w:eastAsia="Arial" w:hAnsi="Arial"/>
          <w:color w:val="475569"/>
          <w:sz w:val="22"/>
          <w:szCs w:val="22"/>
        </w:rPr>
        <w:t xml:space="preserve">Clears all three filters simultaneously and returns the dashboard to the full dataset view.</w:t>
      </w:r>
    </w:p>
    <w:p>
      <w:pPr>
        <w:spacing w:after="0" w:before="80"/>
      </w:pPr>
      <w:r>
        <w:t xml:space="preserve"/>
      </w:r>
    </w:p>
    <w:p>
      <w:pPr>
        <w:pBdr>
          <w:left w:val="single" w:color="1D4ED8" w:sz="12" w:space="8"/>
        </w:pBdr>
        <w:shd w:fill="EFF6FF" w:val="clear"/>
        <w:spacing w:after="80" w:before="80"/>
        <w:ind w:left="360" w:right="360"/>
      </w:pPr>
      <w:r>
        <w:rPr>
          <w:rFonts w:ascii="Arial" w:cs="Arial" w:eastAsia="Arial" w:hAnsi="Arial"/>
          <w:b/>
          <w:bCs/>
          <w:color w:val="1D4ED8"/>
          <w:sz w:val="21"/>
          <w:szCs w:val="21"/>
        </w:rPr>
        <w:t xml:space="preserve">Tip:  </w:t>
      </w:r>
      <w:r>
        <w:rPr>
          <w:rFonts w:ascii="Arial" w:cs="Arial" w:eastAsia="Arial" w:hAnsi="Arial"/>
          <w:color w:val="475569"/>
          <w:sz w:val="21"/>
          <w:szCs w:val="21"/>
        </w:rPr>
        <w:t xml:space="preserve">Combine the Year filter with the Country filter to answer targeted questions such as 'How many students were enrolled in UK universities in 2014?' or 'Which USA universities had the highest international student percentage in 2015?'</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4ED8" w:val="clear"/>
            <w:tcMar>
              <w:top w:type="dxa" w:w="160"/>
              <w:left w:type="dxa" w:w="160"/>
              <w:bottom w:type="dxa" w:w="160"/>
              <w:right w:type="dxa" w:w="160"/>
            </w:tcMar>
            <w:vAlign w:val="center"/>
          </w:tcPr>
          <w:p>
            <w:pPr>
              <w:jc w:val="center"/>
            </w:pPr>
            <w:r>
              <w:rPr>
                <w:rFonts w:ascii="Arial" w:cs="Arial" w:eastAsia="Arial" w:hAnsi="Arial"/>
                <w:sz w:val="36"/>
                <w:szCs w:val="36"/>
              </w:rPr>
              <w:t xml:space="preserve">📊</w:t>
            </w:r>
          </w:p>
        </w:tc>
        <w:tc>
          <w:tcPr>
            <w:tcW w:type="dxa" w:w="864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20" w:before="0"/>
            </w:pPr>
            <w:r>
              <w:rPr>
                <w:rFonts w:ascii="Arial" w:cs="Arial" w:eastAsia="Arial" w:hAnsi="Arial"/>
                <w:b/>
                <w:bCs/>
                <w:color w:val="1D4ED8"/>
                <w:sz w:val="30"/>
                <w:szCs w:val="30"/>
              </w:rPr>
              <w:t xml:space="preserve">Section 1 — Overview</w:t>
            </w:r>
          </w:p>
          <w:p>
            <w:pPr>
              <w:spacing w:after="0" w:before="0"/>
            </w:pPr>
            <w:r>
              <w:rPr>
                <w:rFonts w:ascii="Arial" w:cs="Arial" w:eastAsia="Arial" w:hAnsi="Arial"/>
                <w:color w:val="94A3B8"/>
                <w:sz w:val="20"/>
                <w:szCs w:val="20"/>
              </w:rPr>
              <w:t xml:space="preserve">Global summary across all five analytical dimensions</w:t>
            </w:r>
          </w:p>
        </w:tc>
      </w:tr>
    </w:tbl>
    <w:p>
      <w:pPr>
        <w:spacing w:after="0" w:before="120"/>
      </w:pPr>
      <w:r>
        <w:t xml:space="preserve"/>
      </w:r>
    </w:p>
    <w:p>
      <w:pPr>
        <w:spacing w:after="160" w:before="0"/>
      </w:pPr>
      <w:r>
        <w:rPr>
          <w:rFonts w:ascii="Arial" w:cs="Arial" w:eastAsia="Arial" w:hAnsi="Arial"/>
          <w:color w:val="475569"/>
          <w:sz w:val="22"/>
          <w:szCs w:val="22"/>
        </w:rPr>
        <w:t xml:space="preserve">The Overview section serves as the command centre of the dashboard. It answers the question 'What is the state of global university rankings overall?' and provides clickable shortcuts into every other section. All values update dynamically when the Year filter is changed.</w:t>
      </w:r>
    </w:p>
    <w:p>
      <w:pPr>
        <w:spacing w:after="0" w:before="80"/>
      </w:pPr>
      <w:r>
        <w:t xml:space="preserve"/>
      </w:r>
    </w:p>
    <w:p>
      <w:pPr>
        <w:pStyle w:val="Heading3"/>
        <w:spacing w:after="80" w:before="200"/>
      </w:pPr>
      <w:r>
        <w:rPr>
          <w:rFonts w:ascii="Arial" w:cs="Arial" w:eastAsia="Arial" w:hAnsi="Arial"/>
          <w:b/>
          <w:bCs/>
          <w:color w:val="4F46E5"/>
          <w:sz w:val="24"/>
          <w:szCs w:val="24"/>
        </w:rPr>
        <w:t xml:space="preserve">KPI Cards (Top Row)</w:t>
      </w:r>
    </w:p>
    <w:p>
      <w:pPr>
        <w:spacing w:after="160" w:before="0"/>
      </w:pPr>
      <w:r>
        <w:rPr>
          <w:rFonts w:ascii="Arial" w:cs="Arial" w:eastAsia="Arial" w:hAnsi="Arial"/>
          <w:color w:val="475569"/>
          <w:sz w:val="22"/>
          <w:szCs w:val="22"/>
        </w:rPr>
        <w:t xml:space="preserve">Six headline KPI cards summarise the entire filtered dataset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8F0" w:sz="1"/>
              <w:left w:val="single" w:color="E2E8F0" w:sz="1"/>
              <w:bottom w:val="single" w:color="E2E8F0" w:sz="1"/>
              <w:right w:val="single" w:color="E2E8F0" w:sz="1"/>
            </w:tcBorders>
            <w:shd w:fill="EFF6FF" w:val="clear"/>
            <w:tcMar>
              <w:top w:type="dxa" w:w="120"/>
              <w:left w:type="dxa" w:w="180"/>
              <w:bottom w:type="dxa" w:w="120"/>
              <w:right w:type="dxa" w:w="180"/>
            </w:tcMar>
          </w:tcPr>
          <w:p>
            <w:pPr>
              <w:spacing w:after="40" w:before="0"/>
              <w:jc w:val="center"/>
            </w:pPr>
            <w:r>
              <w:rPr>
                <w:rFonts w:ascii="Arial" w:cs="Arial" w:eastAsia="Arial" w:hAnsi="Arial"/>
                <w:b/>
                <w:bCs/>
                <w:color w:val="1D4ED8"/>
                <w:sz w:val="28"/>
                <w:szCs w:val="28"/>
              </w:rPr>
              <w:t xml:space="preserve">🏛️  1,247</w:t>
            </w:r>
          </w:p>
          <w:p>
            <w:pPr>
              <w:spacing w:after="0" w:before="0"/>
              <w:jc w:val="center"/>
            </w:pPr>
            <w:r>
              <w:rPr>
                <w:rFonts w:ascii="Arial" w:cs="Arial" w:eastAsia="Arial" w:hAnsi="Arial"/>
                <w:color w:val="94A3B8"/>
                <w:sz w:val="18"/>
                <w:szCs w:val="18"/>
              </w:rPr>
              <w:t xml:space="preserve">Universities</w:t>
            </w:r>
          </w:p>
        </w:tc>
        <w:tc>
          <w:tcPr>
            <w:tcW w:type="dxa" w:w="1560"/>
            <w:tcBorders>
              <w:top w:val="single" w:color="E2E8F0" w:sz="1"/>
              <w:left w:val="single" w:color="E2E8F0" w:sz="1"/>
              <w:bottom w:val="single" w:color="E2E8F0" w:sz="1"/>
              <w:right w:val="single" w:color="E2E8F0" w:sz="1"/>
            </w:tcBorders>
            <w:shd w:fill="EEF2FF" w:val="clear"/>
            <w:tcMar>
              <w:top w:type="dxa" w:w="120"/>
              <w:left w:type="dxa" w:w="180"/>
              <w:bottom w:type="dxa" w:w="120"/>
              <w:right w:type="dxa" w:w="180"/>
            </w:tcMar>
          </w:tcPr>
          <w:p>
            <w:pPr>
              <w:spacing w:after="40" w:before="0"/>
              <w:jc w:val="center"/>
            </w:pPr>
            <w:r>
              <w:rPr>
                <w:rFonts w:ascii="Arial" w:cs="Arial" w:eastAsia="Arial" w:hAnsi="Arial"/>
                <w:b/>
                <w:bCs/>
                <w:color w:val="4F46E5"/>
                <w:sz w:val="28"/>
                <w:szCs w:val="28"/>
              </w:rPr>
              <w:t xml:space="preserve">👥  ~3.1M</w:t>
            </w:r>
          </w:p>
          <w:p>
            <w:pPr>
              <w:spacing w:after="0" w:before="0"/>
              <w:jc w:val="center"/>
            </w:pPr>
            <w:r>
              <w:rPr>
                <w:rFonts w:ascii="Arial" w:cs="Arial" w:eastAsia="Arial" w:hAnsi="Arial"/>
                <w:color w:val="94A3B8"/>
                <w:sz w:val="18"/>
                <w:szCs w:val="18"/>
              </w:rPr>
              <w:t xml:space="preserve">Total Students</w:t>
            </w:r>
          </w:p>
        </w:tc>
        <w:tc>
          <w:tcPr>
            <w:tcW w:type="dxa" w:w="1560"/>
            <w:tcBorders>
              <w:top w:val="single" w:color="E2E8F0" w:sz="1"/>
              <w:left w:val="single" w:color="E2E8F0" w:sz="1"/>
              <w:bottom w:val="single" w:color="E2E8F0" w:sz="1"/>
              <w:right w:val="single" w:color="E2E8F0" w:sz="1"/>
            </w:tcBorders>
            <w:shd w:fill="E0F2FE" w:val="clear"/>
            <w:tcMar>
              <w:top w:type="dxa" w:w="120"/>
              <w:left w:type="dxa" w:w="180"/>
              <w:bottom w:type="dxa" w:w="120"/>
              <w:right w:type="dxa" w:w="180"/>
            </w:tcMar>
          </w:tcPr>
          <w:p>
            <w:pPr>
              <w:spacing w:after="40" w:before="0"/>
              <w:jc w:val="center"/>
            </w:pPr>
            <w:r>
              <w:rPr>
                <w:rFonts w:ascii="Arial" w:cs="Arial" w:eastAsia="Arial" w:hAnsi="Arial"/>
                <w:b/>
                <w:bCs/>
                <w:color w:val="0284C7"/>
                <w:sz w:val="28"/>
                <w:szCs w:val="28"/>
              </w:rPr>
              <w:t xml:space="preserve">🌐  ~450K</w:t>
            </w:r>
          </w:p>
          <w:p>
            <w:pPr>
              <w:spacing w:after="0" w:before="0"/>
              <w:jc w:val="center"/>
            </w:pPr>
            <w:r>
              <w:rPr>
                <w:rFonts w:ascii="Arial" w:cs="Arial" w:eastAsia="Arial" w:hAnsi="Arial"/>
                <w:color w:val="94A3B8"/>
                <w:sz w:val="18"/>
                <w:szCs w:val="18"/>
              </w:rPr>
              <w:t xml:space="preserve">Intl Students</w:t>
            </w:r>
          </w:p>
        </w:tc>
        <w:tc>
          <w:tcPr>
            <w:tcW w:type="dxa" w:w="1560"/>
            <w:tcBorders>
              <w:top w:val="single" w:color="E2E8F0" w:sz="1"/>
              <w:left w:val="single" w:color="E2E8F0" w:sz="1"/>
              <w:bottom w:val="single" w:color="E2E8F0" w:sz="1"/>
              <w:right w:val="single" w:color="E2E8F0" w:sz="1"/>
            </w:tcBorders>
            <w:shd w:fill="FCE7F3" w:val="clear"/>
            <w:tcMar>
              <w:top w:type="dxa" w:w="120"/>
              <w:left w:type="dxa" w:w="180"/>
              <w:bottom w:type="dxa" w:w="120"/>
              <w:right w:type="dxa" w:w="180"/>
            </w:tcMar>
          </w:tcPr>
          <w:p>
            <w:pPr>
              <w:spacing w:after="40" w:before="0"/>
              <w:jc w:val="center"/>
            </w:pPr>
            <w:r>
              <w:rPr>
                <w:rFonts w:ascii="Arial" w:cs="Arial" w:eastAsia="Arial" w:hAnsi="Arial"/>
                <w:b/>
                <w:bCs/>
                <w:color w:val="DB2777"/>
                <w:sz w:val="28"/>
                <w:szCs w:val="28"/>
              </w:rPr>
              <w:t xml:space="preserve">👩‍🎓  ~1.5M</w:t>
            </w:r>
          </w:p>
          <w:p>
            <w:pPr>
              <w:spacing w:after="0" w:before="0"/>
              <w:jc w:val="center"/>
            </w:pPr>
            <w:r>
              <w:rPr>
                <w:rFonts w:ascii="Arial" w:cs="Arial" w:eastAsia="Arial" w:hAnsi="Arial"/>
                <w:color w:val="94A3B8"/>
                <w:sz w:val="18"/>
                <w:szCs w:val="18"/>
              </w:rPr>
              <w:t xml:space="preserve">Female Students</w:t>
            </w:r>
          </w:p>
        </w:tc>
        <w:tc>
          <w:tcPr>
            <w:tcW w:type="dxa" w:w="1560"/>
            <w:tcBorders>
              <w:top w:val="single" w:color="E2E8F0" w:sz="1"/>
              <w:left w:val="single" w:color="E2E8F0" w:sz="1"/>
              <w:bottom w:val="single" w:color="E2E8F0" w:sz="1"/>
              <w:right w:val="single" w:color="E2E8F0" w:sz="1"/>
            </w:tcBorders>
            <w:shd w:fill="FFFBEB" w:val="clear"/>
            <w:tcMar>
              <w:top w:type="dxa" w:w="120"/>
              <w:left w:type="dxa" w:w="180"/>
              <w:bottom w:type="dxa" w:w="120"/>
              <w:right w:type="dxa" w:w="180"/>
            </w:tcMar>
          </w:tcPr>
          <w:p>
            <w:pPr>
              <w:spacing w:after="40" w:before="0"/>
              <w:jc w:val="center"/>
            </w:pPr>
            <w:r>
              <w:rPr>
                <w:rFonts w:ascii="Arial" w:cs="Arial" w:eastAsia="Arial" w:hAnsi="Arial"/>
                <w:b/>
                <w:bCs/>
                <w:color w:val="D97706"/>
                <w:sz w:val="28"/>
                <w:szCs w:val="28"/>
              </w:rPr>
              <w:t xml:space="preserve">📋  29,612</w:t>
            </w:r>
          </w:p>
          <w:p>
            <w:pPr>
              <w:spacing w:after="0" w:before="0"/>
              <w:jc w:val="center"/>
            </w:pPr>
            <w:r>
              <w:rPr>
                <w:rFonts w:ascii="Arial" w:cs="Arial" w:eastAsia="Arial" w:hAnsi="Arial"/>
                <w:color w:val="94A3B8"/>
                <w:sz w:val="18"/>
                <w:szCs w:val="18"/>
              </w:rPr>
              <w:t xml:space="preserve">Ranking Records</w:t>
            </w:r>
          </w:p>
        </w:tc>
        <w:tc>
          <w:tcPr>
            <w:tcW w:type="dxa" w:w="1560"/>
            <w:tcBorders>
              <w:top w:val="single" w:color="E2E8F0" w:sz="1"/>
              <w:left w:val="single" w:color="E2E8F0" w:sz="1"/>
              <w:bottom w:val="single" w:color="E2E8F0" w:sz="1"/>
              <w:right w:val="single" w:color="E2E8F0" w:sz="1"/>
            </w:tcBorders>
            <w:shd w:fill="F0FDF4" w:val="clear"/>
            <w:tcMar>
              <w:top w:type="dxa" w:w="120"/>
              <w:left w:type="dxa" w:w="180"/>
              <w:bottom w:type="dxa" w:w="120"/>
              <w:right w:type="dxa" w:w="180"/>
            </w:tcMar>
          </w:tcPr>
          <w:p>
            <w:pPr>
              <w:spacing w:after="40" w:before="0"/>
              <w:jc w:val="center"/>
            </w:pPr>
            <w:r>
              <w:rPr>
                <w:rFonts w:ascii="Arial" w:cs="Arial" w:eastAsia="Arial" w:hAnsi="Arial"/>
                <w:b/>
                <w:bCs/>
                <w:color w:val="059669"/>
                <w:sz w:val="28"/>
                <w:szCs w:val="28"/>
              </w:rPr>
              <w:t xml:space="preserve">⭐  Varies</w:t>
            </w:r>
          </w:p>
          <w:p>
            <w:pPr>
              <w:spacing w:after="0" w:before="0"/>
              <w:jc w:val="center"/>
            </w:pPr>
            <w:r>
              <w:rPr>
                <w:rFonts w:ascii="Arial" w:cs="Arial" w:eastAsia="Arial" w:hAnsi="Arial"/>
                <w:color w:val="94A3B8"/>
                <w:sz w:val="18"/>
                <w:szCs w:val="18"/>
              </w:rPr>
              <w:t xml:space="preserve">Avg Score</w:t>
            </w:r>
          </w:p>
        </w:tc>
      </w:tr>
    </w:tbl>
    <w:p>
      <w:pPr>
        <w:spacing w:after="0" w:before="120"/>
      </w:pPr>
      <w:r>
        <w:t xml:space="preserve"/>
      </w:r>
    </w:p>
    <w:p>
      <w:pPr>
        <w:spacing w:after="160" w:before="0"/>
      </w:pPr>
      <w:r>
        <w:rPr>
          <w:rFonts w:ascii="Arial" w:cs="Arial" w:eastAsia="Arial" w:hAnsi="Arial"/>
          <w:color w:val="475569"/>
          <w:sz w:val="22"/>
          <w:szCs w:val="22"/>
        </w:rPr>
        <w:t xml:space="preserve">When the Year filter is active, the universities count shows how many institutions had data in that year, the student figures reflect that year's enrollment, and the ranking records count shows how many entries were published in that year.</w:t>
      </w:r>
    </w:p>
    <w:p>
      <w:pPr>
        <w:spacing w:after="0" w:before="80"/>
      </w:pPr>
      <w:r>
        <w:t xml:space="preserve"/>
      </w:r>
    </w:p>
    <w:p>
      <w:pPr>
        <w:pStyle w:val="Heading3"/>
        <w:spacing w:after="80" w:before="200"/>
      </w:pPr>
      <w:r>
        <w:rPr>
          <w:rFonts w:ascii="Arial" w:cs="Arial" w:eastAsia="Arial" w:hAnsi="Arial"/>
          <w:b/>
          <w:bCs/>
          <w:color w:val="4F46E5"/>
          <w:sz w:val="24"/>
          <w:szCs w:val="24"/>
        </w:rPr>
        <w:t xml:space="preserve">Section Summary Cards</w:t>
      </w:r>
    </w:p>
    <w:p>
      <w:pPr>
        <w:spacing w:after="160" w:before="0"/>
      </w:pPr>
      <w:r>
        <w:rPr>
          <w:rFonts w:ascii="Arial" w:cs="Arial" w:eastAsia="Arial" w:hAnsi="Arial"/>
          <w:color w:val="475569"/>
          <w:sz w:val="22"/>
          <w:szCs w:val="22"/>
        </w:rPr>
        <w:t xml:space="preserve">Four clickable summary cards appear below the KPIs — one each for Country Analysis, University Analysis, Ranking Analysis, and Yearly Analysis. Each card is colour-coded to its section and displays:</w:t>
      </w:r>
    </w:p>
    <w:p>
      <w:pPr>
        <w:pStyle w:val="ListParagraph"/>
        <w:numPr>
          <w:ilvl w:val="0"/>
          <w:numId w:val="2"/>
        </w:numPr>
        <w:spacing w:after="40" w:before="40"/>
      </w:pPr>
      <w:r>
        <w:rPr>
          <w:rFonts w:ascii="Arial" w:cs="Arial" w:eastAsia="Arial" w:hAnsi="Arial"/>
          <w:color w:val="475569"/>
          <w:sz w:val="22"/>
          <w:szCs w:val="22"/>
        </w:rPr>
        <w:t xml:space="preserve">A compact three-metric row showing the most critical KPIs for that section</w:t>
      </w:r>
    </w:p>
    <w:p>
      <w:pPr>
        <w:pStyle w:val="ListParagraph"/>
        <w:numPr>
          <w:ilvl w:val="0"/>
          <w:numId w:val="2"/>
        </w:numPr>
        <w:spacing w:after="40" w:before="40"/>
      </w:pPr>
      <w:r>
        <w:rPr>
          <w:rFonts w:ascii="Arial" w:cs="Arial" w:eastAsia="Arial" w:hAnsi="Arial"/>
          <w:color w:val="475569"/>
          <w:sz w:val="22"/>
          <w:szCs w:val="22"/>
        </w:rPr>
        <w:t xml:space="preserve">A three-row fact summary with the section's key takeaways (e.g. top country, largest university, peak year)</w:t>
      </w:r>
    </w:p>
    <w:p>
      <w:pPr>
        <w:pStyle w:val="ListParagraph"/>
        <w:numPr>
          <w:ilvl w:val="0"/>
          <w:numId w:val="2"/>
        </w:numPr>
        <w:spacing w:after="40" w:before="40"/>
      </w:pPr>
      <w:r>
        <w:rPr>
          <w:rFonts w:ascii="Arial" w:cs="Arial" w:eastAsia="Arial" w:hAnsi="Arial"/>
          <w:color w:val="475569"/>
          <w:sz w:val="22"/>
          <w:szCs w:val="22"/>
        </w:rPr>
        <w:t xml:space="preserve">A 'View →' button that navigates directly to that section</w:t>
      </w:r>
    </w:p>
    <w:p>
      <w:pPr>
        <w:spacing w:after="160" w:before="0"/>
      </w:pPr>
      <w:r>
        <w:rPr>
          <w:rFonts w:ascii="Arial" w:cs="Arial" w:eastAsia="Arial" w:hAnsi="Arial"/>
          <w:color w:val="475569"/>
          <w:sz w:val="22"/>
          <w:szCs w:val="22"/>
        </w:rPr>
        <w:t xml:space="preserve">These cards make the Overview a true launchpad — a viewer can instantly understand what each section contains without navigating there first.</w:t>
      </w:r>
    </w:p>
    <w:p>
      <w:pPr>
        <w:spacing w:after="0" w:before="80"/>
      </w:pPr>
      <w:r>
        <w:t xml:space="preserve"/>
      </w:r>
    </w:p>
    <w:p>
      <w:pPr>
        <w:pStyle w:val="Heading3"/>
        <w:spacing w:after="80" w:before="200"/>
      </w:pPr>
      <w:r>
        <w:rPr>
          <w:rFonts w:ascii="Arial" w:cs="Arial" w:eastAsia="Arial" w:hAnsi="Arial"/>
          <w:b/>
          <w:bCs/>
          <w:color w:val="4F46E5"/>
          <w:sz w:val="24"/>
          <w:szCs w:val="24"/>
        </w:rPr>
        <w:t xml:space="preserve">Trend Charts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Shows &amp; How to Interpret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Annual Ranking Volume &amp; Score (Dual-Axis Bar+Line)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The bars show the total number of ranking records published each year. The overlaid line shows the average ranking score for that year. Bars and line share the same X-axis (year) but different Y-axes (left = records, right = score). A spike in bars in 2014–2015 reflects the large-scale expansion of the CWUR system. When a year is selected, that year's bar is highlighted and all others are dimmed.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Students · Intl · Female by Year (Multi-Line)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Three lines trace total enrolled students, international students, and female students across all years. The lines allow you to quickly compare the magnitude and growth trajectory of each population. A steeper upward slope indicates faster growth. The dashed line style for international and female students helps distinguish them from the total.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University Count by Country — Top 12 (Bar)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 vertical bar chart showing the 12 countries with the most ranked universities. The USA bar dominates at 273, followed by China and the UK. Use this chart to understand the geographic concentration of ranked institutions globally.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Avg Ranking Score by Year (Area)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An area chart showing how the average ranking score evolved from 2005 to 2016. The shaded area under the line gives a sense of cumulative performance. The dramatic spike in 2014–2015 is explained by the CWUR system's score scale, which uses rank numbers (1–1000) rather than 0–100 percentages.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4ED8" w:val="clear"/>
            <w:tcMar>
              <w:top w:type="dxa" w:w="160"/>
              <w:left w:type="dxa" w:w="160"/>
              <w:bottom w:type="dxa" w:w="160"/>
              <w:right w:type="dxa" w:w="160"/>
            </w:tcMar>
            <w:vAlign w:val="center"/>
          </w:tcPr>
          <w:p>
            <w:pPr>
              <w:jc w:val="center"/>
            </w:pPr>
            <w:r>
              <w:rPr>
                <w:rFonts w:ascii="Arial" w:cs="Arial" w:eastAsia="Arial" w:hAnsi="Arial"/>
                <w:sz w:val="36"/>
                <w:szCs w:val="36"/>
              </w:rPr>
              <w:t xml:space="preserve">🌍</w:t>
            </w:r>
          </w:p>
        </w:tc>
        <w:tc>
          <w:tcPr>
            <w:tcW w:type="dxa" w:w="864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20" w:before="0"/>
            </w:pPr>
            <w:r>
              <w:rPr>
                <w:rFonts w:ascii="Arial" w:cs="Arial" w:eastAsia="Arial" w:hAnsi="Arial"/>
                <w:b/>
                <w:bCs/>
                <w:color w:val="1D4ED8"/>
                <w:sz w:val="30"/>
                <w:szCs w:val="30"/>
              </w:rPr>
              <w:t xml:space="preserve">Section 2 — Country Analysis</w:t>
            </w:r>
          </w:p>
          <w:p>
            <w:pPr>
              <w:spacing w:after="0" w:before="0"/>
            </w:pPr>
            <w:r>
              <w:rPr>
                <w:rFonts w:ascii="Arial" w:cs="Arial" w:eastAsia="Arial" w:hAnsi="Arial"/>
                <w:color w:val="94A3B8"/>
                <w:sz w:val="20"/>
                <w:szCs w:val="20"/>
              </w:rPr>
              <w:t xml:space="preserve">Geographic distribution of universities, students, and international enrollment</w:t>
            </w:r>
          </w:p>
        </w:tc>
      </w:tr>
    </w:tbl>
    <w:p>
      <w:pPr>
        <w:spacing w:after="0" w:before="120"/>
      </w:pPr>
      <w:r>
        <w:t xml:space="preserve"/>
      </w:r>
    </w:p>
    <w:p>
      <w:pPr>
        <w:spacing w:after="160" w:before="0"/>
      </w:pPr>
      <w:r>
        <w:rPr>
          <w:rFonts w:ascii="Arial" w:cs="Arial" w:eastAsia="Arial" w:hAnsi="Arial"/>
          <w:color w:val="475569"/>
          <w:sz w:val="22"/>
          <w:szCs w:val="22"/>
        </w:rPr>
        <w:t xml:space="preserve">The Country Analysis section answers geographic questions: Which countries have the most universities? Where do the most international students study? How do national student populations compare? All values are computed from the filtered dataset and respond to both the Year and Country filters.</w:t>
      </w:r>
    </w:p>
    <w:p>
      <w:pPr>
        <w:spacing w:after="0" w:before="80"/>
      </w:pPr>
      <w:r>
        <w:t xml:space="preserve"/>
      </w:r>
    </w:p>
    <w:p>
      <w:pPr>
        <w:pStyle w:val="Heading3"/>
        <w:spacing w:after="80" w:before="200"/>
      </w:pPr>
      <w:r>
        <w:rPr>
          <w:rFonts w:ascii="Arial" w:cs="Arial" w:eastAsia="Arial" w:hAnsi="Arial"/>
          <w:b/>
          <w:bCs/>
          <w:color w:val="4F46E5"/>
          <w:sz w:val="24"/>
          <w:szCs w:val="24"/>
        </w:rPr>
        <w:t xml:space="preserve">KPI Cards</w:t>
      </w:r>
    </w:p>
    <w:p>
      <w:pPr>
        <w:spacing w:after="160" w:before="0"/>
      </w:pPr>
      <w:r>
        <w:rPr>
          <w:rFonts w:ascii="Arial" w:cs="Arial" w:eastAsia="Arial" w:hAnsi="Arial"/>
          <w:color w:val="475569"/>
          <w:sz w:val="22"/>
          <w:szCs w:val="22"/>
        </w:rPr>
        <w:t xml:space="preserve">Three KPI cards at the top of the section summarise the selected scope: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EFF6FF" w:val="clear"/>
            <w:tcMar>
              <w:top w:type="dxa" w:w="120"/>
              <w:left w:type="dxa" w:w="180"/>
              <w:bottom w:type="dxa" w:w="120"/>
              <w:right w:type="dxa" w:w="180"/>
            </w:tcMar>
          </w:tcPr>
          <w:p>
            <w:pPr>
              <w:spacing w:after="40" w:before="0"/>
              <w:jc w:val="center"/>
            </w:pPr>
            <w:r>
              <w:rPr>
                <w:rFonts w:ascii="Arial" w:cs="Arial" w:eastAsia="Arial" w:hAnsi="Arial"/>
                <w:b/>
                <w:bCs/>
                <w:color w:val="1D4ED8"/>
                <w:sz w:val="28"/>
                <w:szCs w:val="28"/>
              </w:rPr>
              <w:t xml:space="preserve">🏛️  Dynamic</w:t>
            </w:r>
          </w:p>
          <w:p>
            <w:pPr>
              <w:spacing w:after="0" w:before="0"/>
              <w:jc w:val="center"/>
            </w:pPr>
            <w:r>
              <w:rPr>
                <w:rFonts w:ascii="Arial" w:cs="Arial" w:eastAsia="Arial" w:hAnsi="Arial"/>
                <w:color w:val="94A3B8"/>
                <w:sz w:val="18"/>
                <w:szCs w:val="18"/>
              </w:rPr>
              <w:t xml:space="preserve">Total Universities</w:t>
            </w:r>
          </w:p>
        </w:tc>
        <w:tc>
          <w:tcPr>
            <w:tcW w:type="dxa" w:w="3120"/>
            <w:tcBorders>
              <w:top w:val="single" w:color="E2E8F0" w:sz="1"/>
              <w:left w:val="single" w:color="E2E8F0" w:sz="1"/>
              <w:bottom w:val="single" w:color="E2E8F0" w:sz="1"/>
              <w:right w:val="single" w:color="E2E8F0" w:sz="1"/>
            </w:tcBorders>
            <w:shd w:fill="E0F2FE" w:val="clear"/>
            <w:tcMar>
              <w:top w:type="dxa" w:w="120"/>
              <w:left w:type="dxa" w:w="180"/>
              <w:bottom w:type="dxa" w:w="120"/>
              <w:right w:type="dxa" w:w="180"/>
            </w:tcMar>
          </w:tcPr>
          <w:p>
            <w:pPr>
              <w:spacing w:after="40" w:before="0"/>
              <w:jc w:val="center"/>
            </w:pPr>
            <w:r>
              <w:rPr>
                <w:rFonts w:ascii="Arial" w:cs="Arial" w:eastAsia="Arial" w:hAnsi="Arial"/>
                <w:b/>
                <w:bCs/>
                <w:color w:val="0284C7"/>
                <w:sz w:val="28"/>
                <w:szCs w:val="28"/>
              </w:rPr>
              <w:t xml:space="preserve">🌐  Dynamic</w:t>
            </w:r>
          </w:p>
          <w:p>
            <w:pPr>
              <w:spacing w:after="0" w:before="0"/>
              <w:jc w:val="center"/>
            </w:pPr>
            <w:r>
              <w:rPr>
                <w:rFonts w:ascii="Arial" w:cs="Arial" w:eastAsia="Arial" w:hAnsi="Arial"/>
                <w:color w:val="94A3B8"/>
                <w:sz w:val="18"/>
                <w:szCs w:val="18"/>
              </w:rPr>
              <w:t xml:space="preserve">Intl Students</w:t>
            </w:r>
          </w:p>
        </w:tc>
        <w:tc>
          <w:tcPr>
            <w:tcW w:type="dxa" w:w="3120"/>
            <w:tcBorders>
              <w:top w:val="single" w:color="E2E8F0" w:sz="1"/>
              <w:left w:val="single" w:color="E2E8F0" w:sz="1"/>
              <w:bottom w:val="single" w:color="E2E8F0" w:sz="1"/>
              <w:right w:val="single" w:color="E2E8F0" w:sz="1"/>
            </w:tcBorders>
            <w:shd w:fill="FCE7F3" w:val="clear"/>
            <w:tcMar>
              <w:top w:type="dxa" w:w="120"/>
              <w:left w:type="dxa" w:w="180"/>
              <w:bottom w:type="dxa" w:w="120"/>
              <w:right w:type="dxa" w:w="180"/>
            </w:tcMar>
          </w:tcPr>
          <w:p>
            <w:pPr>
              <w:spacing w:after="40" w:before="0"/>
              <w:jc w:val="center"/>
            </w:pPr>
            <w:r>
              <w:rPr>
                <w:rFonts w:ascii="Arial" w:cs="Arial" w:eastAsia="Arial" w:hAnsi="Arial"/>
                <w:b/>
                <w:bCs/>
                <w:color w:val="DB2777"/>
                <w:sz w:val="28"/>
                <w:szCs w:val="28"/>
              </w:rPr>
              <w:t xml:space="preserve">👩‍🎓  Dynamic</w:t>
            </w:r>
          </w:p>
          <w:p>
            <w:pPr>
              <w:spacing w:after="0" w:before="0"/>
              <w:jc w:val="center"/>
            </w:pPr>
            <w:r>
              <w:rPr>
                <w:rFonts w:ascii="Arial" w:cs="Arial" w:eastAsia="Arial" w:hAnsi="Arial"/>
                <w:color w:val="94A3B8"/>
                <w:sz w:val="18"/>
                <w:szCs w:val="18"/>
              </w:rPr>
              <w:t xml:space="preserve">Female Students</w:t>
            </w:r>
          </w:p>
        </w:tc>
      </w:tr>
    </w:tbl>
    <w:p>
      <w:pPr>
        <w:spacing w:after="0" w:before="120"/>
      </w:pPr>
      <w:r>
        <w:t xml:space="preserve"/>
      </w:r>
    </w:p>
    <w:p>
      <w:pPr>
        <w:spacing w:after="160" w:before="0"/>
      </w:pPr>
      <w:r>
        <w:rPr>
          <w:rFonts w:ascii="Arial" w:cs="Arial" w:eastAsia="Arial" w:hAnsi="Arial"/>
          <w:color w:val="475569"/>
          <w:sz w:val="22"/>
          <w:szCs w:val="22"/>
        </w:rPr>
        <w:t xml:space="preserve">When 'All Countries' is selected, these cards show global totals. When a specific country is selected from the leaderboard dropdown, they instantly update to show that country's figures only, enabling rapid country-level benchmarking.</w:t>
      </w:r>
    </w:p>
    <w:p>
      <w:pPr>
        <w:spacing w:after="0" w:before="80"/>
      </w:pPr>
      <w:r>
        <w:t xml:space="preserve"/>
      </w:r>
    </w:p>
    <w:p>
      <w:pPr>
        <w:pStyle w:val="Heading3"/>
        <w:spacing w:after="80" w:before="200"/>
      </w:pPr>
      <w:r>
        <w:rPr>
          <w:rFonts w:ascii="Arial" w:cs="Arial" w:eastAsia="Arial" w:hAnsi="Arial"/>
          <w:b/>
          <w:bCs/>
          <w:color w:val="4F46E5"/>
          <w:sz w:val="24"/>
          <w:szCs w:val="24"/>
        </w:rPr>
        <w:t xml:space="preserve">Insight Summary Cards</w:t>
      </w:r>
    </w:p>
    <w:p>
      <w:pPr>
        <w:spacing w:after="160" w:before="0"/>
      </w:pPr>
      <w:r>
        <w:rPr>
          <w:rFonts w:ascii="Arial" w:cs="Arial" w:eastAsia="Arial" w:hAnsi="Arial"/>
          <w:color w:val="475569"/>
          <w:sz w:val="22"/>
          <w:szCs w:val="22"/>
        </w:rPr>
        <w:t xml:space="preserve">Three insight cards highlight the standout country for three different dimensions:</w:t>
      </w:r>
    </w:p>
    <w:p>
      <w:pPr>
        <w:pStyle w:val="ListParagraph"/>
        <w:numPr>
          <w:ilvl w:val="0"/>
          <w:numId w:val="2"/>
        </w:numPr>
        <w:spacing w:after="40" w:before="40"/>
      </w:pPr>
      <w:r>
        <w:rPr>
          <w:rFonts w:ascii="Arial" w:cs="Arial" w:eastAsia="Arial" w:hAnsi="Arial"/>
          <w:b/>
          <w:bCs/>
          <w:color w:val="0F172A"/>
          <w:sz w:val="22"/>
          <w:szCs w:val="22"/>
        </w:rPr>
        <w:t xml:space="preserve">Largest Student Population: </w:t>
      </w:r>
      <w:r>
        <w:rPr>
          <w:rFonts w:ascii="Arial" w:cs="Arial" w:eastAsia="Arial" w:hAnsi="Arial"/>
          <w:color w:val="475569"/>
          <w:sz w:val="22"/>
          <w:szCs w:val="22"/>
        </w:rPr>
        <w:t xml:space="preserve">Egypt, driven entirely by Alexandria University with 127,431 students — the single largest university in the dataset by enrollment.</w:t>
      </w:r>
    </w:p>
    <w:p>
      <w:pPr>
        <w:pStyle w:val="ListParagraph"/>
        <w:numPr>
          <w:ilvl w:val="0"/>
          <w:numId w:val="2"/>
        </w:numPr>
        <w:spacing w:after="40" w:before="40"/>
      </w:pPr>
      <w:r>
        <w:rPr>
          <w:rFonts w:ascii="Arial" w:cs="Arial" w:eastAsia="Arial" w:hAnsi="Arial"/>
          <w:b/>
          <w:bCs/>
          <w:color w:val="0F172A"/>
          <w:sz w:val="22"/>
          <w:szCs w:val="22"/>
        </w:rPr>
        <w:t xml:space="preserve">Most International Students: </w:t>
      </w:r>
      <w:r>
        <w:rPr>
          <w:rFonts w:ascii="Arial" w:cs="Arial" w:eastAsia="Arial" w:hAnsi="Arial"/>
          <w:color w:val="475569"/>
          <w:sz w:val="22"/>
          <w:szCs w:val="22"/>
        </w:rPr>
        <w:t xml:space="preserve">The United Kingdom, where universities such as Imperial College London (51% intl), University of St Andrews (47%), and UCL (46%) consistently attract a high proportion of overseas students.</w:t>
      </w:r>
    </w:p>
    <w:p>
      <w:pPr>
        <w:pStyle w:val="ListParagraph"/>
        <w:numPr>
          <w:ilvl w:val="0"/>
          <w:numId w:val="2"/>
        </w:numPr>
        <w:spacing w:after="40" w:before="40"/>
      </w:pPr>
      <w:r>
        <w:rPr>
          <w:rFonts w:ascii="Arial" w:cs="Arial" w:eastAsia="Arial" w:hAnsi="Arial"/>
          <w:b/>
          <w:bCs/>
          <w:color w:val="0F172A"/>
          <w:sz w:val="22"/>
          <w:szCs w:val="22"/>
        </w:rPr>
        <w:t xml:space="preserve">Highest Female Enrollment: </w:t>
      </w:r>
      <w:r>
        <w:rPr>
          <w:rFonts w:ascii="Arial" w:cs="Arial" w:eastAsia="Arial" w:hAnsi="Arial"/>
          <w:color w:val="475569"/>
          <w:sz w:val="22"/>
          <w:szCs w:val="22"/>
        </w:rPr>
        <w:t xml:space="preserve">Austria, where the University of Vienna records 67% female students, alongside high female ratios in Denmark and Sweden.</w:t>
      </w:r>
    </w:p>
    <w:p>
      <w:pPr>
        <w:spacing w:after="0" w:before="80"/>
      </w:pPr>
      <w:r>
        <w:t xml:space="preserve"/>
      </w:r>
    </w:p>
    <w:p>
      <w:pPr>
        <w:pStyle w:val="Heading3"/>
        <w:spacing w:after="80" w:before="200"/>
      </w:pPr>
      <w:r>
        <w:rPr>
          <w:rFonts w:ascii="Arial" w:cs="Arial" w:eastAsia="Arial" w:hAnsi="Arial"/>
          <w:b/>
          <w:bCs/>
          <w:color w:val="4F46E5"/>
          <w:sz w:val="24"/>
          <w:szCs w:val="24"/>
        </w:rPr>
        <w:t xml:space="preserve">Visualisations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Shows &amp; How to Interpret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Total Students by Country — Top 10 (Vertical Bar)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Each bar represents the aggregate enrolled students across all universities in that country. The height of the bar directly corresponds to total student volume. Egypt appears at the top due to the size of Alexandria University. The USA, Brazil, and Canada follow due to their large number of universities each with tens of thousands of students. Use this chart to compare educational capacity between nations.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Intl Students by Country — Top 10 (Horizontal Bar)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Shows the estimated total international student count per country, calculated as the sum of (enrolled students × international %). Longer bars indicate countries that attract more international students in absolute terms. The UK and Australia consistently rank near the top despite having fewer total students than the USA, because their universities carry a much higher international student percentage.</w:t>
            </w:r>
          </w:p>
        </w:tc>
      </w:tr>
    </w:tbl>
    <w:p>
      <w:pPr>
        <w:spacing w:after="0" w:before="80"/>
      </w:pPr>
      <w:r>
        <w:t xml:space="preserve"/>
      </w:r>
    </w:p>
    <w:p>
      <w:pPr>
        <w:pStyle w:val="Heading3"/>
        <w:spacing w:after="80" w:before="200"/>
      </w:pPr>
      <w:r>
        <w:rPr>
          <w:rFonts w:ascii="Arial" w:cs="Arial" w:eastAsia="Arial" w:hAnsi="Arial"/>
          <w:b/>
          <w:bCs/>
          <w:color w:val="4F46E5"/>
          <w:sz w:val="24"/>
          <w:szCs w:val="24"/>
        </w:rPr>
        <w:t xml:space="preserve">Country Leaderboard</w:t>
      </w:r>
    </w:p>
    <w:p>
      <w:pPr>
        <w:spacing w:after="160" w:before="0"/>
      </w:pPr>
      <w:r>
        <w:rPr>
          <w:rFonts w:ascii="Arial" w:cs="Arial" w:eastAsia="Arial" w:hAnsi="Arial"/>
          <w:color w:val="475569"/>
          <w:sz w:val="22"/>
          <w:szCs w:val="22"/>
        </w:rPr>
        <w:t xml:space="preserve">The leaderboard is a sortable, searchable, paginated table that displays every university in the dataset ranked by student enrollment. It includes:</w:t>
      </w:r>
    </w:p>
    <w:p>
      <w:pPr>
        <w:pStyle w:val="ListParagraph"/>
        <w:numPr>
          <w:ilvl w:val="0"/>
          <w:numId w:val="2"/>
        </w:numPr>
        <w:spacing w:after="40" w:before="40"/>
      </w:pPr>
      <w:r>
        <w:rPr>
          <w:rFonts w:ascii="Arial" w:cs="Arial" w:eastAsia="Arial" w:hAnsi="Arial"/>
          <w:b/>
          <w:bCs/>
          <w:color w:val="0F172A"/>
          <w:sz w:val="22"/>
          <w:szCs w:val="22"/>
        </w:rPr>
        <w:t xml:space="preserve">Rank: </w:t>
      </w:r>
      <w:r>
        <w:rPr>
          <w:rFonts w:ascii="Arial" w:cs="Arial" w:eastAsia="Arial" w:hAnsi="Arial"/>
          <w:color w:val="475569"/>
          <w:sz w:val="22"/>
          <w:szCs w:val="22"/>
        </w:rPr>
        <w:t xml:space="preserve">Gold/silver/bronze badges for the top three; blue badges for all others.</w:t>
      </w:r>
    </w:p>
    <w:p>
      <w:pPr>
        <w:pStyle w:val="ListParagraph"/>
        <w:numPr>
          <w:ilvl w:val="0"/>
          <w:numId w:val="2"/>
        </w:numPr>
        <w:spacing w:after="40" w:before="40"/>
      </w:pPr>
      <w:r>
        <w:rPr>
          <w:rFonts w:ascii="Arial" w:cs="Arial" w:eastAsia="Arial" w:hAnsi="Arial"/>
          <w:b/>
          <w:bCs/>
          <w:color w:val="0F172A"/>
          <w:sz w:val="22"/>
          <w:szCs w:val="22"/>
        </w:rPr>
        <w:t xml:space="preserve">Country Tag: </w:t>
      </w:r>
      <w:r>
        <w:rPr>
          <w:rFonts w:ascii="Arial" w:cs="Arial" w:eastAsia="Arial" w:hAnsi="Arial"/>
          <w:color w:val="475569"/>
          <w:sz w:val="22"/>
          <w:szCs w:val="22"/>
        </w:rPr>
        <w:t xml:space="preserve">Colour-coded by nation (e.g. blue for USA, teal for UK, red for China) for instant visual recognition.</w:t>
      </w:r>
    </w:p>
    <w:p>
      <w:pPr>
        <w:pStyle w:val="ListParagraph"/>
        <w:numPr>
          <w:ilvl w:val="0"/>
          <w:numId w:val="2"/>
        </w:numPr>
        <w:spacing w:after="40" w:before="40"/>
      </w:pPr>
      <w:r>
        <w:rPr>
          <w:rFonts w:ascii="Arial" w:cs="Arial" w:eastAsia="Arial" w:hAnsi="Arial"/>
          <w:b/>
          <w:bCs/>
          <w:color w:val="0F172A"/>
          <w:sz w:val="22"/>
          <w:szCs w:val="22"/>
        </w:rPr>
        <w:t xml:space="preserve">University Name: </w:t>
      </w:r>
      <w:r>
        <w:rPr>
          <w:rFonts w:ascii="Arial" w:cs="Arial" w:eastAsia="Arial" w:hAnsi="Arial"/>
          <w:color w:val="475569"/>
          <w:sz w:val="22"/>
          <w:szCs w:val="22"/>
        </w:rPr>
        <w:t xml:space="preserve">The full institution name, truncated where necessary.</w:t>
      </w:r>
    </w:p>
    <w:p>
      <w:pPr>
        <w:pStyle w:val="ListParagraph"/>
        <w:numPr>
          <w:ilvl w:val="0"/>
          <w:numId w:val="2"/>
        </w:numPr>
        <w:spacing w:after="40" w:before="40"/>
      </w:pPr>
      <w:r>
        <w:rPr>
          <w:rFonts w:ascii="Arial" w:cs="Arial" w:eastAsia="Arial" w:hAnsi="Arial"/>
          <w:b/>
          <w:bCs/>
          <w:color w:val="0F172A"/>
          <w:sz w:val="22"/>
          <w:szCs w:val="22"/>
        </w:rPr>
        <w:t xml:space="preserve">Students: </w:t>
      </w:r>
      <w:r>
        <w:rPr>
          <w:rFonts w:ascii="Arial" w:cs="Arial" w:eastAsia="Arial" w:hAnsi="Arial"/>
          <w:color w:val="475569"/>
          <w:sz w:val="22"/>
          <w:szCs w:val="22"/>
        </w:rPr>
        <w:t xml:space="preserve">Total enrolled students in monospace font for easy comparison.</w:t>
      </w:r>
    </w:p>
    <w:p>
      <w:pPr>
        <w:pStyle w:val="ListParagraph"/>
        <w:numPr>
          <w:ilvl w:val="0"/>
          <w:numId w:val="2"/>
        </w:numPr>
        <w:spacing w:after="40" w:before="40"/>
      </w:pPr>
      <w:r>
        <w:rPr>
          <w:rFonts w:ascii="Arial" w:cs="Arial" w:eastAsia="Arial" w:hAnsi="Arial"/>
          <w:b/>
          <w:bCs/>
          <w:color w:val="0F172A"/>
          <w:sz w:val="22"/>
          <w:szCs w:val="22"/>
        </w:rPr>
        <w:t xml:space="preserve">Intl %: </w:t>
      </w:r>
      <w:r>
        <w:rPr>
          <w:rFonts w:ascii="Arial" w:cs="Arial" w:eastAsia="Arial" w:hAnsi="Arial"/>
          <w:color w:val="475569"/>
          <w:sz w:val="22"/>
          <w:szCs w:val="22"/>
        </w:rPr>
        <w:t xml:space="preserve">Percentage of the student body that is international.</w:t>
      </w:r>
    </w:p>
    <w:p>
      <w:pPr>
        <w:pStyle w:val="ListParagraph"/>
        <w:numPr>
          <w:ilvl w:val="0"/>
          <w:numId w:val="2"/>
        </w:numPr>
        <w:spacing w:after="40" w:before="40"/>
      </w:pPr>
      <w:r>
        <w:rPr>
          <w:rFonts w:ascii="Arial" w:cs="Arial" w:eastAsia="Arial" w:hAnsi="Arial"/>
          <w:b/>
          <w:bCs/>
          <w:color w:val="0F172A"/>
          <w:sz w:val="22"/>
          <w:szCs w:val="22"/>
        </w:rPr>
        <w:t xml:space="preserve">Female %: </w:t>
      </w:r>
      <w:r>
        <w:rPr>
          <w:rFonts w:ascii="Arial" w:cs="Arial" w:eastAsia="Arial" w:hAnsi="Arial"/>
          <w:color w:val="475569"/>
          <w:sz w:val="22"/>
          <w:szCs w:val="22"/>
        </w:rPr>
        <w:t xml:space="preserve">Percentage of the student body that is female (shown as N/A where data is unavailable).</w:t>
      </w:r>
    </w:p>
    <w:p>
      <w:pPr>
        <w:pStyle w:val="ListParagraph"/>
        <w:numPr>
          <w:ilvl w:val="0"/>
          <w:numId w:val="2"/>
        </w:numPr>
        <w:spacing w:after="40" w:before="40"/>
      </w:pPr>
      <w:r>
        <w:rPr>
          <w:rFonts w:ascii="Arial" w:cs="Arial" w:eastAsia="Arial" w:hAnsi="Arial"/>
          <w:b/>
          <w:bCs/>
          <w:color w:val="0F172A"/>
          <w:sz w:val="22"/>
          <w:szCs w:val="22"/>
        </w:rPr>
        <w:t xml:space="preserve">Enrollment Bar: </w:t>
      </w:r>
      <w:r>
        <w:rPr>
          <w:rFonts w:ascii="Arial" w:cs="Arial" w:eastAsia="Arial" w:hAnsi="Arial"/>
          <w:color w:val="475569"/>
          <w:sz w:val="22"/>
          <w:szCs w:val="22"/>
        </w:rPr>
        <w:t xml:space="preserve">A proportional bar scaled to the maximum value, providing instant visual context for each number.</w:t>
      </w:r>
    </w:p>
    <w:p>
      <w:pPr>
        <w:spacing w:after="0" w:before="80"/>
      </w:pPr>
      <w:r>
        <w:t xml:space="preserve"/>
      </w:r>
    </w:p>
    <w:p>
      <w:pPr>
        <w:pBdr>
          <w:left w:val="single" w:color="1D4ED8" w:sz="12" w:space="8"/>
        </w:pBdr>
        <w:shd w:fill="EFF6FF" w:val="clear"/>
        <w:spacing w:after="80" w:before="80"/>
        <w:ind w:left="360" w:right="360"/>
      </w:pPr>
      <w:r>
        <w:rPr>
          <w:rFonts w:ascii="Arial" w:cs="Arial" w:eastAsia="Arial" w:hAnsi="Arial"/>
          <w:b/>
          <w:bCs/>
          <w:color w:val="1D4ED8"/>
          <w:sz w:val="21"/>
          <w:szCs w:val="21"/>
        </w:rPr>
        <w:t xml:space="preserve">Country Filter:  </w:t>
      </w:r>
      <w:r>
        <w:rPr>
          <w:rFonts w:ascii="Arial" w:cs="Arial" w:eastAsia="Arial" w:hAnsi="Arial"/>
          <w:color w:val="475569"/>
          <w:sz w:val="21"/>
          <w:szCs w:val="21"/>
        </w:rPr>
        <w:t xml:space="preserve">Use the dropdown inside the leaderboard header to filter by a single country. Selecting 'USA' instantly shows only American universities, re-ranked by their enrollment. This is the most effective way to compare institutions within a single nation.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sz w:val="36"/>
                <w:szCs w:val="36"/>
              </w:rPr>
              <w:t xml:space="preserve">🏛️</w:t>
            </w:r>
          </w:p>
        </w:tc>
        <w:tc>
          <w:tcPr>
            <w:tcW w:type="dxa" w:w="864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20" w:before="0"/>
            </w:pPr>
            <w:r>
              <w:rPr>
                <w:rFonts w:ascii="Arial" w:cs="Arial" w:eastAsia="Arial" w:hAnsi="Arial"/>
                <w:b/>
                <w:bCs/>
                <w:color w:val="4F46E5"/>
                <w:sz w:val="30"/>
                <w:szCs w:val="30"/>
              </w:rPr>
              <w:t xml:space="preserve">Section 3 — University Analysis</w:t>
            </w:r>
          </w:p>
          <w:p>
            <w:pPr>
              <w:spacing w:after="0" w:before="0"/>
            </w:pPr>
            <w:r>
              <w:rPr>
                <w:rFonts w:ascii="Arial" w:cs="Arial" w:eastAsia="Arial" w:hAnsi="Arial"/>
                <w:color w:val="94A3B8"/>
                <w:sz w:val="20"/>
                <w:szCs w:val="20"/>
              </w:rPr>
              <w:t xml:space="preserve">Institution-level metrics, correlations, and the university leaderboard</w:t>
            </w:r>
          </w:p>
        </w:tc>
      </w:tr>
    </w:tbl>
    <w:p>
      <w:pPr>
        <w:spacing w:after="0" w:before="120"/>
      </w:pPr>
      <w:r>
        <w:t xml:space="preserve"/>
      </w:r>
    </w:p>
    <w:p>
      <w:pPr>
        <w:spacing w:after="160" w:before="0"/>
      </w:pPr>
      <w:r>
        <w:rPr>
          <w:rFonts w:ascii="Arial" w:cs="Arial" w:eastAsia="Arial" w:hAnsi="Arial"/>
          <w:color w:val="475569"/>
          <w:sz w:val="22"/>
          <w:szCs w:val="22"/>
        </w:rPr>
        <w:t xml:space="preserve">The University Analysis section moves from the country level down to individual institutions. It answers questions about scale, diversity, and staffing — and explores whether patterns exist between these dimensions. All data responds to the Year and Country filters.</w:t>
      </w:r>
    </w:p>
    <w:p>
      <w:pPr>
        <w:spacing w:after="0" w:before="80"/>
      </w:pPr>
      <w:r>
        <w:t xml:space="preserve"/>
      </w:r>
    </w:p>
    <w:p>
      <w:pPr>
        <w:pStyle w:val="Heading3"/>
        <w:spacing w:after="80" w:before="200"/>
      </w:pPr>
      <w:r>
        <w:rPr>
          <w:rFonts w:ascii="Arial" w:cs="Arial" w:eastAsia="Arial" w:hAnsi="Arial"/>
          <w:b/>
          <w:bCs/>
          <w:color w:val="4F46E5"/>
          <w:sz w:val="24"/>
          <w:szCs w:val="24"/>
        </w:rPr>
        <w:t xml:space="preserve">KPI Cards</w:t>
      </w:r>
    </w:p>
    <w:p>
      <w:pPr>
        <w:spacing w:after="160" w:before="0"/>
      </w:pPr>
      <w:r>
        <w:rPr>
          <w:rFonts w:ascii="Arial" w:cs="Arial" w:eastAsia="Arial" w:hAnsi="Arial"/>
          <w:color w:val="475569"/>
          <w:sz w:val="22"/>
          <w:szCs w:val="22"/>
        </w:rPr>
        <w:t xml:space="preserve">Four KPI cards reflect the filtered dataset: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120"/>
              <w:left w:type="dxa" w:w="180"/>
              <w:bottom w:type="dxa" w:w="120"/>
              <w:right w:type="dxa" w:w="180"/>
            </w:tcMar>
          </w:tcPr>
          <w:p>
            <w:pPr>
              <w:spacing w:after="40" w:before="0"/>
              <w:jc w:val="center"/>
            </w:pPr>
            <w:r>
              <w:rPr>
                <w:rFonts w:ascii="Arial" w:cs="Arial" w:eastAsia="Arial" w:hAnsi="Arial"/>
                <w:b/>
                <w:bCs/>
                <w:color w:val="1D4ED8"/>
                <w:sz w:val="28"/>
                <w:szCs w:val="28"/>
              </w:rPr>
              <w:t xml:space="preserve">👥  Dynamic</w:t>
            </w:r>
          </w:p>
          <w:p>
            <w:pPr>
              <w:spacing w:after="0" w:before="0"/>
              <w:jc w:val="center"/>
            </w:pPr>
            <w:r>
              <w:rPr>
                <w:rFonts w:ascii="Arial" w:cs="Arial" w:eastAsia="Arial" w:hAnsi="Arial"/>
                <w:color w:val="94A3B8"/>
                <w:sz w:val="18"/>
                <w:szCs w:val="18"/>
              </w:rPr>
              <w:t xml:space="preserve">Total Students</w:t>
            </w:r>
          </w:p>
        </w:tc>
        <w:tc>
          <w:tcPr>
            <w:tcW w:type="dxa" w:w="2340"/>
            <w:tcBorders>
              <w:top w:val="single" w:color="E2E8F0" w:sz="1"/>
              <w:left w:val="single" w:color="E2E8F0" w:sz="1"/>
              <w:bottom w:val="single" w:color="E2E8F0" w:sz="1"/>
              <w:right w:val="single" w:color="E2E8F0" w:sz="1"/>
            </w:tcBorders>
            <w:shd w:fill="E0F2FE" w:val="clear"/>
            <w:tcMar>
              <w:top w:type="dxa" w:w="120"/>
              <w:left w:type="dxa" w:w="180"/>
              <w:bottom w:type="dxa" w:w="120"/>
              <w:right w:type="dxa" w:w="180"/>
            </w:tcMar>
          </w:tcPr>
          <w:p>
            <w:pPr>
              <w:spacing w:after="40" w:before="0"/>
              <w:jc w:val="center"/>
            </w:pPr>
            <w:r>
              <w:rPr>
                <w:rFonts w:ascii="Arial" w:cs="Arial" w:eastAsia="Arial" w:hAnsi="Arial"/>
                <w:b/>
                <w:bCs/>
                <w:color w:val="0284C7"/>
                <w:sz w:val="28"/>
                <w:szCs w:val="28"/>
              </w:rPr>
              <w:t xml:space="preserve">🌐  Dynamic</w:t>
            </w:r>
          </w:p>
          <w:p>
            <w:pPr>
              <w:spacing w:after="0" w:before="0"/>
              <w:jc w:val="center"/>
            </w:pPr>
            <w:r>
              <w:rPr>
                <w:rFonts w:ascii="Arial" w:cs="Arial" w:eastAsia="Arial" w:hAnsi="Arial"/>
                <w:color w:val="94A3B8"/>
                <w:sz w:val="18"/>
                <w:szCs w:val="18"/>
              </w:rPr>
              <w:t xml:space="preserve">Intl Students</w:t>
            </w:r>
          </w:p>
        </w:tc>
        <w:tc>
          <w:tcPr>
            <w:tcW w:type="dxa" w:w="2340"/>
            <w:tcBorders>
              <w:top w:val="single" w:color="E2E8F0" w:sz="1"/>
              <w:left w:val="single" w:color="E2E8F0" w:sz="1"/>
              <w:bottom w:val="single" w:color="E2E8F0" w:sz="1"/>
              <w:right w:val="single" w:color="E2E8F0" w:sz="1"/>
            </w:tcBorders>
            <w:shd w:fill="FCE7F3" w:val="clear"/>
            <w:tcMar>
              <w:top w:type="dxa" w:w="120"/>
              <w:left w:type="dxa" w:w="180"/>
              <w:bottom w:type="dxa" w:w="120"/>
              <w:right w:type="dxa" w:w="180"/>
            </w:tcMar>
          </w:tcPr>
          <w:p>
            <w:pPr>
              <w:spacing w:after="40" w:before="0"/>
              <w:jc w:val="center"/>
            </w:pPr>
            <w:r>
              <w:rPr>
                <w:rFonts w:ascii="Arial" w:cs="Arial" w:eastAsia="Arial" w:hAnsi="Arial"/>
                <w:b/>
                <w:bCs/>
                <w:color w:val="DB2777"/>
                <w:sz w:val="28"/>
                <w:szCs w:val="28"/>
              </w:rPr>
              <w:t xml:space="preserve">👩‍🎓  Dynamic</w:t>
            </w:r>
          </w:p>
          <w:p>
            <w:pPr>
              <w:spacing w:after="0" w:before="0"/>
              <w:jc w:val="center"/>
            </w:pPr>
            <w:r>
              <w:rPr>
                <w:rFonts w:ascii="Arial" w:cs="Arial" w:eastAsia="Arial" w:hAnsi="Arial"/>
                <w:color w:val="94A3B8"/>
                <w:sz w:val="18"/>
                <w:szCs w:val="18"/>
              </w:rPr>
              <w:t xml:space="preserve">Female Students</w:t>
            </w:r>
          </w:p>
        </w:tc>
        <w:tc>
          <w:tcPr>
            <w:tcW w:type="dxa" w:w="2340"/>
            <w:tcBorders>
              <w:top w:val="single" w:color="E2E8F0" w:sz="1"/>
              <w:left w:val="single" w:color="E2E8F0" w:sz="1"/>
              <w:bottom w:val="single" w:color="E2E8F0" w:sz="1"/>
              <w:right w:val="single" w:color="E2E8F0" w:sz="1"/>
            </w:tcBorders>
            <w:shd w:fill="EEF2FF" w:val="clear"/>
            <w:tcMar>
              <w:top w:type="dxa" w:w="120"/>
              <w:left w:type="dxa" w:w="180"/>
              <w:bottom w:type="dxa" w:w="120"/>
              <w:right w:type="dxa" w:w="180"/>
            </w:tcMar>
          </w:tcPr>
          <w:p>
            <w:pPr>
              <w:spacing w:after="40" w:before="0"/>
              <w:jc w:val="center"/>
            </w:pPr>
            <w:r>
              <w:rPr>
                <w:rFonts w:ascii="Arial" w:cs="Arial" w:eastAsia="Arial" w:hAnsi="Arial"/>
                <w:b/>
                <w:bCs/>
                <w:color w:val="4F46E5"/>
                <w:sz w:val="28"/>
                <w:szCs w:val="28"/>
              </w:rPr>
              <w:t xml:space="preserve">🏛️  Dynamic</w:t>
            </w:r>
          </w:p>
          <w:p>
            <w:pPr>
              <w:spacing w:after="0" w:before="0"/>
              <w:jc w:val="center"/>
            </w:pPr>
            <w:r>
              <w:rPr>
                <w:rFonts w:ascii="Arial" w:cs="Arial" w:eastAsia="Arial" w:hAnsi="Arial"/>
                <w:color w:val="94A3B8"/>
                <w:sz w:val="18"/>
                <w:szCs w:val="18"/>
              </w:rPr>
              <w:t xml:space="preserve">Universities</w:t>
            </w:r>
          </w:p>
        </w:tc>
      </w:tr>
    </w:tbl>
    <w:p>
      <w:pPr>
        <w:spacing w:after="0" w:before="120"/>
      </w:pPr>
      <w:r>
        <w:t xml:space="preserve"/>
      </w:r>
    </w:p>
    <w:p>
      <w:pPr>
        <w:pStyle w:val="Heading3"/>
        <w:spacing w:after="80" w:before="200"/>
      </w:pPr>
      <w:r>
        <w:rPr>
          <w:rFonts w:ascii="Arial" w:cs="Arial" w:eastAsia="Arial" w:hAnsi="Arial"/>
          <w:b/>
          <w:bCs/>
          <w:color w:val="4F46E5"/>
          <w:sz w:val="24"/>
          <w:szCs w:val="24"/>
        </w:rPr>
        <w:t xml:space="preserve">Visualisations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Shows &amp; How to Interpret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Score vs Intl Students Correlation (Scatter)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Each dot represents one university. The X-axis shows the percentage of international students; the Y-axis shows the student-staff ratio (used as a proxy for institutional resource intensity). A dot positioned to the right has a high international student mix; a dot positioned high has a high student-to-staff ratio. Clusters of dots reveal whether internationally diverse universities tend to have more or fewer students per staff member. Look for outliers — dots far from the cluster often represent specialised or elite institutions.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Staff Ratio vs Female Students Correlation (Scatter)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X-axis: student-staff ratio; Y-axis: percentage of female students. This chart explores whether higher-staffed institutions correlate with greater gender balance. Universities in the upper-left quadrant (low ratio, high female %) tend to be medical or humanities-focused. Engineering-heavy universities often appear in the lower-right (high ratio, low female %). A broad scatter with no clear trend suggests these variables are largely independent.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Ranking Criteria vs Staff Ratio (Bar)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 bar chart showing the average score for each THE ranking criterion in the selected year. The criteria — Teaching, Research, Citations, International, Income, and Total — are evaluated on a 0–100 scale. Citations typically scores highest, reflecting the global weight given to research impact. Income (industry engagement) tends to score lower. This chart contextualises the evaluation framework that underpins the THE scores shown throughout the dashboard.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Top 10 Universities by Students (Horizontal Bar)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 horizontal bar chart ranking the top 10 institutions by total enrollment in the filtered dataset. Longer bars indicate larger student populations. This chart helps identify the scale of anchor institutions within each country or globally.</w:t>
            </w:r>
          </w:p>
        </w:tc>
      </w:tr>
    </w:tbl>
    <w:p>
      <w:pPr>
        <w:spacing w:after="0" w:before="80"/>
      </w:pPr>
      <w:r>
        <w:t xml:space="preserve"/>
      </w:r>
    </w:p>
    <w:p>
      <w:pPr>
        <w:pStyle w:val="Heading3"/>
        <w:spacing w:after="80" w:before="200"/>
      </w:pPr>
      <w:r>
        <w:rPr>
          <w:rFonts w:ascii="Arial" w:cs="Arial" w:eastAsia="Arial" w:hAnsi="Arial"/>
          <w:b/>
          <w:bCs/>
          <w:color w:val="4F46E5"/>
          <w:sz w:val="24"/>
          <w:szCs w:val="24"/>
        </w:rPr>
        <w:t xml:space="preserve">University Leaderboard</w:t>
      </w:r>
    </w:p>
    <w:p>
      <w:pPr>
        <w:spacing w:after="160" w:before="0"/>
      </w:pPr>
      <w:r>
        <w:rPr>
          <w:rFonts w:ascii="Arial" w:cs="Arial" w:eastAsia="Arial" w:hAnsi="Arial"/>
          <w:color w:val="475569"/>
          <w:sz w:val="22"/>
          <w:szCs w:val="22"/>
        </w:rPr>
        <w:t xml:space="preserve">A searchable table listing up to 30 universities ranked by total student enrollment. Columns include:</w:t>
      </w:r>
    </w:p>
    <w:p>
      <w:pPr>
        <w:pStyle w:val="ListParagraph"/>
        <w:numPr>
          <w:ilvl w:val="0"/>
          <w:numId w:val="2"/>
        </w:numPr>
        <w:spacing w:after="40" w:before="40"/>
      </w:pPr>
      <w:r>
        <w:rPr>
          <w:rFonts w:ascii="Arial" w:cs="Arial" w:eastAsia="Arial" w:hAnsi="Arial"/>
          <w:b/>
          <w:bCs/>
          <w:color w:val="0F172A"/>
          <w:sz w:val="22"/>
          <w:szCs w:val="22"/>
        </w:rPr>
        <w:t xml:space="preserve">Rank: </w:t>
      </w:r>
      <w:r>
        <w:rPr>
          <w:rFonts w:ascii="Arial" w:cs="Arial" w:eastAsia="Arial" w:hAnsi="Arial"/>
          <w:color w:val="475569"/>
          <w:sz w:val="22"/>
          <w:szCs w:val="22"/>
        </w:rPr>
        <w:t xml:space="preserve">Gold/silver/bronze for positions 1–3, blue for all others.</w:t>
      </w:r>
    </w:p>
    <w:p>
      <w:pPr>
        <w:pStyle w:val="ListParagraph"/>
        <w:numPr>
          <w:ilvl w:val="0"/>
          <w:numId w:val="2"/>
        </w:numPr>
        <w:spacing w:after="40" w:before="40"/>
      </w:pPr>
      <w:r>
        <w:rPr>
          <w:rFonts w:ascii="Arial" w:cs="Arial" w:eastAsia="Arial" w:hAnsi="Arial"/>
          <w:b/>
          <w:bCs/>
          <w:color w:val="0F172A"/>
          <w:sz w:val="22"/>
          <w:szCs w:val="22"/>
        </w:rPr>
        <w:t xml:space="preserve">University: </w:t>
      </w:r>
      <w:r>
        <w:rPr>
          <w:rFonts w:ascii="Arial" w:cs="Arial" w:eastAsia="Arial" w:hAnsi="Arial"/>
          <w:color w:val="475569"/>
          <w:sz w:val="22"/>
          <w:szCs w:val="22"/>
        </w:rPr>
        <w:t xml:space="preserve">Institution name, searchable via the search box.</w:t>
      </w:r>
    </w:p>
    <w:p>
      <w:pPr>
        <w:pStyle w:val="ListParagraph"/>
        <w:numPr>
          <w:ilvl w:val="0"/>
          <w:numId w:val="2"/>
        </w:numPr>
        <w:spacing w:after="40" w:before="40"/>
      </w:pPr>
      <w:r>
        <w:rPr>
          <w:rFonts w:ascii="Arial" w:cs="Arial" w:eastAsia="Arial" w:hAnsi="Arial"/>
          <w:b/>
          <w:bCs/>
          <w:color w:val="0F172A"/>
          <w:sz w:val="22"/>
          <w:szCs w:val="22"/>
        </w:rPr>
        <w:t xml:space="preserve">Country: </w:t>
      </w:r>
      <w:r>
        <w:rPr>
          <w:rFonts w:ascii="Arial" w:cs="Arial" w:eastAsia="Arial" w:hAnsi="Arial"/>
          <w:color w:val="475569"/>
          <w:sz w:val="22"/>
          <w:szCs w:val="22"/>
        </w:rPr>
        <w:t xml:space="preserve">Country of the institution.</w:t>
      </w:r>
    </w:p>
    <w:p>
      <w:pPr>
        <w:pStyle w:val="ListParagraph"/>
        <w:numPr>
          <w:ilvl w:val="0"/>
          <w:numId w:val="2"/>
        </w:numPr>
        <w:spacing w:after="40" w:before="40"/>
      </w:pPr>
      <w:r>
        <w:rPr>
          <w:rFonts w:ascii="Arial" w:cs="Arial" w:eastAsia="Arial" w:hAnsi="Arial"/>
          <w:b/>
          <w:bCs/>
          <w:color w:val="0F172A"/>
          <w:sz w:val="22"/>
          <w:szCs w:val="22"/>
        </w:rPr>
        <w:t xml:space="preserve">Students: </w:t>
      </w:r>
      <w:r>
        <w:rPr>
          <w:rFonts w:ascii="Arial" w:cs="Arial" w:eastAsia="Arial" w:hAnsi="Arial"/>
          <w:color w:val="475569"/>
          <w:sz w:val="22"/>
          <w:szCs w:val="22"/>
        </w:rPr>
        <w:t xml:space="preserve">Total enrolled students.</w:t>
      </w:r>
    </w:p>
    <w:p>
      <w:pPr>
        <w:pStyle w:val="ListParagraph"/>
        <w:numPr>
          <w:ilvl w:val="0"/>
          <w:numId w:val="2"/>
        </w:numPr>
        <w:spacing w:after="40" w:before="40"/>
      </w:pPr>
      <w:r>
        <w:rPr>
          <w:rFonts w:ascii="Arial" w:cs="Arial" w:eastAsia="Arial" w:hAnsi="Arial"/>
          <w:b/>
          <w:bCs/>
          <w:color w:val="0F172A"/>
          <w:sz w:val="22"/>
          <w:szCs w:val="22"/>
        </w:rPr>
        <w:t xml:space="preserve">Intl %: </w:t>
      </w:r>
      <w:r>
        <w:rPr>
          <w:rFonts w:ascii="Arial" w:cs="Arial" w:eastAsia="Arial" w:hAnsi="Arial"/>
          <w:color w:val="475569"/>
          <w:sz w:val="22"/>
          <w:szCs w:val="22"/>
        </w:rPr>
        <w:t xml:space="preserve">Percentage of international students.</w:t>
      </w:r>
    </w:p>
    <w:p>
      <w:pPr>
        <w:pStyle w:val="ListParagraph"/>
        <w:numPr>
          <w:ilvl w:val="0"/>
          <w:numId w:val="2"/>
        </w:numPr>
        <w:spacing w:after="40" w:before="40"/>
      </w:pPr>
      <w:r>
        <w:rPr>
          <w:rFonts w:ascii="Arial" w:cs="Arial" w:eastAsia="Arial" w:hAnsi="Arial"/>
          <w:b/>
          <w:bCs/>
          <w:color w:val="0F172A"/>
          <w:sz w:val="22"/>
          <w:szCs w:val="22"/>
        </w:rPr>
        <w:t xml:space="preserve">Female %: </w:t>
      </w:r>
      <w:r>
        <w:rPr>
          <w:rFonts w:ascii="Arial" w:cs="Arial" w:eastAsia="Arial" w:hAnsi="Arial"/>
          <w:color w:val="475569"/>
          <w:sz w:val="22"/>
          <w:szCs w:val="22"/>
        </w:rPr>
        <w:t xml:space="preserve">Percentage of female students (N/A where unavailable).</w:t>
      </w:r>
    </w:p>
    <w:p>
      <w:pPr>
        <w:pStyle w:val="ListParagraph"/>
        <w:numPr>
          <w:ilvl w:val="0"/>
          <w:numId w:val="2"/>
        </w:numPr>
        <w:spacing w:after="40" w:before="40"/>
      </w:pPr>
      <w:r>
        <w:rPr>
          <w:rFonts w:ascii="Arial" w:cs="Arial" w:eastAsia="Arial" w:hAnsi="Arial"/>
          <w:b/>
          <w:bCs/>
          <w:color w:val="0F172A"/>
          <w:sz w:val="22"/>
          <w:szCs w:val="22"/>
        </w:rPr>
        <w:t xml:space="preserve">Staff Ratio: </w:t>
      </w:r>
      <w:r>
        <w:rPr>
          <w:rFonts w:ascii="Arial" w:cs="Arial" w:eastAsia="Arial" w:hAnsi="Arial"/>
          <w:color w:val="475569"/>
          <w:sz w:val="22"/>
          <w:szCs w:val="22"/>
        </w:rPr>
        <w:t xml:space="preserve">Student-to-staff ratio — higher values indicate more students per staff member.</w:t>
      </w:r>
    </w:p>
    <w:p>
      <w:pPr>
        <w:spacing w:after="0" w:before="80"/>
      </w:pPr>
      <w:r>
        <w:t xml:space="preserve"/>
      </w:r>
    </w:p>
    <w:p>
      <w:pPr>
        <w:pBdr>
          <w:left w:val="single" w:color="D97706" w:sz="12" w:space="8"/>
        </w:pBdr>
        <w:shd w:fill="FFFBEB" w:val="clear"/>
        <w:spacing w:after="80" w:before="80"/>
        <w:ind w:left="360" w:right="360"/>
      </w:pPr>
      <w:r>
        <w:rPr>
          <w:rFonts w:ascii="Arial" w:cs="Arial" w:eastAsia="Arial" w:hAnsi="Arial"/>
          <w:b/>
          <w:bCs/>
          <w:color w:val="D97706"/>
          <w:sz w:val="21"/>
          <w:szCs w:val="21"/>
        </w:rPr>
        <w:t xml:space="preserve">How to Interpret Correlations:  </w:t>
      </w:r>
      <w:r>
        <w:rPr>
          <w:rFonts w:ascii="Arial" w:cs="Arial" w:eastAsia="Arial" w:hAnsi="Arial"/>
          <w:color w:val="475569"/>
          <w:sz w:val="21"/>
          <w:szCs w:val="21"/>
        </w:rPr>
        <w:t xml:space="preserve">Correlation scatter plots in this section do not imply causation. They identify patterns and potential relationships. An R-value close to 1 or -1 would indicate strong correlation; the absence of a clear trend (random scatter) is itself meaningful — it tells you the two variables are likely independent.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97706" w:val="clear"/>
            <w:tcMar>
              <w:top w:type="dxa" w:w="160"/>
              <w:left w:type="dxa" w:w="160"/>
              <w:bottom w:type="dxa" w:w="160"/>
              <w:right w:type="dxa" w:w="160"/>
            </w:tcMar>
            <w:vAlign w:val="center"/>
          </w:tcPr>
          <w:p>
            <w:pPr>
              <w:jc w:val="center"/>
            </w:pPr>
            <w:r>
              <w:rPr>
                <w:rFonts w:ascii="Arial" w:cs="Arial" w:eastAsia="Arial" w:hAnsi="Arial"/>
                <w:sz w:val="36"/>
                <w:szCs w:val="36"/>
              </w:rPr>
              <w:t xml:space="preserve">🏆</w:t>
            </w:r>
          </w:p>
        </w:tc>
        <w:tc>
          <w:tcPr>
            <w:tcW w:type="dxa" w:w="864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20" w:before="0"/>
            </w:pPr>
            <w:r>
              <w:rPr>
                <w:rFonts w:ascii="Arial" w:cs="Arial" w:eastAsia="Arial" w:hAnsi="Arial"/>
                <w:b/>
                <w:bCs/>
                <w:color w:val="D97706"/>
                <w:sz w:val="30"/>
                <w:szCs w:val="30"/>
              </w:rPr>
              <w:t xml:space="preserve">Section 4 — Ranking Analysis</w:t>
            </w:r>
          </w:p>
          <w:p>
            <w:pPr>
              <w:spacing w:after="0" w:before="0"/>
            </w:pPr>
            <w:r>
              <w:rPr>
                <w:rFonts w:ascii="Arial" w:cs="Arial" w:eastAsia="Arial" w:hAnsi="Arial"/>
                <w:color w:val="94A3B8"/>
                <w:sz w:val="20"/>
                <w:szCs w:val="20"/>
              </w:rPr>
              <w:t xml:space="preserve">Three ranking systems compared — criteria, country scores, and student correlations</w:t>
            </w:r>
          </w:p>
        </w:tc>
      </w:tr>
    </w:tbl>
    <w:p>
      <w:pPr>
        <w:spacing w:after="0" w:before="120"/>
      </w:pPr>
      <w:r>
        <w:t xml:space="preserve"/>
      </w:r>
    </w:p>
    <w:p>
      <w:pPr>
        <w:spacing w:after="160" w:before="0"/>
      </w:pPr>
      <w:r>
        <w:rPr>
          <w:rFonts w:ascii="Arial" w:cs="Arial" w:eastAsia="Arial" w:hAnsi="Arial"/>
          <w:color w:val="475569"/>
          <w:sz w:val="22"/>
          <w:szCs w:val="22"/>
        </w:rPr>
        <w:t xml:space="preserve">The Ranking Analysis section examines the three major global university ranking systems included in this dataset and explores how scores relate to student demographics. It helps analysts understand what drives high rankings and which countries consistently perform well.</w:t>
      </w:r>
    </w:p>
    <w:p>
      <w:pPr>
        <w:spacing w:after="0" w:before="80"/>
      </w:pPr>
      <w:r>
        <w:t xml:space="preserve"/>
      </w:r>
    </w:p>
    <w:p>
      <w:pPr>
        <w:pStyle w:val="Heading3"/>
        <w:spacing w:after="80" w:before="200"/>
      </w:pPr>
      <w:r>
        <w:rPr>
          <w:rFonts w:ascii="Arial" w:cs="Arial" w:eastAsia="Arial" w:hAnsi="Arial"/>
          <w:b/>
          <w:bCs/>
          <w:color w:val="4F46E5"/>
          <w:sz w:val="24"/>
          <w:szCs w:val="24"/>
        </w:rPr>
        <w:t xml:space="preserve">KPI Cards</w:t>
      </w:r>
    </w:p>
    <w:p>
      <w:pPr>
        <w:spacing w:after="160" w:before="0"/>
      </w:pPr>
      <w:r>
        <w:rPr>
          <w:rFonts w:ascii="Arial" w:cs="Arial" w:eastAsia="Arial" w:hAnsi="Arial"/>
          <w:color w:val="475569"/>
          <w:sz w:val="22"/>
          <w:szCs w:val="22"/>
        </w:rPr>
        <w:t xml:space="preserve">Four cards highlight the most important single-number insights for the selected year: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F0FDF4" w:val="clear"/>
            <w:tcMar>
              <w:top w:type="dxa" w:w="120"/>
              <w:left w:type="dxa" w:w="180"/>
              <w:bottom w:type="dxa" w:w="120"/>
              <w:right w:type="dxa" w:w="180"/>
            </w:tcMar>
          </w:tcPr>
          <w:p>
            <w:pPr>
              <w:spacing w:after="40" w:before="0"/>
              <w:jc w:val="center"/>
            </w:pPr>
            <w:r>
              <w:rPr>
                <w:rFonts w:ascii="Arial" w:cs="Arial" w:eastAsia="Arial" w:hAnsi="Arial"/>
                <w:b/>
                <w:bCs/>
                <w:color w:val="059669"/>
                <w:sz w:val="28"/>
                <w:szCs w:val="28"/>
              </w:rPr>
              <w:t xml:space="preserve">🏆  2015</w:t>
            </w:r>
          </w:p>
          <w:p>
            <w:pPr>
              <w:spacing w:after="0" w:before="0"/>
              <w:jc w:val="center"/>
            </w:pPr>
            <w:r>
              <w:rPr>
                <w:rFonts w:ascii="Arial" w:cs="Arial" w:eastAsia="Arial" w:hAnsi="Arial"/>
                <w:color w:val="94A3B8"/>
                <w:sz w:val="18"/>
                <w:szCs w:val="18"/>
              </w:rPr>
              <w:t xml:space="preserve">Best Year</w:t>
            </w:r>
          </w:p>
        </w:tc>
        <w:tc>
          <w:tcPr>
            <w:tcW w:type="dxa" w:w="2340"/>
            <w:tcBorders>
              <w:top w:val="single" w:color="E2E8F0" w:sz="1"/>
              <w:left w:val="single" w:color="E2E8F0" w:sz="1"/>
              <w:bottom w:val="single" w:color="E2E8F0" w:sz="1"/>
              <w:right w:val="single" w:color="E2E8F0" w:sz="1"/>
            </w:tcBorders>
            <w:shd w:fill="EFF6FF" w:val="clear"/>
            <w:tcMar>
              <w:top w:type="dxa" w:w="120"/>
              <w:left w:type="dxa" w:w="180"/>
              <w:bottom w:type="dxa" w:w="120"/>
              <w:right w:type="dxa" w:w="180"/>
            </w:tcMar>
          </w:tcPr>
          <w:p>
            <w:pPr>
              <w:spacing w:after="40" w:before="0"/>
              <w:jc w:val="center"/>
            </w:pPr>
            <w:r>
              <w:rPr>
                <w:rFonts w:ascii="Arial" w:cs="Arial" w:eastAsia="Arial" w:hAnsi="Arial"/>
                <w:b/>
                <w:bCs/>
                <w:color w:val="1D4ED8"/>
                <w:sz w:val="28"/>
                <w:szCs w:val="28"/>
              </w:rPr>
              <w:t xml:space="preserve">🌍  Dynamic</w:t>
            </w:r>
          </w:p>
          <w:p>
            <w:pPr>
              <w:spacing w:after="0" w:before="0"/>
              <w:jc w:val="center"/>
            </w:pPr>
            <w:r>
              <w:rPr>
                <w:rFonts w:ascii="Arial" w:cs="Arial" w:eastAsia="Arial" w:hAnsi="Arial"/>
                <w:color w:val="94A3B8"/>
                <w:sz w:val="18"/>
                <w:szCs w:val="18"/>
              </w:rPr>
              <w:t xml:space="preserve">Top Country</w:t>
            </w:r>
          </w:p>
        </w:tc>
        <w:tc>
          <w:tcPr>
            <w:tcW w:type="dxa" w:w="2340"/>
            <w:tcBorders>
              <w:top w:val="single" w:color="E2E8F0" w:sz="1"/>
              <w:left w:val="single" w:color="E2E8F0" w:sz="1"/>
              <w:bottom w:val="single" w:color="E2E8F0" w:sz="1"/>
              <w:right w:val="single" w:color="E2E8F0" w:sz="1"/>
            </w:tcBorders>
            <w:shd w:fill="FFFBEB" w:val="clear"/>
            <w:tcMar>
              <w:top w:type="dxa" w:w="120"/>
              <w:left w:type="dxa" w:w="180"/>
              <w:bottom w:type="dxa" w:w="120"/>
              <w:right w:type="dxa" w:w="180"/>
            </w:tcMar>
          </w:tcPr>
          <w:p>
            <w:pPr>
              <w:spacing w:after="40" w:before="0"/>
              <w:jc w:val="center"/>
            </w:pPr>
            <w:r>
              <w:rPr>
                <w:rFonts w:ascii="Arial" w:cs="Arial" w:eastAsia="Arial" w:hAnsi="Arial"/>
                <w:b/>
                <w:bCs/>
                <w:color w:val="D97706"/>
                <w:sz w:val="28"/>
                <w:szCs w:val="28"/>
              </w:rPr>
              <w:t xml:space="preserve">⭐  Dynamic</w:t>
            </w:r>
          </w:p>
          <w:p>
            <w:pPr>
              <w:spacing w:after="0" w:before="0"/>
              <w:jc w:val="center"/>
            </w:pPr>
            <w:r>
              <w:rPr>
                <w:rFonts w:ascii="Arial" w:cs="Arial" w:eastAsia="Arial" w:hAnsi="Arial"/>
                <w:color w:val="94A3B8"/>
                <w:sz w:val="18"/>
                <w:szCs w:val="18"/>
              </w:rPr>
              <w:t xml:space="preserve">Highest Score</w:t>
            </w:r>
          </w:p>
        </w:tc>
        <w:tc>
          <w:tcPr>
            <w:tcW w:type="dxa" w:w="2340"/>
            <w:tcBorders>
              <w:top w:val="single" w:color="E2E8F0" w:sz="1"/>
              <w:left w:val="single" w:color="E2E8F0" w:sz="1"/>
              <w:bottom w:val="single" w:color="E2E8F0" w:sz="1"/>
              <w:right w:val="single" w:color="E2E8F0" w:sz="1"/>
            </w:tcBorders>
            <w:shd w:fill="E0F2FE" w:val="clear"/>
            <w:tcMar>
              <w:top w:type="dxa" w:w="120"/>
              <w:left w:type="dxa" w:w="180"/>
              <w:bottom w:type="dxa" w:w="120"/>
              <w:right w:type="dxa" w:w="180"/>
            </w:tcMar>
          </w:tcPr>
          <w:p>
            <w:pPr>
              <w:spacing w:after="40" w:before="0"/>
              <w:jc w:val="center"/>
            </w:pPr>
            <w:r>
              <w:rPr>
                <w:rFonts w:ascii="Arial" w:cs="Arial" w:eastAsia="Arial" w:hAnsi="Arial"/>
                <w:b/>
                <w:bCs/>
                <w:color w:val="0284C7"/>
                <w:sz w:val="28"/>
                <w:szCs w:val="28"/>
              </w:rPr>
              <w:t xml:space="preserve">🌐  Dynamic</w:t>
            </w:r>
          </w:p>
          <w:p>
            <w:pPr>
              <w:spacing w:after="0" w:before="0"/>
              <w:jc w:val="center"/>
            </w:pPr>
            <w:r>
              <w:rPr>
                <w:rFonts w:ascii="Arial" w:cs="Arial" w:eastAsia="Arial" w:hAnsi="Arial"/>
                <w:color w:val="94A3B8"/>
                <w:sz w:val="18"/>
                <w:szCs w:val="18"/>
              </w:rPr>
              <w:t xml:space="preserve">Intl Students</w:t>
            </w:r>
          </w:p>
        </w:tc>
      </w:tr>
    </w:tbl>
    <w:p>
      <w:pPr>
        <w:spacing w:after="0" w:before="120"/>
      </w:pPr>
      <w:r>
        <w:t xml:space="preserve"/>
      </w:r>
    </w:p>
    <w:p>
      <w:pPr>
        <w:spacing w:after="160" w:before="0"/>
      </w:pPr>
      <w:r>
        <w:rPr>
          <w:rFonts w:ascii="Arial" w:cs="Arial" w:eastAsia="Arial" w:hAnsi="Arial"/>
          <w:color w:val="475569"/>
          <w:sz w:val="22"/>
          <w:szCs w:val="22"/>
        </w:rPr>
        <w:t xml:space="preserve">The 'Best Year' card identifies the year with the highest average ranking score across all systems. 2015 holds this position globally. The 'Top Country' card updates dynamically — for any given year, it shows which country achieved the highest average score across its ranked institutions.</w:t>
      </w:r>
    </w:p>
    <w:p>
      <w:pPr>
        <w:spacing w:after="0" w:before="80"/>
      </w:pPr>
      <w:r>
        <w:t xml:space="preserve"/>
      </w:r>
    </w:p>
    <w:p>
      <w:pPr>
        <w:pStyle w:val="Heading3"/>
        <w:spacing w:after="80" w:before="200"/>
      </w:pPr>
      <w:r>
        <w:rPr>
          <w:rFonts w:ascii="Arial" w:cs="Arial" w:eastAsia="Arial" w:hAnsi="Arial"/>
          <w:b/>
          <w:bCs/>
          <w:color w:val="4F46E5"/>
          <w:sz w:val="24"/>
          <w:szCs w:val="24"/>
        </w:rPr>
        <w:t xml:space="preserve">Understanding the Three Ranking Systems</w:t>
      </w:r>
    </w:p>
    <w:p>
      <w:pPr>
        <w:spacing w:after="160" w:before="0"/>
      </w:pPr>
      <w:r>
        <w:rPr>
          <w:rFonts w:ascii="Arial" w:cs="Arial" w:eastAsia="Arial" w:hAnsi="Arial"/>
          <w:color w:val="475569"/>
          <w:sz w:val="22"/>
          <w:szCs w:val="22"/>
        </w:rPr>
        <w:t xml:space="preserve">Before interpreting the charts, it is important to understand how each system works:</w:t>
      </w:r>
    </w:p>
    <w:p>
      <w:pPr>
        <w:pStyle w:val="ListParagraph"/>
        <w:numPr>
          <w:ilvl w:val="0"/>
          <w:numId w:val="2"/>
        </w:numPr>
        <w:spacing w:after="40" w:before="40"/>
      </w:pPr>
      <w:r>
        <w:rPr>
          <w:rFonts w:ascii="Arial" w:cs="Arial" w:eastAsia="Arial" w:hAnsi="Arial"/>
          <w:b/>
          <w:bCs/>
          <w:color w:val="0F172A"/>
          <w:sz w:val="22"/>
          <w:szCs w:val="22"/>
        </w:rPr>
        <w:t xml:space="preserve">THE (Times Higher Education): </w:t>
      </w:r>
      <w:r>
        <w:rPr>
          <w:rFonts w:ascii="Arial" w:cs="Arial" w:eastAsia="Arial" w:hAnsi="Arial"/>
          <w:color w:val="475569"/>
          <w:sz w:val="22"/>
          <w:szCs w:val="22"/>
        </w:rPr>
        <w:t xml:space="preserve">Uses a 0–100 normalised score across 6 criteria — Teaching, Research, Citations, International Outlook, Industry Income, and a Total composite. Higher scores are better. Scores are comparable year-to-year.</w:t>
      </w:r>
    </w:p>
    <w:p>
      <w:pPr>
        <w:pStyle w:val="ListParagraph"/>
        <w:numPr>
          <w:ilvl w:val="0"/>
          <w:numId w:val="2"/>
        </w:numPr>
        <w:spacing w:after="40" w:before="40"/>
      </w:pPr>
      <w:r>
        <w:rPr>
          <w:rFonts w:ascii="Arial" w:cs="Arial" w:eastAsia="Arial" w:hAnsi="Arial"/>
          <w:b/>
          <w:bCs/>
          <w:color w:val="0F172A"/>
          <w:sz w:val="22"/>
          <w:szCs w:val="22"/>
        </w:rPr>
        <w:t xml:space="preserve">Shanghai Ranking (ARWU): </w:t>
      </w:r>
      <w:r>
        <w:rPr>
          <w:rFonts w:ascii="Arial" w:cs="Arial" w:eastAsia="Arial" w:hAnsi="Arial"/>
          <w:color w:val="475569"/>
          <w:sz w:val="22"/>
          <w:szCs w:val="22"/>
        </w:rPr>
        <w:t xml:space="preserve">Uses 6 criteria including alumni Nobel/Fields Medals, highly-cited researchers, Nature/Science publications, and per-capita academic performance. Scores are on a 0–100 scale normalised to Harvard (100). This system strongly favours research-intensive institutions.</w:t>
      </w:r>
    </w:p>
    <w:p>
      <w:pPr>
        <w:pStyle w:val="ListParagraph"/>
        <w:numPr>
          <w:ilvl w:val="0"/>
          <w:numId w:val="2"/>
        </w:numPr>
        <w:spacing w:after="40" w:before="40"/>
      </w:pPr>
      <w:r>
        <w:rPr>
          <w:rFonts w:ascii="Arial" w:cs="Arial" w:eastAsia="Arial" w:hAnsi="Arial"/>
          <w:b/>
          <w:bCs/>
          <w:color w:val="0F172A"/>
          <w:sz w:val="22"/>
          <w:szCs w:val="22"/>
        </w:rPr>
        <w:t xml:space="preserve">CWUR (Center for World University Rankings): </w:t>
      </w:r>
      <w:r>
        <w:rPr>
          <w:rFonts w:ascii="Arial" w:cs="Arial" w:eastAsia="Arial" w:hAnsi="Arial"/>
          <w:color w:val="475569"/>
          <w:sz w:val="22"/>
          <w:szCs w:val="22"/>
        </w:rPr>
        <w:t xml:space="preserve">Assigns a numeric rank (1 = best) across 8 criteria including Education Quality, Alumni Employment, Faculty Quality, Publications, Influence, Citations, and Patents. Because CWUR uses rank positions (not scores), lower numerical values mean better performance. The scale can reach into the hundreds or even thousands.</w:t>
      </w:r>
    </w:p>
    <w:p>
      <w:pPr>
        <w:spacing w:after="0" w:before="80"/>
      </w:pPr>
      <w:r>
        <w:t xml:space="preserve"/>
      </w:r>
    </w:p>
    <w:p>
      <w:pPr>
        <w:pBdr>
          <w:left w:val="single" w:color="D97706" w:sz="12" w:space="8"/>
        </w:pBdr>
        <w:shd w:fill="FFFBEB" w:val="clear"/>
        <w:spacing w:after="80" w:before="80"/>
        <w:ind w:left="360" w:right="360"/>
      </w:pPr>
      <w:r>
        <w:rPr>
          <w:rFonts w:ascii="Arial" w:cs="Arial" w:eastAsia="Arial" w:hAnsi="Arial"/>
          <w:b/>
          <w:bCs/>
          <w:color w:val="D97706"/>
          <w:sz w:val="21"/>
          <w:szCs w:val="21"/>
        </w:rPr>
        <w:t xml:space="preserve">Important Note on Score Scales:  </w:t>
      </w:r>
      <w:r>
        <w:rPr>
          <w:rFonts w:ascii="Arial" w:cs="Arial" w:eastAsia="Arial" w:hAnsi="Arial"/>
          <w:color w:val="475569"/>
          <w:sz w:val="21"/>
          <w:szCs w:val="21"/>
        </w:rPr>
        <w:t xml:space="preserve">CWUR scores appear dramatically higher (e.g. 300–500) than THE or Shanghai scores (0–100) because CWUR reports rank positions, not performance percentages. When comparing countries' average scores, always be aware of which ranking system is driving the average.</w:t>
      </w:r>
    </w:p>
    <w:p>
      <w:pPr>
        <w:spacing w:after="0" w:before="80"/>
      </w:pPr>
      <w:r>
        <w:t xml:space="preserve"/>
      </w:r>
    </w:p>
    <w:p>
      <w:pPr>
        <w:pStyle w:val="Heading3"/>
        <w:spacing w:after="80" w:before="200"/>
      </w:pPr>
      <w:r>
        <w:rPr>
          <w:rFonts w:ascii="Arial" w:cs="Arial" w:eastAsia="Arial" w:hAnsi="Arial"/>
          <w:b/>
          <w:bCs/>
          <w:color w:val="4F46E5"/>
          <w:sz w:val="24"/>
          <w:szCs w:val="24"/>
        </w:rPr>
        <w:t xml:space="preserve">Visualisations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Shows &amp; How to Interpret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Score vs Female Students by Year (Dual-Line)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Two lines share the same X-axis (year) but different Y-axes. The solid blue line (left axis) shows the average ranking score. The dashed pink line (right axis) shows the average percentage of female students. This chart explores whether years with higher ranking performance correlate with higher female enrollment. A rising pink line alongside a rising blue line would suggest co-movement. Divergence suggests the two trends are independent.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Total Score by Country (Vertical Bar)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Shows the average ranking score for the top 12 countries in the selected year (or 2015 as default). Each bar is colour-coded by country. Taller bars indicate countries whose universities achieved higher average scores. This chart is highly sensitive to the year filter — switching from 2015 to 2011 will show a completely different set of dominant countries, reflecting how the composition of ranking systems changed over time.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Intl Students by Score Band (Bar)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Universities are grouped into five bands based on their international student percentage: 0–20%, 20–40%, 40–60%, 60–80%, and 80%+. For each band, the bar shows the average international student percentage. This allows you to see whether universities that attract more international students tend to cluster at certain ranking score levels.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Female Students % by Score Band (Bar)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Same structure as the intl students chart, but plots the average female student percentage for each international student percentage band. This reveals whether highly international universities also tend to have more gender-diverse student bodies.</w:t>
            </w:r>
          </w:p>
        </w:tc>
      </w:tr>
    </w:tbl>
    <w:p>
      <w:pPr>
        <w:spacing w:after="0" w:before="80"/>
      </w:pPr>
      <w:r>
        <w:t xml:space="preserve"/>
      </w:r>
    </w:p>
    <w:p>
      <w:pPr>
        <w:pStyle w:val="Heading3"/>
        <w:spacing w:after="80" w:before="200"/>
      </w:pPr>
      <w:r>
        <w:rPr>
          <w:rFonts w:ascii="Arial" w:cs="Arial" w:eastAsia="Arial" w:hAnsi="Arial"/>
          <w:b/>
          <w:bCs/>
          <w:color w:val="4F46E5"/>
          <w:sz w:val="24"/>
          <w:szCs w:val="24"/>
        </w:rPr>
        <w:t xml:space="preserve">Ranking Criteria Reference Table</w:t>
      </w:r>
    </w:p>
    <w:p>
      <w:pPr>
        <w:spacing w:after="160" w:before="0"/>
      </w:pPr>
      <w:r>
        <w:rPr>
          <w:rFonts w:ascii="Arial" w:cs="Arial" w:eastAsia="Arial" w:hAnsi="Arial"/>
          <w:color w:val="475569"/>
          <w:sz w:val="22"/>
          <w:szCs w:val="22"/>
        </w:rPr>
        <w:t xml:space="preserve">A reference table at the bottom of the section lists every THE criterion for the selected year along with its average score and a proportional bar. Use this table to:</w:t>
      </w:r>
    </w:p>
    <w:p>
      <w:pPr>
        <w:pStyle w:val="ListParagraph"/>
        <w:numPr>
          <w:ilvl w:val="0"/>
          <w:numId w:val="2"/>
        </w:numPr>
        <w:spacing w:after="40" w:before="40"/>
      </w:pPr>
      <w:r>
        <w:rPr>
          <w:rFonts w:ascii="Arial" w:cs="Arial" w:eastAsia="Arial" w:hAnsi="Arial"/>
          <w:color w:val="475569"/>
          <w:sz w:val="22"/>
          <w:szCs w:val="22"/>
        </w:rPr>
        <w:t xml:space="preserve">Identify which criteria universities score highest on globally</w:t>
      </w:r>
    </w:p>
    <w:p>
      <w:pPr>
        <w:pStyle w:val="ListParagraph"/>
        <w:numPr>
          <w:ilvl w:val="0"/>
          <w:numId w:val="2"/>
        </w:numPr>
        <w:spacing w:after="40" w:before="40"/>
      </w:pPr>
      <w:r>
        <w:rPr>
          <w:rFonts w:ascii="Arial" w:cs="Arial" w:eastAsia="Arial" w:hAnsi="Arial"/>
          <w:color w:val="475569"/>
          <w:sz w:val="22"/>
          <w:szCs w:val="22"/>
        </w:rPr>
        <w:t xml:space="preserve">Compare year-over-year changes in criteria performance when switching years</w:t>
      </w:r>
    </w:p>
    <w:p>
      <w:pPr>
        <w:pStyle w:val="ListParagraph"/>
        <w:numPr>
          <w:ilvl w:val="0"/>
          <w:numId w:val="2"/>
        </w:numPr>
        <w:spacing w:after="40" w:before="40"/>
      </w:pPr>
      <w:r>
        <w:rPr>
          <w:rFonts w:ascii="Arial" w:cs="Arial" w:eastAsia="Arial" w:hAnsi="Arial"/>
          <w:color w:val="475569"/>
          <w:sz w:val="22"/>
          <w:szCs w:val="22"/>
        </w:rPr>
        <w:t xml:space="preserve">Understand the relative weighting implied by score levels across criteria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59669" w:val="clear"/>
            <w:tcMar>
              <w:top w:type="dxa" w:w="160"/>
              <w:left w:type="dxa" w:w="160"/>
              <w:bottom w:type="dxa" w:w="160"/>
              <w:right w:type="dxa" w:w="160"/>
            </w:tcMar>
            <w:vAlign w:val="center"/>
          </w:tcPr>
          <w:p>
            <w:pPr>
              <w:jc w:val="center"/>
            </w:pPr>
            <w:r>
              <w:rPr>
                <w:rFonts w:ascii="Arial" w:cs="Arial" w:eastAsia="Arial" w:hAnsi="Arial"/>
                <w:sz w:val="36"/>
                <w:szCs w:val="36"/>
              </w:rPr>
              <w:t xml:space="preserve">📅</w:t>
            </w:r>
          </w:p>
        </w:tc>
        <w:tc>
          <w:tcPr>
            <w:tcW w:type="dxa" w:w="864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20" w:before="0"/>
            </w:pPr>
            <w:r>
              <w:rPr>
                <w:rFonts w:ascii="Arial" w:cs="Arial" w:eastAsia="Arial" w:hAnsi="Arial"/>
                <w:b/>
                <w:bCs/>
                <w:color w:val="059669"/>
                <w:sz w:val="30"/>
                <w:szCs w:val="30"/>
              </w:rPr>
              <w:t xml:space="preserve">Section 5 — Yearly Analysis</w:t>
            </w:r>
          </w:p>
          <w:p>
            <w:pPr>
              <w:spacing w:after="0" w:before="0"/>
            </w:pPr>
            <w:r>
              <w:rPr>
                <w:rFonts w:ascii="Arial" w:cs="Arial" w:eastAsia="Arial" w:hAnsi="Arial"/>
                <w:color w:val="94A3B8"/>
                <w:sz w:val="20"/>
                <w:szCs w:val="20"/>
              </w:rPr>
              <w:t xml:space="preserve">Enrollment trends, growth rates, and year-by-year metric comparisons</w:t>
            </w:r>
          </w:p>
        </w:tc>
      </w:tr>
    </w:tbl>
    <w:p>
      <w:pPr>
        <w:spacing w:after="0" w:before="120"/>
      </w:pPr>
      <w:r>
        <w:t xml:space="preserve"/>
      </w:r>
    </w:p>
    <w:p>
      <w:pPr>
        <w:spacing w:after="160" w:before="0"/>
      </w:pPr>
      <w:r>
        <w:rPr>
          <w:rFonts w:ascii="Arial" w:cs="Arial" w:eastAsia="Arial" w:hAnsi="Arial"/>
          <w:color w:val="475569"/>
          <w:sz w:val="22"/>
          <w:szCs w:val="22"/>
        </w:rPr>
        <w:t xml:space="preserve">The Yearly Analysis section tracks how the dataset evolved over time. It answers questions about growth, the changing composition of the student body, and how different enrollment metrics moved in relation to each other from 2005 through 2016.</w:t>
      </w:r>
    </w:p>
    <w:p>
      <w:pPr>
        <w:spacing w:after="0" w:before="80"/>
      </w:pPr>
      <w:r>
        <w:t xml:space="preserve"/>
      </w:r>
    </w:p>
    <w:p>
      <w:pPr>
        <w:pStyle w:val="Heading3"/>
        <w:spacing w:after="80" w:before="200"/>
      </w:pPr>
      <w:r>
        <w:rPr>
          <w:rFonts w:ascii="Arial" w:cs="Arial" w:eastAsia="Arial" w:hAnsi="Arial"/>
          <w:b/>
          <w:bCs/>
          <w:color w:val="4F46E5"/>
          <w:sz w:val="24"/>
          <w:szCs w:val="24"/>
        </w:rPr>
        <w:t xml:space="preserve">KPI Cards</w:t>
      </w:r>
    </w:p>
    <w:p>
      <w:pPr>
        <w:spacing w:after="160" w:before="0"/>
      </w:pPr>
      <w:r>
        <w:rPr>
          <w:rFonts w:ascii="Arial" w:cs="Arial" w:eastAsia="Arial" w:hAnsi="Arial"/>
          <w:color w:val="475569"/>
          <w:sz w:val="22"/>
          <w:szCs w:val="22"/>
        </w:rPr>
        <w:t xml:space="preserve">Four cards show either the value for the selected year, or the peak/average across all years when 'All Years' is active: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120"/>
              <w:left w:type="dxa" w:w="180"/>
              <w:bottom w:type="dxa" w:w="120"/>
              <w:right w:type="dxa" w:w="180"/>
            </w:tcMar>
          </w:tcPr>
          <w:p>
            <w:pPr>
              <w:spacing w:after="40" w:before="0"/>
              <w:jc w:val="center"/>
            </w:pPr>
            <w:r>
              <w:rPr>
                <w:rFonts w:ascii="Arial" w:cs="Arial" w:eastAsia="Arial" w:hAnsi="Arial"/>
                <w:b/>
                <w:bCs/>
                <w:color w:val="1D4ED8"/>
                <w:sz w:val="28"/>
                <w:szCs w:val="28"/>
              </w:rPr>
              <w:t xml:space="preserve">🏛️  Dynamic</w:t>
            </w:r>
          </w:p>
          <w:p>
            <w:pPr>
              <w:spacing w:after="0" w:before="0"/>
              <w:jc w:val="center"/>
            </w:pPr>
            <w:r>
              <w:rPr>
                <w:rFonts w:ascii="Arial" w:cs="Arial" w:eastAsia="Arial" w:hAnsi="Arial"/>
                <w:color w:val="94A3B8"/>
                <w:sz w:val="18"/>
                <w:szCs w:val="18"/>
              </w:rPr>
              <w:t xml:space="preserve">Universities</w:t>
            </w:r>
          </w:p>
        </w:tc>
        <w:tc>
          <w:tcPr>
            <w:tcW w:type="dxa" w:w="2340"/>
            <w:tcBorders>
              <w:top w:val="single" w:color="E2E8F0" w:sz="1"/>
              <w:left w:val="single" w:color="E2E8F0" w:sz="1"/>
              <w:bottom w:val="single" w:color="E2E8F0" w:sz="1"/>
              <w:right w:val="single" w:color="E2E8F0" w:sz="1"/>
            </w:tcBorders>
            <w:shd w:fill="FCE7F3" w:val="clear"/>
            <w:tcMar>
              <w:top w:type="dxa" w:w="120"/>
              <w:left w:type="dxa" w:w="180"/>
              <w:bottom w:type="dxa" w:w="120"/>
              <w:right w:type="dxa" w:w="180"/>
            </w:tcMar>
          </w:tcPr>
          <w:p>
            <w:pPr>
              <w:spacing w:after="40" w:before="0"/>
              <w:jc w:val="center"/>
            </w:pPr>
            <w:r>
              <w:rPr>
                <w:rFonts w:ascii="Arial" w:cs="Arial" w:eastAsia="Arial" w:hAnsi="Arial"/>
                <w:b/>
                <w:bCs/>
                <w:color w:val="DB2777"/>
                <w:sz w:val="28"/>
                <w:szCs w:val="28"/>
              </w:rPr>
              <w:t xml:space="preserve">👩‍🎓  Dynamic</w:t>
            </w:r>
          </w:p>
          <w:p>
            <w:pPr>
              <w:spacing w:after="0" w:before="0"/>
              <w:jc w:val="center"/>
            </w:pPr>
            <w:r>
              <w:rPr>
                <w:rFonts w:ascii="Arial" w:cs="Arial" w:eastAsia="Arial" w:hAnsi="Arial"/>
                <w:color w:val="94A3B8"/>
                <w:sz w:val="18"/>
                <w:szCs w:val="18"/>
              </w:rPr>
              <w:t xml:space="preserve">Female Students</w:t>
            </w:r>
          </w:p>
        </w:tc>
        <w:tc>
          <w:tcPr>
            <w:tcW w:type="dxa" w:w="2340"/>
            <w:tcBorders>
              <w:top w:val="single" w:color="E2E8F0" w:sz="1"/>
              <w:left w:val="single" w:color="E2E8F0" w:sz="1"/>
              <w:bottom w:val="single" w:color="E2E8F0" w:sz="1"/>
              <w:right w:val="single" w:color="E2E8F0" w:sz="1"/>
            </w:tcBorders>
            <w:shd w:fill="E0F2FE" w:val="clear"/>
            <w:tcMar>
              <w:top w:type="dxa" w:w="120"/>
              <w:left w:type="dxa" w:w="180"/>
              <w:bottom w:type="dxa" w:w="120"/>
              <w:right w:type="dxa" w:w="180"/>
            </w:tcMar>
          </w:tcPr>
          <w:p>
            <w:pPr>
              <w:spacing w:after="40" w:before="0"/>
              <w:jc w:val="center"/>
            </w:pPr>
            <w:r>
              <w:rPr>
                <w:rFonts w:ascii="Arial" w:cs="Arial" w:eastAsia="Arial" w:hAnsi="Arial"/>
                <w:b/>
                <w:bCs/>
                <w:color w:val="0284C7"/>
                <w:sz w:val="28"/>
                <w:szCs w:val="28"/>
              </w:rPr>
              <w:t xml:space="preserve">🌐  Dynamic</w:t>
            </w:r>
          </w:p>
          <w:p>
            <w:pPr>
              <w:spacing w:after="0" w:before="0"/>
              <w:jc w:val="center"/>
            </w:pPr>
            <w:r>
              <w:rPr>
                <w:rFonts w:ascii="Arial" w:cs="Arial" w:eastAsia="Arial" w:hAnsi="Arial"/>
                <w:color w:val="94A3B8"/>
                <w:sz w:val="18"/>
                <w:szCs w:val="18"/>
              </w:rPr>
              <w:t xml:space="preserve">Intl Students</w:t>
            </w:r>
          </w:p>
        </w:tc>
        <w:tc>
          <w:tcPr>
            <w:tcW w:type="dxa" w:w="2340"/>
            <w:tcBorders>
              <w:top w:val="single" w:color="E2E8F0" w:sz="1"/>
              <w:left w:val="single" w:color="E2E8F0" w:sz="1"/>
              <w:bottom w:val="single" w:color="E2E8F0" w:sz="1"/>
              <w:right w:val="single" w:color="E2E8F0" w:sz="1"/>
            </w:tcBorders>
            <w:shd w:fill="F0FDF4" w:val="clear"/>
            <w:tcMar>
              <w:top w:type="dxa" w:w="120"/>
              <w:left w:type="dxa" w:w="180"/>
              <w:bottom w:type="dxa" w:w="120"/>
              <w:right w:type="dxa" w:w="180"/>
            </w:tcMar>
          </w:tcPr>
          <w:p>
            <w:pPr>
              <w:spacing w:after="40" w:before="0"/>
              <w:jc w:val="center"/>
            </w:pPr>
            <w:r>
              <w:rPr>
                <w:rFonts w:ascii="Arial" w:cs="Arial" w:eastAsia="Arial" w:hAnsi="Arial"/>
                <w:b/>
                <w:bCs/>
                <w:color w:val="059669"/>
                <w:sz w:val="28"/>
                <w:szCs w:val="28"/>
              </w:rPr>
              <w:t xml:space="preserve">📊  Dynamic</w:t>
            </w:r>
          </w:p>
          <w:p>
            <w:pPr>
              <w:spacing w:after="0" w:before="0"/>
              <w:jc w:val="center"/>
            </w:pPr>
            <w:r>
              <w:rPr>
                <w:rFonts w:ascii="Arial" w:cs="Arial" w:eastAsia="Arial" w:hAnsi="Arial"/>
                <w:color w:val="94A3B8"/>
                <w:sz w:val="18"/>
                <w:szCs w:val="18"/>
              </w:rPr>
              <w:t xml:space="preserve">Intl Student %</w:t>
            </w:r>
          </w:p>
        </w:tc>
      </w:tr>
    </w:tbl>
    <w:p>
      <w:pPr>
        <w:spacing w:after="0" w:before="120"/>
      </w:pPr>
      <w:r>
        <w:t xml:space="preserve"/>
      </w:r>
    </w:p>
    <w:p>
      <w:pPr>
        <w:spacing w:after="160" w:before="0"/>
      </w:pPr>
      <w:r>
        <w:rPr>
          <w:rFonts w:ascii="Arial" w:cs="Arial" w:eastAsia="Arial" w:hAnsi="Arial"/>
          <w:color w:val="475569"/>
          <w:sz w:val="22"/>
          <w:szCs w:val="22"/>
        </w:rPr>
        <w:t xml:space="preserve">When a specific year is selected, these cards show that year's exact values. When 'All Years' is active, they show the peak university count, average female/intl students per year, and average international student ratio across all years.</w:t>
      </w:r>
    </w:p>
    <w:p>
      <w:pPr>
        <w:spacing w:after="0" w:before="80"/>
      </w:pPr>
      <w:r>
        <w:t xml:space="preserve"/>
      </w:r>
    </w:p>
    <w:p>
      <w:pPr>
        <w:pStyle w:val="Heading3"/>
        <w:spacing w:after="80" w:before="200"/>
      </w:pPr>
      <w:r>
        <w:rPr>
          <w:rFonts w:ascii="Arial" w:cs="Arial" w:eastAsia="Arial" w:hAnsi="Arial"/>
          <w:b/>
          <w:bCs/>
          <w:color w:val="4F46E5"/>
          <w:sz w:val="24"/>
          <w:szCs w:val="24"/>
        </w:rPr>
        <w:t xml:space="preserve">Visualisations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Shows &amp; How to Interpret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Annual Intl Student Enrollment Trend (Area)</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An area chart tracing the estimated total number of international students across all years. The shaded area under the line provides a cumulative visual impression of scale. A selected year is highlighted with a larger point on the line. Upward slope indicates increasing international enrollment. This chart is particularly useful for detecting inflection points — years where growth accelerated or decelerated.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Year-wise Key Metrics: Students, Intl, Female (Grouped Bar)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Three grouped bars appear side-by-side for each year — one for total students, one for international students, and one for female students. This layout allows direct comparison of the three populations within each year and across years. When a year is selected from the filter, that year's bars are displayed at full opacity while adjacent years are dimmed, drawing the eye to the selected period.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Intl Student % by Year (Area Line)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 line chart showing the international student ratio (as a percentage of total enrollment) for each year. Unlike the raw enrollment numbers, this percentage view reveals whether universities became relatively more or less internationally diverse over time, independent of changes in total enrollment. A flat line would indicate proportional growth; an upward trend indicates internationalisation is outpacing domestic enrollment.</w:t>
            </w:r>
          </w:p>
        </w:tc>
      </w:tr>
    </w:tbl>
    <w:p>
      <w:pPr>
        <w:spacing w:after="0" w:before="80"/>
      </w:pPr>
      <w:r>
        <w:t xml:space="preserve"/>
      </w:r>
    </w:p>
    <w:p>
      <w:pPr>
        <w:pStyle w:val="Heading3"/>
        <w:spacing w:after="80" w:before="200"/>
      </w:pPr>
      <w:r>
        <w:rPr>
          <w:rFonts w:ascii="Arial" w:cs="Arial" w:eastAsia="Arial" w:hAnsi="Arial"/>
          <w:b/>
          <w:bCs/>
          <w:color w:val="4F46E5"/>
          <w:sz w:val="24"/>
          <w:szCs w:val="24"/>
        </w:rPr>
        <w:t xml:space="preserve">Yearly Summary Table</w:t>
      </w:r>
    </w:p>
    <w:p>
      <w:pPr>
        <w:spacing w:after="160" w:before="0"/>
      </w:pPr>
      <w:r>
        <w:rPr>
          <w:rFonts w:ascii="Arial" w:cs="Arial" w:eastAsia="Arial" w:hAnsi="Arial"/>
          <w:color w:val="475569"/>
          <w:sz w:val="22"/>
          <w:szCs w:val="22"/>
        </w:rPr>
        <w:t xml:space="preserve">A comprehensive reference table at the bottom of the section presents all metrics side-by-side for every year. Columns include:</w:t>
      </w:r>
    </w:p>
    <w:p>
      <w:pPr>
        <w:pStyle w:val="ListParagraph"/>
        <w:numPr>
          <w:ilvl w:val="0"/>
          <w:numId w:val="2"/>
        </w:numPr>
        <w:spacing w:after="40" w:before="40"/>
      </w:pPr>
      <w:r>
        <w:rPr>
          <w:rFonts w:ascii="Arial" w:cs="Arial" w:eastAsia="Arial" w:hAnsi="Arial"/>
          <w:b/>
          <w:bCs/>
          <w:color w:val="0F172A"/>
          <w:sz w:val="22"/>
          <w:szCs w:val="22"/>
        </w:rPr>
        <w:t xml:space="preserve">Year: </w:t>
      </w:r>
      <w:r>
        <w:rPr>
          <w:rFonts w:ascii="Arial" w:cs="Arial" w:eastAsia="Arial" w:hAnsi="Arial"/>
          <w:color w:val="475569"/>
          <w:sz w:val="22"/>
          <w:szCs w:val="22"/>
        </w:rPr>
        <w:t xml:space="preserve">The academic year, shown in blue monospace font. The selected year is highlighted in a light blue row.</w:t>
      </w:r>
    </w:p>
    <w:p>
      <w:pPr>
        <w:pStyle w:val="ListParagraph"/>
        <w:numPr>
          <w:ilvl w:val="0"/>
          <w:numId w:val="2"/>
        </w:numPr>
        <w:spacing w:after="40" w:before="40"/>
      </w:pPr>
      <w:r>
        <w:rPr>
          <w:rFonts w:ascii="Arial" w:cs="Arial" w:eastAsia="Arial" w:hAnsi="Arial"/>
          <w:b/>
          <w:bCs/>
          <w:color w:val="0F172A"/>
          <w:sz w:val="22"/>
          <w:szCs w:val="22"/>
        </w:rPr>
        <w:t xml:space="preserve">Universities: </w:t>
      </w:r>
      <w:r>
        <w:rPr>
          <w:rFonts w:ascii="Arial" w:cs="Arial" w:eastAsia="Arial" w:hAnsi="Arial"/>
          <w:color w:val="475569"/>
          <w:sz w:val="22"/>
          <w:szCs w:val="22"/>
        </w:rPr>
        <w:t xml:space="preserve">Number of institutions with data in that year.</w:t>
      </w:r>
    </w:p>
    <w:p>
      <w:pPr>
        <w:pStyle w:val="ListParagraph"/>
        <w:numPr>
          <w:ilvl w:val="0"/>
          <w:numId w:val="2"/>
        </w:numPr>
        <w:spacing w:after="40" w:before="40"/>
      </w:pPr>
      <w:r>
        <w:rPr>
          <w:rFonts w:ascii="Arial" w:cs="Arial" w:eastAsia="Arial" w:hAnsi="Arial"/>
          <w:b/>
          <w:bCs/>
          <w:color w:val="0F172A"/>
          <w:sz w:val="22"/>
          <w:szCs w:val="22"/>
        </w:rPr>
        <w:t xml:space="preserve">Students: </w:t>
      </w:r>
      <w:r>
        <w:rPr>
          <w:rFonts w:ascii="Arial" w:cs="Arial" w:eastAsia="Arial" w:hAnsi="Arial"/>
          <w:color w:val="475569"/>
          <w:sz w:val="22"/>
          <w:szCs w:val="22"/>
        </w:rPr>
        <w:t xml:space="preserve">Total enrolled students across all tracked universities.</w:t>
      </w:r>
    </w:p>
    <w:p>
      <w:pPr>
        <w:pStyle w:val="ListParagraph"/>
        <w:numPr>
          <w:ilvl w:val="0"/>
          <w:numId w:val="2"/>
        </w:numPr>
        <w:spacing w:after="40" w:before="40"/>
      </w:pPr>
      <w:r>
        <w:rPr>
          <w:rFonts w:ascii="Arial" w:cs="Arial" w:eastAsia="Arial" w:hAnsi="Arial"/>
          <w:b/>
          <w:bCs/>
          <w:color w:val="0F172A"/>
          <w:sz w:val="22"/>
          <w:szCs w:val="22"/>
        </w:rPr>
        <w:t xml:space="preserve">Intl Students: </w:t>
      </w:r>
      <w:r>
        <w:rPr>
          <w:rFonts w:ascii="Arial" w:cs="Arial" w:eastAsia="Arial" w:hAnsi="Arial"/>
          <w:color w:val="475569"/>
          <w:sz w:val="22"/>
          <w:szCs w:val="22"/>
        </w:rPr>
        <w:t xml:space="preserve">Estimated total international students (enrollment × intl%).</w:t>
      </w:r>
    </w:p>
    <w:p>
      <w:pPr>
        <w:pStyle w:val="ListParagraph"/>
        <w:numPr>
          <w:ilvl w:val="0"/>
          <w:numId w:val="2"/>
        </w:numPr>
        <w:spacing w:after="40" w:before="40"/>
      </w:pPr>
      <w:r>
        <w:rPr>
          <w:rFonts w:ascii="Arial" w:cs="Arial" w:eastAsia="Arial" w:hAnsi="Arial"/>
          <w:b/>
          <w:bCs/>
          <w:color w:val="0F172A"/>
          <w:sz w:val="22"/>
          <w:szCs w:val="22"/>
        </w:rPr>
        <w:t xml:space="preserve">Female Students: </w:t>
      </w:r>
      <w:r>
        <w:rPr>
          <w:rFonts w:ascii="Arial" w:cs="Arial" w:eastAsia="Arial" w:hAnsi="Arial"/>
          <w:color w:val="475569"/>
          <w:sz w:val="22"/>
          <w:szCs w:val="22"/>
        </w:rPr>
        <w:t xml:space="preserve">Estimated total female students (enrollment × female%).</w:t>
      </w:r>
    </w:p>
    <w:p>
      <w:pPr>
        <w:pStyle w:val="ListParagraph"/>
        <w:numPr>
          <w:ilvl w:val="0"/>
          <w:numId w:val="2"/>
        </w:numPr>
        <w:spacing w:after="40" w:before="40"/>
      </w:pPr>
      <w:r>
        <w:rPr>
          <w:rFonts w:ascii="Arial" w:cs="Arial" w:eastAsia="Arial" w:hAnsi="Arial"/>
          <w:b/>
          <w:bCs/>
          <w:color w:val="0F172A"/>
          <w:sz w:val="22"/>
          <w:szCs w:val="22"/>
        </w:rPr>
        <w:t xml:space="preserve">Intl %: </w:t>
      </w:r>
      <w:r>
        <w:rPr>
          <w:rFonts w:ascii="Arial" w:cs="Arial" w:eastAsia="Arial" w:hAnsi="Arial"/>
          <w:color w:val="475569"/>
          <w:sz w:val="22"/>
          <w:szCs w:val="22"/>
        </w:rPr>
        <w:t xml:space="preserve">Average international student ratio across all institutions that year.</w:t>
      </w:r>
    </w:p>
    <w:p>
      <w:pPr>
        <w:pStyle w:val="ListParagraph"/>
        <w:numPr>
          <w:ilvl w:val="0"/>
          <w:numId w:val="2"/>
        </w:numPr>
        <w:spacing w:after="40" w:before="40"/>
      </w:pPr>
      <w:r>
        <w:rPr>
          <w:rFonts w:ascii="Arial" w:cs="Arial" w:eastAsia="Arial" w:hAnsi="Arial"/>
          <w:b/>
          <w:bCs/>
          <w:color w:val="0F172A"/>
          <w:sz w:val="22"/>
          <w:szCs w:val="22"/>
        </w:rPr>
        <w:t xml:space="preserve">Avg Score: </w:t>
      </w:r>
      <w:r>
        <w:rPr>
          <w:rFonts w:ascii="Arial" w:cs="Arial" w:eastAsia="Arial" w:hAnsi="Arial"/>
          <w:color w:val="475569"/>
          <w:sz w:val="22"/>
          <w:szCs w:val="22"/>
        </w:rPr>
        <w:t xml:space="preserve">Mean ranking score across all ranking records published that year.</w:t>
      </w:r>
    </w:p>
    <w:p>
      <w:pPr>
        <w:pStyle w:val="ListParagraph"/>
        <w:numPr>
          <w:ilvl w:val="0"/>
          <w:numId w:val="2"/>
        </w:numPr>
        <w:spacing w:after="40" w:before="40"/>
      </w:pPr>
      <w:r>
        <w:rPr>
          <w:rFonts w:ascii="Arial" w:cs="Arial" w:eastAsia="Arial" w:hAnsi="Arial"/>
          <w:b/>
          <w:bCs/>
          <w:color w:val="0F172A"/>
          <w:sz w:val="22"/>
          <w:szCs w:val="22"/>
        </w:rPr>
        <w:t xml:space="preserve">Records: </w:t>
      </w:r>
      <w:r>
        <w:rPr>
          <w:rFonts w:ascii="Arial" w:cs="Arial" w:eastAsia="Arial" w:hAnsi="Arial"/>
          <w:color w:val="475569"/>
          <w:sz w:val="22"/>
          <w:szCs w:val="22"/>
        </w:rPr>
        <w:t xml:space="preserve">Total number of ranking entries in the dataset for that year.</w:t>
      </w:r>
    </w:p>
    <w:p>
      <w:pPr>
        <w:spacing w:after="0" w:before="80"/>
      </w:pPr>
      <w:r>
        <w:t xml:space="preserve"/>
      </w:r>
    </w:p>
    <w:p>
      <w:pPr>
        <w:pBdr>
          <w:left w:val="single" w:color="059669" w:sz="12" w:space="8"/>
        </w:pBdr>
        <w:shd w:fill="F0FDF4" w:val="clear"/>
        <w:spacing w:after="80" w:before="80"/>
        <w:ind w:left="360" w:right="360"/>
      </w:pPr>
      <w:r>
        <w:rPr>
          <w:rFonts w:ascii="Arial" w:cs="Arial" w:eastAsia="Arial" w:hAnsi="Arial"/>
          <w:b/>
          <w:bCs/>
          <w:color w:val="059669"/>
          <w:sz w:val="21"/>
          <w:szCs w:val="21"/>
        </w:rPr>
        <w:t xml:space="preserve">Notable Trend:  </w:t>
      </w:r>
      <w:r>
        <w:rPr>
          <w:rFonts w:ascii="Arial" w:cs="Arial" w:eastAsia="Arial" w:hAnsi="Arial"/>
          <w:color w:val="475569"/>
          <w:sz w:val="21"/>
          <w:szCs w:val="21"/>
        </w:rPr>
        <w:t xml:space="preserve">The year 2014 shows a dramatic spike in both ranking records (9,678) and average score (297.4). This is because 2014 was the first year CWUR included a large number of institutions globally. CWUR's rank-position scoring system produces much larger numerical values than the THE or Shanghai 0–100 scales, which inflates the average.</w:t>
      </w:r>
    </w:p>
    <w:p>
      <w:pPr>
        <w:spacing w:after="0" w:before="200"/>
      </w:pPr>
      <w:r>
        <w:t xml:space="preserve"/>
      </w:r>
    </w:p>
    <w:p>
      <w:pPr>
        <w:pStyle w:val="Heading1"/>
        <w:spacing w:after="160" w:before="360"/>
      </w:pPr>
      <w:r>
        <w:rPr>
          <w:rFonts w:ascii="Arial" w:cs="Arial" w:eastAsia="Arial" w:hAnsi="Arial"/>
          <w:b/>
          <w:bCs/>
          <w:color w:val="0F172A"/>
          <w:sz w:val="34"/>
          <w:szCs w:val="34"/>
        </w:rPr>
        <w:t xml:space="preserve">8. Data Model &amp; Sources</w:t>
      </w:r>
    </w:p>
    <w:p>
      <w:pPr>
        <w:spacing w:after="160" w:before="0"/>
      </w:pPr>
      <w:r>
        <w:rPr>
          <w:rFonts w:ascii="Arial" w:cs="Arial" w:eastAsia="Arial" w:hAnsi="Arial"/>
          <w:color w:val="475569"/>
          <w:sz w:val="22"/>
          <w:szCs w:val="22"/>
        </w:rPr>
        <w:t xml:space="preserve">The dashboard is powered by six interconnected tables in the UniversitySucessAnalysis Power BI semantic model: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8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08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university</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75569"/>
                <w:sz w:val="18"/>
                <w:szCs w:val="18"/>
              </w:rPr>
              <w:t xml:space="preserve">id, university_name, country_id</w:t>
            </w:r>
          </w:p>
        </w:tc>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Master list of all 1,247 institutions with country linkage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country</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8"/>
                <w:szCs w:val="18"/>
              </w:rPr>
              <w:t xml:space="preserve">id, country_name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Lookup table of 74 countries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university_year</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75569"/>
                <w:sz w:val="18"/>
                <w:szCs w:val="18"/>
              </w:rPr>
              <w:t xml:space="preserve">university_id, year, num_students, pct_international_students, pct_female_students, student_staff_ratio</w:t>
            </w:r>
          </w:p>
        </w:tc>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Annual enrollment and demographic metrics per institution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university_ranking_year</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8"/>
                <w:szCs w:val="18"/>
              </w:rPr>
              <w:t xml:space="preserve">university_id, ranking_criteria_id, year, score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Annual score per institution per ranking criterion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ranking_criteria</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75569"/>
                <w:sz w:val="18"/>
                <w:szCs w:val="18"/>
              </w:rPr>
              <w:t xml:space="preserve">id, ranking_system_id, criteria_name</w:t>
            </w:r>
          </w:p>
        </w:tc>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Individual evaluation criteria (e.g. Teaching, Citations)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D4ED8"/>
                <w:sz w:val="20"/>
                <w:szCs w:val="20"/>
              </w:rPr>
              <w:t xml:space="preserve">ranking_system</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8"/>
                <w:szCs w:val="18"/>
              </w:rPr>
              <w:t xml:space="preserve">id, system_name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The three ranking systems: THE, Shanghai, CWUR</w:t>
            </w:r>
          </w:p>
        </w:tc>
      </w:tr>
    </w:tbl>
    <w:p>
      <w:pPr>
        <w:spacing w:after="0" w:before="120"/>
      </w:pPr>
      <w:r>
        <w:t xml:space="preserve"/>
      </w:r>
    </w:p>
    <w:p>
      <w:pPr>
        <w:pBdr>
          <w:left w:val="single" w:color="1D4ED8" w:sz="12" w:space="8"/>
        </w:pBdr>
        <w:shd w:fill="EFF6FF" w:val="clear"/>
        <w:spacing w:after="80" w:before="80"/>
        <w:ind w:left="360" w:right="360"/>
      </w:pPr>
      <w:r>
        <w:rPr>
          <w:rFonts w:ascii="Arial" w:cs="Arial" w:eastAsia="Arial" w:hAnsi="Arial"/>
          <w:b/>
          <w:bCs/>
          <w:color w:val="1D4ED8"/>
          <w:sz w:val="21"/>
          <w:szCs w:val="21"/>
        </w:rPr>
        <w:t xml:space="preserve">Note on Student Calculations:  </w:t>
      </w:r>
      <w:r>
        <w:rPr>
          <w:rFonts w:ascii="Arial" w:cs="Arial" w:eastAsia="Arial" w:hAnsi="Arial"/>
          <w:color w:val="475569"/>
          <w:sz w:val="21"/>
          <w:szCs w:val="21"/>
        </w:rPr>
        <w:t xml:space="preserve">International and female student counts are estimated values derived by multiplying total enrollment by the respective percentage (e.g. 50,000 students × 25% international = 12,500 estimated international students). These are approximations based on the reported percentages and should be interpreted as indicative rather than exact headcounts.</w:t>
      </w:r>
    </w:p>
    <w:p>
      <w:pPr>
        <w:spacing w:after="0" w:before="200"/>
      </w:pPr>
      <w:r>
        <w:t xml:space="preserve"/>
      </w:r>
    </w:p>
    <w:p>
      <w:pPr>
        <w:pStyle w:val="Heading1"/>
        <w:spacing w:after="160" w:before="360"/>
      </w:pPr>
      <w:r>
        <w:rPr>
          <w:rFonts w:ascii="Arial" w:cs="Arial" w:eastAsia="Arial" w:hAnsi="Arial"/>
          <w:b/>
          <w:bCs/>
          <w:color w:val="0F172A"/>
          <w:sz w:val="34"/>
          <w:szCs w:val="34"/>
        </w:rPr>
        <w:t xml:space="preserve">9. How to Use the Dashboard Effectively</w:t>
      </w:r>
    </w:p>
    <w:p>
      <w:pPr>
        <w:pStyle w:val="Heading3"/>
        <w:spacing w:after="80" w:before="200"/>
      </w:pPr>
      <w:r>
        <w:rPr>
          <w:rFonts w:ascii="Arial" w:cs="Arial" w:eastAsia="Arial" w:hAnsi="Arial"/>
          <w:b/>
          <w:bCs/>
          <w:color w:val="4F46E5"/>
          <w:sz w:val="24"/>
          <w:szCs w:val="24"/>
        </w:rPr>
        <w:t xml:space="preserve">Common Analytical Workflows</w:t>
      </w:r>
    </w:p>
    <w:p>
      <w:pPr>
        <w:spacing w:after="0" w:before="40"/>
      </w:pPr>
      <w:r>
        <w:t xml:space="preserve"/>
      </w:r>
    </w:p>
    <w:p>
      <w:pPr>
        <w:spacing w:after="60" w:before="160"/>
      </w:pPr>
      <w:r>
        <w:rPr>
          <w:rFonts w:ascii="Arial" w:cs="Arial" w:eastAsia="Arial" w:hAnsi="Arial"/>
          <w:b/>
          <w:bCs/>
          <w:color w:val="0F172A"/>
          <w:sz w:val="22"/>
          <w:szCs w:val="22"/>
        </w:rPr>
        <w:t xml:space="preserve">Benchmarking a Specific Country</w:t>
      </w:r>
    </w:p>
    <w:p>
      <w:pPr>
        <w:spacing w:after="160" w:before="0"/>
      </w:pPr>
      <w:r>
        <w:rPr>
          <w:rFonts w:ascii="Arial" w:cs="Arial" w:eastAsia="Arial" w:hAnsi="Arial"/>
          <w:color w:val="475569"/>
          <w:sz w:val="22"/>
          <w:szCs w:val="22"/>
        </w:rPr>
        <w:t xml:space="preserve">1. Navigate to Country Analysis. 2. Use the Country dropdown in the leaderboard to select your target country. 3. The KPI cards update to show that country's total universities, international students, and female students. 4. Apply the Year filter to see values for a specific academic year.</w:t>
      </w:r>
    </w:p>
    <w:p>
      <w:pPr>
        <w:spacing w:after="0" w:before="60"/>
      </w:pPr>
      <w:r>
        <w:t xml:space="preserve"/>
      </w:r>
    </w:p>
    <w:p>
      <w:pPr>
        <w:spacing w:after="60" w:before="160"/>
      </w:pPr>
      <w:r>
        <w:rPr>
          <w:rFonts w:ascii="Arial" w:cs="Arial" w:eastAsia="Arial" w:hAnsi="Arial"/>
          <w:b/>
          <w:bCs/>
          <w:color w:val="0F172A"/>
          <w:sz w:val="22"/>
          <w:szCs w:val="22"/>
        </w:rPr>
        <w:t xml:space="preserve">Tracking Year-on-Year Growth</w:t>
      </w:r>
    </w:p>
    <w:p>
      <w:pPr>
        <w:spacing w:after="160" w:before="0"/>
      </w:pPr>
      <w:r>
        <w:rPr>
          <w:rFonts w:ascii="Arial" w:cs="Arial" w:eastAsia="Arial" w:hAnsi="Arial"/>
          <w:color w:val="475569"/>
          <w:sz w:val="22"/>
          <w:szCs w:val="22"/>
        </w:rPr>
        <w:t xml:space="preserve">1. Navigate to Yearly Analysis. 2. Leave Country and System filters on 'All'. 3. Use the Year filter to step through each year — each selection highlights that year's bar in the grouped chart and shows exact values in the summary table.</w:t>
      </w:r>
    </w:p>
    <w:p>
      <w:pPr>
        <w:spacing w:after="0" w:before="60"/>
      </w:pPr>
      <w:r>
        <w:t xml:space="preserve"/>
      </w:r>
    </w:p>
    <w:p>
      <w:pPr>
        <w:spacing w:after="60" w:before="160"/>
      </w:pPr>
      <w:r>
        <w:rPr>
          <w:rFonts w:ascii="Arial" w:cs="Arial" w:eastAsia="Arial" w:hAnsi="Arial"/>
          <w:b/>
          <w:bCs/>
          <w:color w:val="0F172A"/>
          <w:sz w:val="22"/>
          <w:szCs w:val="22"/>
        </w:rPr>
        <w:t xml:space="preserve">Comparing Ranking Systems</w:t>
      </w:r>
    </w:p>
    <w:p>
      <w:pPr>
        <w:spacing w:after="160" w:before="0"/>
      </w:pPr>
      <w:r>
        <w:rPr>
          <w:rFonts w:ascii="Arial" w:cs="Arial" w:eastAsia="Arial" w:hAnsi="Arial"/>
          <w:color w:val="475569"/>
          <w:sz w:val="22"/>
          <w:szCs w:val="22"/>
        </w:rPr>
        <w:t xml:space="preserve">1. Navigate to Ranking Analysis. 2. Note the criteria reference table at the bottom. 3. The radar chart (if your version includes it) overlays all three systems. 4. The Total Score by Country chart reflects the dominant system for that year — switch the Year filter to see how country rankings changed as CWUR expanded.</w:t>
      </w:r>
    </w:p>
    <w:p>
      <w:pPr>
        <w:spacing w:after="0" w:before="60"/>
      </w:pPr>
      <w:r>
        <w:t xml:space="preserve"/>
      </w:r>
    </w:p>
    <w:p>
      <w:pPr>
        <w:spacing w:after="60" w:before="160"/>
      </w:pPr>
      <w:r>
        <w:rPr>
          <w:rFonts w:ascii="Arial" w:cs="Arial" w:eastAsia="Arial" w:hAnsi="Arial"/>
          <w:b/>
          <w:bCs/>
          <w:color w:val="0F172A"/>
          <w:sz w:val="22"/>
          <w:szCs w:val="22"/>
        </w:rPr>
        <w:t xml:space="preserve">Finding the Most International Universities</w:t>
      </w:r>
    </w:p>
    <w:p>
      <w:pPr>
        <w:spacing w:after="160" w:before="0"/>
      </w:pPr>
      <w:r>
        <w:rPr>
          <w:rFonts w:ascii="Arial" w:cs="Arial" w:eastAsia="Arial" w:hAnsi="Arial"/>
          <w:color w:val="475569"/>
          <w:sz w:val="22"/>
          <w:szCs w:val="22"/>
        </w:rPr>
        <w:t xml:space="preserve">1. Navigate to University Analysis. 2. Set the Country filter to 'All'. 3. Sort the leaderboard mentally by Intl % column. 4. The scatter chart (Score vs Intl Students) visually shows which universities combine high international mix with high staffing intensity.</w:t>
      </w:r>
    </w:p>
    <w:p>
      <w:pPr>
        <w:spacing w:after="0" w:before="120"/>
      </w:pPr>
      <w:r>
        <w:t xml:space="preserve"/>
      </w:r>
    </w:p>
    <w:p>
      <w:pPr>
        <w:pStyle w:val="Heading3"/>
        <w:spacing w:after="80" w:before="200"/>
      </w:pPr>
      <w:r>
        <w:rPr>
          <w:rFonts w:ascii="Arial" w:cs="Arial" w:eastAsia="Arial" w:hAnsi="Arial"/>
          <w:b/>
          <w:bCs/>
          <w:color w:val="4F46E5"/>
          <w:sz w:val="24"/>
          <w:szCs w:val="24"/>
        </w:rPr>
        <w:t xml:space="preserve">Filter Interaction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Filter Setting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0F172A"/>
                <w:sz w:val="20"/>
                <w:szCs w:val="20"/>
              </w:rPr>
              <w:t xml:space="preserve">How many students in USA in 2013?</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D4ED8"/>
                <w:sz w:val="20"/>
                <w:szCs w:val="20"/>
              </w:rPr>
              <w:t xml:space="preserve">Year = 2013, Country = USA → Overview or University KPIs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0F172A"/>
                <w:sz w:val="20"/>
                <w:szCs w:val="20"/>
              </w:rPr>
              <w:t xml:space="preserve">Which country had the highest ranking score in 2014?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0"/>
                <w:szCs w:val="20"/>
              </w:rPr>
              <w:t xml:space="preserve">Year = 2014 → Ranking Analysis → Top Country KPI</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0F172A"/>
                <w:sz w:val="20"/>
                <w:szCs w:val="20"/>
              </w:rPr>
              <w:t xml:space="preserve">How did UK international students change over time?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D4ED8"/>
                <w:sz w:val="20"/>
                <w:szCs w:val="20"/>
              </w:rPr>
              <w:t xml:space="preserve">Country = UK → Yearly Analysis → Intl trend chart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0F172A"/>
                <w:sz w:val="20"/>
                <w:szCs w:val="20"/>
              </w:rPr>
              <w:t xml:space="preserve">What is the largest university globally?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0"/>
                <w:szCs w:val="20"/>
              </w:rPr>
              <w:t xml:space="preserve">No filters → University Analysis → Leaderboard rank 1</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0F172A"/>
                <w:sz w:val="20"/>
                <w:szCs w:val="20"/>
              </w:rPr>
              <w:t xml:space="preserve">Which year had the most ranking records?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D4ED8"/>
                <w:sz w:val="20"/>
                <w:szCs w:val="20"/>
              </w:rPr>
              <w:t xml:space="preserve">No filters → Yearly Analysis → Summary table (Records column)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0F172A"/>
                <w:sz w:val="20"/>
                <w:szCs w:val="20"/>
              </w:rPr>
              <w:t xml:space="preserve">How does Germany compare to France in student numbers?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0"/>
                <w:szCs w:val="20"/>
              </w:rPr>
              <w:t xml:space="preserve">Toggle Country filter between Germany and France → Country Analysis KPIs</w:t>
            </w:r>
          </w:p>
        </w:tc>
      </w:tr>
    </w:tbl>
    <w:p>
      <w:pPr>
        <w:spacing w:after="0" w:before="200"/>
      </w:pPr>
      <w:r>
        <w:t xml:space="preserve"/>
      </w:r>
    </w:p>
    <w:p>
      <w:pPr>
        <w:pBdr>
          <w:top w:val="single" w:color="E2E8F0" w:sz="4" w:space="8"/>
        </w:pBdr>
        <w:spacing w:after="0" w:before="240"/>
      </w:pPr>
      <w:r>
        <w:rPr>
          <w:rFonts w:ascii="Arial" w:cs="Arial" w:eastAsia="Arial" w:hAnsi="Arial"/>
          <w:i/>
          <w:iCs/>
          <w:color w:val="94A3B8"/>
          <w:sz w:val="18"/>
          <w:szCs w:val="18"/>
        </w:rPr>
        <w:t xml:space="preserve">University Success Analysis Dashboard  |  Documentation v1.0  |  Built with Power BI Custom Visual (API 5.3.0)  |  Data: 2005–2016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spacing w:after="80" w:before="0"/>
    </w:pPr>
    <w:r>
      <w:rPr>
        <w:rFonts w:ascii="Arial" w:cs="Arial" w:eastAsia="Arial" w:hAnsi="Arial"/>
        <w:color w:val="94A3B8"/>
        <w:sz w:val="18"/>
        <w:szCs w:val="18"/>
      </w:rPr>
      <w:t xml:space="preserve">University Success Analysis — Dashboard Documentation</w:t>
    </w:r>
    <w:r>
      <w:rPr>
        <w:rFonts w:ascii="Arial" w:cs="Arial" w:eastAsia="Arial" w:hAnsi="Arial"/>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360"/>
      </w:pPr>
      <w:rPr>
        <w:rFonts w:ascii="Arial" w:cs="Arial" w:eastAsia="Arial" w:hAnsi="Arial"/>
        <w:color w:val="1D4ED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6" w:space="6"/>
      </w:pBd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2026-04-08T09:00:14.081Z</dcterms:created>
  <dcterms:modified xsi:type="dcterms:W3CDTF">2026-04-08T09:00:14.082Z</dcterms:modified>
</cp:coreProperties>
</file>

<file path=docProps/custom.xml><?xml version="1.0" encoding="utf-8"?>
<Properties xmlns="http://schemas.openxmlformats.org/officeDocument/2006/custom-properties" xmlns:vt="http://schemas.openxmlformats.org/officeDocument/2006/docPropsVTypes"/>
</file>