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B3F7F"/>
          <w:spacing w:val="40"/>
          <w:sz w:val="18"/>
          <w:szCs w:val="18"/>
        </w:rPr>
        <w:t xml:space="preserve">PROJECT 1 · DELIVERABLE 1 OF 13</w:t>
      </w:r>
    </w:p>
    <w:p>
      <w:pPr>
        <w:spacing w:after="100" w:before="60"/>
      </w:pPr>
      <w:r>
        <w:rPr>
          <w:rFonts w:ascii="Cambria" w:cs="Cambria" w:eastAsia="Cambria" w:hAnsi="Cambria"/>
          <w:b/>
          <w:bCs/>
          <w:color w:val="483050"/>
          <w:sz w:val="52"/>
          <w:szCs w:val="52"/>
        </w:rPr>
        <w:t xml:space="preserve">Source Log</w:t>
      </w:r>
    </w:p>
    <w:p>
      <w:pPr>
        <w:spacing w:after="200" w:line="270"/>
      </w:pPr>
      <w:r>
        <w:rPr>
          <w:color w:val="6E6378"/>
          <w:sz w:val="24"/>
          <w:szCs w:val="24"/>
        </w:rPr>
        <w:t xml:space="preserve">Every external fact in the project, with its link, a reliability grade and where it is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483050" w:sz="6"/>
              <w:left w:val="single" w:color="483050" w:sz="6"/>
              <w:bottom w:val="single" w:color="483050" w:sz="6"/>
              <w:right w:val="single" w:color="483050" w:sz="6"/>
            </w:tcBorders>
            <w:shd w:fill="F3EEF7" w:color="auto" w:val="clear"/>
            <w:tcMar>
              <w:top w:type="dxa" w:w="140"/>
              <w:left w:type="dxa" w:w="200"/>
              <w:bottom w:type="dxa" w:w="140"/>
              <w:right w:type="dxa" w:w="200"/>
            </w:tcMar>
          </w:tcPr>
          <w:p>
            <w:pPr>
              <w:spacing w:after="80"/>
            </w:pPr>
            <w:r>
              <w:rPr>
                <w:rFonts w:ascii="Cambria" w:cs="Cambria" w:eastAsia="Cambria" w:hAnsi="Cambria"/>
                <w:b/>
                <w:bCs/>
                <w:color w:val="483050"/>
                <w:sz w:val="22"/>
                <w:szCs w:val="22"/>
              </w:rPr>
              <w:t xml:space="preserve">At a glance</w:t>
            </w:r>
          </w:p>
          <w:p>
            <w:pPr>
              <w:pStyle w:val="ListParagraph"/>
              <w:numPr>
                <w:ilvl w:val="0"/>
                <w:numId w:val="2"/>
              </w:numPr>
              <w:spacing w:after="70" w:line="264"/>
            </w:pPr>
            <w:r>
              <w:rPr>
                <w:b/>
                <w:bCs/>
                <w:color w:val="2B2233"/>
                <w:sz w:val="21"/>
                <w:szCs w:val="21"/>
              </w:rPr>
              <w:t xml:space="preserve">30 sources</w:t>
            </w:r>
            <w:r>
              <w:rPr>
                <w:color w:val="2B2233"/>
                <w:sz w:val="21"/>
                <w:szCs w:val="21"/>
              </w:rPr>
              <w:t xml:space="preserve"> support the facts in this project (updated as each deliverable is built). 9 are primary: JLR’s own annual report and releases, and the National Cyber Security Centre.</w:t>
            </w:r>
          </w:p>
          <w:p>
            <w:pPr>
              <w:pStyle w:val="ListParagraph"/>
              <w:numPr>
                <w:ilvl w:val="0"/>
                <w:numId w:val="2"/>
              </w:numPr>
              <w:spacing w:after="70" w:line="264"/>
            </w:pPr>
            <w:r>
              <w:rPr>
                <w:b/>
                <w:bCs/>
                <w:color w:val="2B2233"/>
                <w:sz w:val="21"/>
                <w:szCs w:val="21"/>
              </w:rPr>
              <w:t xml:space="preserve">19 of the 30 are news or trade media</w:t>
            </w:r>
            <w:r>
              <w:rPr>
                <w:color w:val="2B2233"/>
                <w:sz w:val="21"/>
                <w:szCs w:val="21"/>
              </w:rPr>
              <w:t xml:space="preserve"> relaying figures. JLR’s full annual report (read in full on 21 October 2026) now confirms the main company numbers, including the £260m full-year cyber cost. The £1.9bn economy-wide estimate still comes only from media.</w:t>
            </w:r>
          </w:p>
          <w:p>
            <w:pPr>
              <w:pStyle w:val="ListParagraph"/>
              <w:numPr>
                <w:ilvl w:val="0"/>
                <w:numId w:val="2"/>
              </w:numPr>
              <w:spacing w:after="0" w:line="264"/>
            </w:pPr>
            <w:r>
              <w:rPr>
                <w:b/>
                <w:bCs/>
                <w:color w:val="2B2233"/>
                <w:sz w:val="21"/>
                <w:szCs w:val="21"/>
              </w:rPr>
              <w:t xml:space="preserve">Nine figures conflict between sources.</w:t>
            </w:r>
            <w:r>
              <w:rPr>
                <w:color w:val="2B2233"/>
                <w:sz w:val="21"/>
                <w:szCs w:val="21"/>
              </w:rPr>
              <w:t xml:space="preserve"> Four are settled by JLR’s annual report. All are listed in the conflicts register with the value this project uses.</w:t>
            </w:r>
          </w:p>
        </w:tc>
      </w:tr>
    </w:tbl>
    <w:p>
      <w:pPr>
        <w:spacing w:after="200"/>
      </w:pPr>
    </w:p>
    <w:p>
      <w:pPr>
        <w:pStyle w:val="Heading1"/>
        <w:keepNext/>
      </w:pPr>
      <w:r>
        <w:t xml:space="preserve">Purpose</w:t>
      </w:r>
    </w:p>
    <w:p>
      <w:pPr>
        <w:keepLines/>
        <w:spacing w:after="120" w:before="0" w:line="276"/>
      </w:pPr>
      <w:r>
        <w:rPr>
          <w:color w:val="2B2233"/>
          <w:sz w:val="21"/>
          <w:szCs w:val="21"/>
        </w:rPr>
        <w:t xml:space="preserve">This log lists every external fact used in the project with a link to where it came from. Each deliverable cites sources by number, so any claim can be traced in one step. The grade is my own judgement of how close the source is to the original fact. It is not a judgement of whether the source is honest.</w:t>
      </w:r>
    </w:p>
    <w:p>
      <w:pPr>
        <w:pStyle w:val="Heading1"/>
        <w:keepNext/>
      </w:pPr>
      <w:r>
        <w:t xml:space="preserve">Source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
        <w:gridCol w:w="3500"/>
        <w:gridCol w:w="3200"/>
        <w:gridCol w:w="776"/>
        <w:gridCol w:w="1100"/>
      </w:tblGrid>
      <w:tr>
        <w:trPr>
          <w:cantSplit/>
          <w:tblHeader/>
        </w:trPr>
        <w:tc>
          <w:tcPr>
            <w:tcW w:type="dxa" w:w="45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9"/>
                <w:szCs w:val="19"/>
              </w:rPr>
              <w:t xml:space="preserve">ID</w:t>
            </w:r>
          </w:p>
        </w:tc>
        <w:tc>
          <w:tcPr>
            <w:tcW w:type="dxa" w:w="35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9"/>
                <w:szCs w:val="19"/>
              </w:rPr>
              <w:t xml:space="preserve">Claim or fact</w:t>
            </w:r>
          </w:p>
        </w:tc>
        <w:tc>
          <w:tcPr>
            <w:tcW w:type="dxa" w:w="32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9"/>
                <w:szCs w:val="19"/>
              </w:rPr>
              <w:t xml:space="preserve">Source (select the title to open it)</w:t>
            </w:r>
          </w:p>
        </w:tc>
        <w:tc>
          <w:tcPr>
            <w:tcW w:type="dxa" w:w="77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9"/>
                <w:szCs w:val="19"/>
              </w:rPr>
              <w:t xml:space="preserve">Grade</w:t>
            </w:r>
          </w:p>
        </w:tc>
        <w:tc>
          <w:tcPr>
            <w:tcW w:type="dxa" w:w="11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9"/>
                <w:szCs w:val="19"/>
              </w:rPr>
              <w:t xml:space="preserve">Used in</w:t>
            </w:r>
          </w:p>
        </w:tc>
      </w:tr>
      <w:tr>
        <w:trPr>
          <w:cantSplit/>
        </w:trPr>
        <w:tc>
          <w:tcPr>
            <w:tcW w:type="dxa" w:w="4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1</w:t>
            </w:r>
          </w:p>
        </w:tc>
        <w:tc>
          <w:tcPr>
            <w:tcW w:type="dxa" w:w="3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Network shut down after attack detected (reported as 31 Aug 2025); a financially motivated crime group linked to earlier UK retail attacks claimed it. £1.5bn government-guaranteed loan. JLR reportedly had no cyber insurance (per The Insurer). Security experts warned the rescue could send the wrong signal to attackers</w:t>
            </w:r>
          </w:p>
        </w:tc>
        <w:tc>
          <w:tcPr>
            <w:tcW w:type="dxa" w:w="3200"/>
            <w:tcBorders>
              <w:top w:val="single" w:color="D9CFE3" w:sz="4"/>
              <w:left w:val="single" w:color="D9CFE3" w:sz="4"/>
              <w:bottom w:val="single" w:color="D9CFE3" w:sz="4"/>
              <w:right w:val="single" w:color="D9CFE3" w:sz="4"/>
            </w:tcBorders>
            <w:shd w:fill="FFFFFF" w:color="auto" w:val="clear"/>
            <w:tcMar>
              <w:top w:type="dxa" w:w="70"/>
              <w:left w:type="dxa" w:w="100"/>
              <w:bottom w:type="dxa" w:w="70"/>
              <w:right w:type="dxa" w:w="100"/>
            </w:tcMar>
            <w:vAlign w:val="center"/>
          </w:tcPr>
          <w:p>
            <w:pPr>
              <w:keepLines/>
              <w:spacing w:after="0" w:line="240"/>
            </w:pPr>
            <w:hyperlink w:history="1" r:id="rIdgrlretzk3lgr_jg9vzn-a">
              <w:r>
                <w:rPr>
                  <w:rStyle w:val="Hyperlink"/>
                  <w:color w:val="1A6FA0"/>
                  <w:sz w:val="17"/>
                  <w:szCs w:val="17"/>
                  <w:u w:val="single"/>
                </w:rPr>
                <w:t xml:space="preserve">UK government bails out Jaguar Land Rover with £1.5B loan after hack disrupts vehicle production for weeks</w:t>
              </w:r>
            </w:hyperlink>
            <w:r>
              <w:rPr>
                <w:color w:val="2B2233"/>
                <w:sz w:val="17"/>
                <w:szCs w:val="17"/>
              </w:rPr>
              <w:t xml:space="preserve">. TechCrunch via Yahoo Finance, Sep 2025.</w:t>
            </w:r>
          </w:p>
        </w:tc>
        <w:tc>
          <w:tcPr>
            <w:tcW w:type="dxa" w:w="77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C</w:t>
            </w:r>
          </w:p>
        </w:tc>
        <w:tc>
          <w:tcPr>
            <w:tcW w:type="dxa" w:w="1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D2, D3, D4</w:t>
            </w:r>
          </w:p>
        </w:tc>
      </w:tr>
      <w:tr>
        <w:trPr>
          <w:cantSplit/>
        </w:trPr>
        <w:tc>
          <w:tcPr>
            <w:tcW w:type="dxa" w:w="4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2</w:t>
            </w:r>
          </w:p>
        </w:tc>
        <w:tc>
          <w:tcPr>
            <w:tcW w:type="dxa" w:w="3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Quarter to Sept 2025 revenue £4.9bn (down 24%), partly due to the phase-out of older Jaguar models; exceptional direct cyber costs £196m in the quarter (the full-year figure is £260m [26]); FY margin guidance cut to 0% to 2% from 5% to 7%; five-week IT and manufacturing shutdown at Solihull, Wolverhampton and Halewood; phased restart from early October</w:t>
            </w:r>
          </w:p>
        </w:tc>
        <w:tc>
          <w:tcPr>
            <w:tcW w:type="dxa" w:w="3200"/>
            <w:tcBorders>
              <w:top w:val="single" w:color="D9CFE3" w:sz="4"/>
              <w:left w:val="single" w:color="D9CFE3" w:sz="4"/>
              <w:bottom w:val="single" w:color="D9CFE3" w:sz="4"/>
              <w:right w:val="single" w:color="D9CFE3" w:sz="4"/>
            </w:tcBorders>
            <w:shd w:fill="F8F5FB" w:color="auto" w:val="clear"/>
            <w:tcMar>
              <w:top w:type="dxa" w:w="70"/>
              <w:left w:type="dxa" w:w="100"/>
              <w:bottom w:type="dxa" w:w="70"/>
              <w:right w:type="dxa" w:w="100"/>
            </w:tcMar>
            <w:vAlign w:val="center"/>
          </w:tcPr>
          <w:p>
            <w:pPr>
              <w:keepLines/>
              <w:spacing w:after="0" w:line="240"/>
            </w:pPr>
            <w:hyperlink w:history="1" r:id="rIdioju_7abys17otaf8n0kc">
              <w:r>
                <w:rPr>
                  <w:rStyle w:val="Hyperlink"/>
                  <w:color w:val="1A6FA0"/>
                  <w:sz w:val="17"/>
                  <w:szCs w:val="17"/>
                  <w:u w:val="single"/>
                </w:rPr>
                <w:t xml:space="preserve">JLR cyber-attack results in Tata loss</w:t>
              </w:r>
            </w:hyperlink>
            <w:r>
              <w:rPr>
                <w:color w:val="2B2233"/>
                <w:sz w:val="17"/>
                <w:szCs w:val="17"/>
              </w:rPr>
              <w:t xml:space="preserve">. Tyre Press, Nov 2025.</w:t>
            </w:r>
          </w:p>
        </w:tc>
        <w:tc>
          <w:tcPr>
            <w:tcW w:type="dxa" w:w="77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C</w:t>
            </w:r>
          </w:p>
        </w:tc>
        <w:tc>
          <w:tcPr>
            <w:tcW w:type="dxa" w:w="1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D2, D3, D4</w:t>
            </w:r>
          </w:p>
        </w:tc>
      </w:tr>
      <w:tr>
        <w:trPr>
          <w:cantSplit/>
        </w:trPr>
        <w:tc>
          <w:tcPr>
            <w:tcW w:type="dxa" w:w="4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3</w:t>
            </w:r>
          </w:p>
        </w:tc>
        <w:tc>
          <w:tcPr>
            <w:tcW w:type="dxa" w:w="3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Production halted almost six weeks; £500m supplier financing programme (JLR’s annual report calls it a facility of up to £500m that was little used [27]); expected cash burn of up to £2.5bn</w:t>
            </w:r>
          </w:p>
        </w:tc>
        <w:tc>
          <w:tcPr>
            <w:tcW w:type="dxa" w:w="3200"/>
            <w:tcBorders>
              <w:top w:val="single" w:color="D9CFE3" w:sz="4"/>
              <w:left w:val="single" w:color="D9CFE3" w:sz="4"/>
              <w:bottom w:val="single" w:color="D9CFE3" w:sz="4"/>
              <w:right w:val="single" w:color="D9CFE3" w:sz="4"/>
            </w:tcBorders>
            <w:shd w:fill="FFFFFF" w:color="auto" w:val="clear"/>
            <w:tcMar>
              <w:top w:type="dxa" w:w="70"/>
              <w:left w:type="dxa" w:w="100"/>
              <w:bottom w:type="dxa" w:w="70"/>
              <w:right w:type="dxa" w:w="100"/>
            </w:tcMar>
            <w:vAlign w:val="center"/>
          </w:tcPr>
          <w:p>
            <w:pPr>
              <w:keepLines/>
              <w:spacing w:after="0" w:line="240"/>
            </w:pPr>
            <w:hyperlink w:history="1" r:id="rId_dxjipyhppyl8ee4-mrsb">
              <w:r>
                <w:rPr>
                  <w:rStyle w:val="Hyperlink"/>
                  <w:color w:val="1A6FA0"/>
                  <w:sz w:val="17"/>
                  <w:szCs w:val="17"/>
                  <w:u w:val="single"/>
                </w:rPr>
                <w:t xml:space="preserve">Cyberattack Drives Major Loss at Jaguar Land Rover</w:t>
              </w:r>
            </w:hyperlink>
            <w:r>
              <w:rPr>
                <w:color w:val="2B2233"/>
                <w:sz w:val="17"/>
                <w:szCs w:val="17"/>
              </w:rPr>
              <w:t xml:space="preserve">. Transport Topics, Nov 2025.</w:t>
            </w:r>
          </w:p>
        </w:tc>
        <w:tc>
          <w:tcPr>
            <w:tcW w:type="dxa" w:w="77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C</w:t>
            </w:r>
          </w:p>
        </w:tc>
        <w:tc>
          <w:tcPr>
            <w:tcW w:type="dxa" w:w="1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D3, D4</w:t>
            </w:r>
          </w:p>
        </w:tc>
      </w:tr>
      <w:tr>
        <w:trPr>
          <w:cantSplit/>
        </w:trPr>
        <w:tc>
          <w:tcPr>
            <w:tcW w:type="dxa" w:w="4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4</w:t>
            </w:r>
          </w:p>
        </w:tc>
        <w:tc>
          <w:tcPr>
            <w:tcW w:type="dxa" w:w="3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Cyber Monitoring Centre: about £1.9bn cost to the UK economy, Category 3 of 5, up to 5,000 organisations affected</w:t>
            </w:r>
          </w:p>
        </w:tc>
        <w:tc>
          <w:tcPr>
            <w:tcW w:type="dxa" w:w="3200"/>
            <w:tcBorders>
              <w:top w:val="single" w:color="D9CFE3" w:sz="4"/>
              <w:left w:val="single" w:color="D9CFE3" w:sz="4"/>
              <w:bottom w:val="single" w:color="D9CFE3" w:sz="4"/>
              <w:right w:val="single" w:color="D9CFE3" w:sz="4"/>
            </w:tcBorders>
            <w:shd w:fill="F8F5FB" w:color="auto" w:val="clear"/>
            <w:tcMar>
              <w:top w:type="dxa" w:w="70"/>
              <w:left w:type="dxa" w:w="100"/>
              <w:bottom w:type="dxa" w:w="70"/>
              <w:right w:type="dxa" w:w="100"/>
            </w:tcMar>
            <w:vAlign w:val="center"/>
          </w:tcPr>
          <w:p>
            <w:pPr>
              <w:keepLines/>
              <w:spacing w:after="0" w:line="240"/>
            </w:pPr>
            <w:hyperlink w:history="1" r:id="rId7o3kjdi0hosdgqd8aefkp">
              <w:r>
                <w:rPr>
                  <w:rStyle w:val="Hyperlink"/>
                  <w:color w:val="1A6FA0"/>
                  <w:sz w:val="17"/>
                  <w:szCs w:val="17"/>
                  <w:u w:val="single"/>
                </w:rPr>
                <w:t xml:space="preserve">£1.9bn JLR hack “most economically damaging cyber event to hit the UK” says cybersecurity body</w:t>
              </w:r>
            </w:hyperlink>
            <w:r>
              <w:rPr>
                <w:color w:val="2B2233"/>
                <w:sz w:val="17"/>
                <w:szCs w:val="17"/>
              </w:rPr>
              <w:t xml:space="preserve">. Prolific North, Oct 2025.</w:t>
            </w:r>
          </w:p>
        </w:tc>
        <w:tc>
          <w:tcPr>
            <w:tcW w:type="dxa" w:w="77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C</w:t>
            </w:r>
          </w:p>
        </w:tc>
        <w:tc>
          <w:tcPr>
            <w:tcW w:type="dxa" w:w="1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D2</w:t>
            </w:r>
          </w:p>
        </w:tc>
      </w:tr>
      <w:tr>
        <w:trPr>
          <w:cantSplit/>
        </w:trPr>
        <w:tc>
          <w:tcPr>
            <w:tcW w:type="dxa" w:w="4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5</w:t>
            </w:r>
          </w:p>
        </w:tc>
        <w:tc>
          <w:tcPr>
            <w:tcW w:type="dxa" w:w="3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FY2026 revenue down 21% to £22.9bn; Cyber Monitoring Centre range £1.6bn to £2.1bn (this article only); Q4 profit before tax reported as £458m (JLR’s annual report says £452m [26])</w:t>
            </w:r>
          </w:p>
        </w:tc>
        <w:tc>
          <w:tcPr>
            <w:tcW w:type="dxa" w:w="3200"/>
            <w:tcBorders>
              <w:top w:val="single" w:color="D9CFE3" w:sz="4"/>
              <w:left w:val="single" w:color="D9CFE3" w:sz="4"/>
              <w:bottom w:val="single" w:color="D9CFE3" w:sz="4"/>
              <w:right w:val="single" w:color="D9CFE3" w:sz="4"/>
            </w:tcBorders>
            <w:shd w:fill="FFFFFF" w:color="auto" w:val="clear"/>
            <w:tcMar>
              <w:top w:type="dxa" w:w="70"/>
              <w:left w:type="dxa" w:w="100"/>
              <w:bottom w:type="dxa" w:w="70"/>
              <w:right w:type="dxa" w:w="100"/>
            </w:tcMar>
            <w:vAlign w:val="center"/>
          </w:tcPr>
          <w:p>
            <w:pPr>
              <w:keepLines/>
              <w:spacing w:after="0" w:line="240"/>
            </w:pPr>
            <w:hyperlink w:history="1" r:id="rIdju0vlbj7t-0uv7n9uh1nx">
              <w:r>
                <w:rPr>
                  <w:rStyle w:val="Hyperlink"/>
                  <w:color w:val="1A6FA0"/>
                  <w:sz w:val="17"/>
                  <w:szCs w:val="17"/>
                  <w:u w:val="single"/>
                </w:rPr>
                <w:t xml:space="preserve">Jaguar Land Rover profit slumps after cyber attack</w:t>
              </w:r>
            </w:hyperlink>
            <w:r>
              <w:rPr>
                <w:color w:val="2B2233"/>
                <w:sz w:val="17"/>
                <w:szCs w:val="17"/>
              </w:rPr>
              <w:t xml:space="preserve">. Computer Weekly, May 2026.</w:t>
            </w:r>
          </w:p>
        </w:tc>
        <w:tc>
          <w:tcPr>
            <w:tcW w:type="dxa" w:w="77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C</w:t>
            </w:r>
          </w:p>
        </w:tc>
        <w:tc>
          <w:tcPr>
            <w:tcW w:type="dxa" w:w="1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D2</w:t>
            </w:r>
          </w:p>
        </w:tc>
      </w:tr>
      <w:tr>
        <w:trPr>
          <w:cantSplit/>
        </w:trPr>
        <w:tc>
          <w:tcPr>
            <w:tcW w:type="dxa" w:w="4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6</w:t>
            </w:r>
          </w:p>
        </w:tc>
        <w:tc>
          <w:tcPr>
            <w:tcW w:type="dxa" w:w="3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Superseded by [26] and [27]. Web summary: production paused about five weeks, restarted 8 Oct 2025 in phases (customer-facing systems first, then wholesale and parts logistics), normal levels by mid-November. FY2025/26 revenue £22.9bn (down 20.9%); Q4 revenue £6.9bn; Q4 profit before tax £452m; Q4 EBIT 9.2%; full-year adjusted EBIT 0.7%. Supplier financing scheme fast-tracked. Cyber costs not quantified on this page</w:t>
            </w:r>
          </w:p>
        </w:tc>
        <w:tc>
          <w:tcPr>
            <w:tcW w:type="dxa" w:w="3200"/>
            <w:tcBorders>
              <w:top w:val="single" w:color="D9CFE3" w:sz="4"/>
              <w:left w:val="single" w:color="D9CFE3" w:sz="4"/>
              <w:bottom w:val="single" w:color="D9CFE3" w:sz="4"/>
              <w:right w:val="single" w:color="D9CFE3" w:sz="4"/>
            </w:tcBorders>
            <w:shd w:fill="F8F5FB" w:color="auto" w:val="clear"/>
            <w:tcMar>
              <w:top w:type="dxa" w:w="70"/>
              <w:left w:type="dxa" w:w="100"/>
              <w:bottom w:type="dxa" w:w="70"/>
              <w:right w:type="dxa" w:w="100"/>
            </w:tcMar>
            <w:vAlign w:val="center"/>
          </w:tcPr>
          <w:p>
            <w:pPr>
              <w:keepLines/>
              <w:spacing w:after="0" w:line="240"/>
            </w:pPr>
            <w:hyperlink w:history="1" r:id="rIdptrhcerkpdcvcvl2b8tcv">
              <w:r>
                <w:rPr>
                  <w:rStyle w:val="Hyperlink"/>
                  <w:color w:val="1A6FA0"/>
                  <w:sz w:val="17"/>
                  <w:szCs w:val="17"/>
                  <w:u w:val="single"/>
                </w:rPr>
                <w:t xml:space="preserve">Annual Report 2026 (web summary)</w:t>
              </w:r>
            </w:hyperlink>
            <w:r>
              <w:rPr>
                <w:color w:val="2B2233"/>
                <w:sz w:val="17"/>
                <w:szCs w:val="17"/>
              </w:rPr>
              <w:t xml:space="preserve">. JLR, May 2026.</w:t>
            </w:r>
          </w:p>
        </w:tc>
        <w:tc>
          <w:tcPr>
            <w:tcW w:type="dxa" w:w="77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A</w:t>
            </w:r>
          </w:p>
        </w:tc>
        <w:tc>
          <w:tcPr>
            <w:tcW w:type="dxa" w:w="1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None (superseded)</w:t>
            </w:r>
          </w:p>
        </w:tc>
      </w:tr>
      <w:tr>
        <w:trPr>
          <w:cantSplit/>
        </w:trPr>
        <w:tc>
          <w:tcPr>
            <w:tcW w:type="dxa" w:w="4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7</w:t>
            </w:r>
          </w:p>
        </w:tc>
        <w:tc>
          <w:tcPr>
            <w:tcW w:type="dxa" w:w="3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Q2 FY26: loss before tax excluding exceptional items £485m; exceptional items £238m (cyber response £196m plus £42m voluntary redundancy); loss after tax £547m (the £196m is the Q2 figure; full-year cyber costs were £260m [26]); cash £3.0bn; liquidity £6.6bn; FY free cash outflow guidance £2.2bn to £2.5bn; £3.5bn extra liquidity (£2bn bridge facility, £1.7bn undrawn credit line, £1.5bn guaranteed loan, £500m supplier scheme)</w:t>
            </w:r>
          </w:p>
        </w:tc>
        <w:tc>
          <w:tcPr>
            <w:tcW w:type="dxa" w:w="3200"/>
            <w:tcBorders>
              <w:top w:val="single" w:color="D9CFE3" w:sz="4"/>
              <w:left w:val="single" w:color="D9CFE3" w:sz="4"/>
              <w:bottom w:val="single" w:color="D9CFE3" w:sz="4"/>
              <w:right w:val="single" w:color="D9CFE3" w:sz="4"/>
            </w:tcBorders>
            <w:shd w:fill="FFFFFF" w:color="auto" w:val="clear"/>
            <w:tcMar>
              <w:top w:type="dxa" w:w="70"/>
              <w:left w:type="dxa" w:w="100"/>
              <w:bottom w:type="dxa" w:w="70"/>
              <w:right w:type="dxa" w:w="100"/>
            </w:tcMar>
            <w:vAlign w:val="center"/>
          </w:tcPr>
          <w:p>
            <w:pPr>
              <w:keepLines/>
              <w:spacing w:after="0" w:line="240"/>
            </w:pPr>
            <w:hyperlink w:history="1" r:id="rIdvlbxfkjj6jbpgandzbfuc">
              <w:r>
                <w:rPr>
                  <w:rStyle w:val="Hyperlink"/>
                  <w:color w:val="1A6FA0"/>
                  <w:sz w:val="17"/>
                  <w:szCs w:val="17"/>
                  <w:u w:val="single"/>
                </w:rPr>
                <w:t xml:space="preserve">JLR Reports Q2 FY26 Results: Cyber-attack effects, recovery, and the road ahead</w:t>
              </w:r>
            </w:hyperlink>
            <w:r>
              <w:rPr>
                <w:color w:val="2B2233"/>
                <w:sz w:val="17"/>
                <w:szCs w:val="17"/>
              </w:rPr>
              <w:t xml:space="preserve">. Jaguar Enthusiasts’ Club (summary of JLR results), Nov 2025.</w:t>
            </w:r>
          </w:p>
        </w:tc>
        <w:tc>
          <w:tcPr>
            <w:tcW w:type="dxa" w:w="77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C</w:t>
            </w:r>
          </w:p>
        </w:tc>
        <w:tc>
          <w:tcPr>
            <w:tcW w:type="dxa" w:w="1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D2, D3, D4, D6</w:t>
            </w:r>
          </w:p>
        </w:tc>
      </w:tr>
      <w:tr>
        <w:trPr>
          <w:cantSplit/>
        </w:trPr>
        <w:tc>
          <w:tcPr>
            <w:tcW w:type="dxa" w:w="4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8</w:t>
            </w:r>
          </w:p>
        </w:tc>
        <w:tc>
          <w:tcPr>
            <w:tcW w:type="dxa" w:w="3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CMC: £1.9bn, Category 3 “systemic event”, over 5,000 UK organisations; six metrics including business interruption, incident response, IT rebuild and supply-chain interruption; could be higher if operational technology was significantly affected; vast majority of impact from lost manufacturing output at JLR and suppliers</w:t>
            </w:r>
          </w:p>
        </w:tc>
        <w:tc>
          <w:tcPr>
            <w:tcW w:type="dxa" w:w="3200"/>
            <w:tcBorders>
              <w:top w:val="single" w:color="D9CFE3" w:sz="4"/>
              <w:left w:val="single" w:color="D9CFE3" w:sz="4"/>
              <w:bottom w:val="single" w:color="D9CFE3" w:sz="4"/>
              <w:right w:val="single" w:color="D9CFE3" w:sz="4"/>
            </w:tcBorders>
            <w:shd w:fill="F8F5FB" w:color="auto" w:val="clear"/>
            <w:tcMar>
              <w:top w:type="dxa" w:w="70"/>
              <w:left w:type="dxa" w:w="100"/>
              <w:bottom w:type="dxa" w:w="70"/>
              <w:right w:type="dxa" w:w="100"/>
            </w:tcMar>
            <w:vAlign w:val="center"/>
          </w:tcPr>
          <w:p>
            <w:pPr>
              <w:keepLines/>
              <w:spacing w:after="0" w:line="240"/>
            </w:pPr>
            <w:hyperlink w:history="1" r:id="rIdn1kj8lekzbhd0e44xyzjn">
              <w:r>
                <w:rPr>
                  <w:rStyle w:val="Hyperlink"/>
                  <w:color w:val="1A6FA0"/>
                  <w:sz w:val="17"/>
                  <w:szCs w:val="17"/>
                  <w:u w:val="single"/>
                </w:rPr>
                <w:t xml:space="preserve">JLR Hack UK’s Costliest Ever, Hitting Economy with £1.9bn Loss</w:t>
              </w:r>
            </w:hyperlink>
            <w:r>
              <w:rPr>
                <w:color w:val="2B2233"/>
                <w:sz w:val="17"/>
                <w:szCs w:val="17"/>
              </w:rPr>
              <w:t xml:space="preserve">. Infosecurity Magazine, Oct 2025.</w:t>
            </w:r>
          </w:p>
        </w:tc>
        <w:tc>
          <w:tcPr>
            <w:tcW w:type="dxa" w:w="77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C</w:t>
            </w:r>
          </w:p>
        </w:tc>
        <w:tc>
          <w:tcPr>
            <w:tcW w:type="dxa" w:w="1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D2, D3, D4, D5, D6, D7</w:t>
            </w:r>
          </w:p>
        </w:tc>
      </w:tr>
      <w:tr>
        <w:trPr>
          <w:cantSplit/>
        </w:trPr>
        <w:tc>
          <w:tcPr>
            <w:tcW w:type="dxa" w:w="4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9</w:t>
            </w:r>
          </w:p>
        </w:tc>
        <w:tc>
          <w:tcPr>
            <w:tcW w:type="dxa" w:w="3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CMC: cost not borne solely by JLR but by about 5,000 supply-chain organisations; most of the supply chain is in the West Midlands; estimate excludes ransom payments and data-breach losses and assumes production returns on JLR’s stated timetable; CMC assesses events above £100m potential impact; final cost likely higher</w:t>
            </w:r>
          </w:p>
        </w:tc>
        <w:tc>
          <w:tcPr>
            <w:tcW w:type="dxa" w:w="3200"/>
            <w:tcBorders>
              <w:top w:val="single" w:color="D9CFE3" w:sz="4"/>
              <w:left w:val="single" w:color="D9CFE3" w:sz="4"/>
              <w:bottom w:val="single" w:color="D9CFE3" w:sz="4"/>
              <w:right w:val="single" w:color="D9CFE3" w:sz="4"/>
            </w:tcBorders>
            <w:shd w:fill="FFFFFF" w:color="auto" w:val="clear"/>
            <w:tcMar>
              <w:top w:type="dxa" w:w="70"/>
              <w:left w:type="dxa" w:w="100"/>
              <w:bottom w:type="dxa" w:w="70"/>
              <w:right w:type="dxa" w:w="100"/>
            </w:tcMar>
            <w:vAlign w:val="center"/>
          </w:tcPr>
          <w:p>
            <w:pPr>
              <w:keepLines/>
              <w:spacing w:after="0" w:line="240"/>
            </w:pPr>
            <w:hyperlink w:history="1" r:id="rId7zxqnvudz3gcbtui2gbmf">
              <w:r>
                <w:rPr>
                  <w:rStyle w:val="Hyperlink"/>
                  <w:color w:val="1A6FA0"/>
                  <w:sz w:val="17"/>
                  <w:szCs w:val="17"/>
                  <w:u w:val="single"/>
                </w:rPr>
                <w:t xml:space="preserve">JLR attack is the most expensive security breach in UK history</w:t>
              </w:r>
            </w:hyperlink>
            <w:r>
              <w:rPr>
                <w:color w:val="2B2233"/>
                <w:sz w:val="17"/>
                <w:szCs w:val="17"/>
              </w:rPr>
              <w:t xml:space="preserve">. Computing, Oct 2025.</w:t>
            </w:r>
          </w:p>
        </w:tc>
        <w:tc>
          <w:tcPr>
            <w:tcW w:type="dxa" w:w="77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C</w:t>
            </w:r>
          </w:p>
        </w:tc>
        <w:tc>
          <w:tcPr>
            <w:tcW w:type="dxa" w:w="1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D2, D3, D5, D6, D7</w:t>
            </w:r>
          </w:p>
        </w:tc>
      </w:tr>
      <w:tr>
        <w:trPr>
          <w:cantSplit/>
        </w:trPr>
        <w:tc>
          <w:tcPr>
            <w:tcW w:type="dxa" w:w="4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10</w:t>
            </w:r>
          </w:p>
        </w:tc>
        <w:tc>
          <w:tcPr>
            <w:tcW w:type="dxa" w:w="3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Year to 31 Aug 2025: 429 incidents handled (430 the year before); 204 nationally significant (48%), up from 89; 18 highly significant (Category 2 or above), up from 12; manufacturing among top sectors reporting ransomware; data understates true incidents; reporting is often not mandatory</w:t>
            </w:r>
          </w:p>
        </w:tc>
        <w:tc>
          <w:tcPr>
            <w:tcW w:type="dxa" w:w="3200"/>
            <w:tcBorders>
              <w:top w:val="single" w:color="D9CFE3" w:sz="4"/>
              <w:left w:val="single" w:color="D9CFE3" w:sz="4"/>
              <w:bottom w:val="single" w:color="D9CFE3" w:sz="4"/>
              <w:right w:val="single" w:color="D9CFE3" w:sz="4"/>
            </w:tcBorders>
            <w:shd w:fill="F8F5FB" w:color="auto" w:val="clear"/>
            <w:tcMar>
              <w:top w:type="dxa" w:w="70"/>
              <w:left w:type="dxa" w:w="100"/>
              <w:bottom w:type="dxa" w:w="70"/>
              <w:right w:type="dxa" w:w="100"/>
            </w:tcMar>
            <w:vAlign w:val="center"/>
          </w:tcPr>
          <w:p>
            <w:pPr>
              <w:keepLines/>
              <w:spacing w:after="0" w:line="240"/>
            </w:pPr>
            <w:hyperlink w:history="1" r:id="rIdqblbznm54zs5fsnixsqur">
              <w:r>
                <w:rPr>
                  <w:rStyle w:val="Hyperlink"/>
                  <w:color w:val="1A6FA0"/>
                  <w:sz w:val="17"/>
                  <w:szCs w:val="17"/>
                  <w:u w:val="single"/>
                </w:rPr>
                <w:t xml:space="preserve">NCSC Annual Review 2025: Incident management</w:t>
              </w:r>
            </w:hyperlink>
            <w:r>
              <w:rPr>
                <w:color w:val="2B2233"/>
                <w:sz w:val="17"/>
                <w:szCs w:val="17"/>
              </w:rPr>
              <w:t xml:space="preserve">. National Cyber Security Centre, Oct 2025.</w:t>
            </w:r>
          </w:p>
        </w:tc>
        <w:tc>
          <w:tcPr>
            <w:tcW w:type="dxa" w:w="77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A</w:t>
            </w:r>
          </w:p>
        </w:tc>
        <w:tc>
          <w:tcPr>
            <w:tcW w:type="dxa" w:w="1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D2, D5, D6, D7</w:t>
            </w:r>
          </w:p>
        </w:tc>
      </w:tr>
      <w:tr>
        <w:trPr>
          <w:cantSplit/>
        </w:trPr>
        <w:tc>
          <w:tcPr>
            <w:tcW w:type="dxa" w:w="4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11</w:t>
            </w:r>
          </w:p>
        </w:tc>
        <w:tc>
          <w:tcPr>
            <w:tcW w:type="dxa" w:w="3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Cyber Security and Resilience Bill at Report Stage in the House of Lords; Royal Assent possibly towards end of 2026; focus on operators of essential services, critical national infrastructure and critical supply chains; not intended to regulate every UK business; details to follow in secondary legislation</w:t>
            </w:r>
          </w:p>
        </w:tc>
        <w:tc>
          <w:tcPr>
            <w:tcW w:type="dxa" w:w="3200"/>
            <w:tcBorders>
              <w:top w:val="single" w:color="D9CFE3" w:sz="4"/>
              <w:left w:val="single" w:color="D9CFE3" w:sz="4"/>
              <w:bottom w:val="single" w:color="D9CFE3" w:sz="4"/>
              <w:right w:val="single" w:color="D9CFE3" w:sz="4"/>
            </w:tcBorders>
            <w:shd w:fill="FFFFFF" w:color="auto" w:val="clear"/>
            <w:tcMar>
              <w:top w:type="dxa" w:w="70"/>
              <w:left w:type="dxa" w:w="100"/>
              <w:bottom w:type="dxa" w:w="70"/>
              <w:right w:type="dxa" w:w="100"/>
            </w:tcMar>
            <w:vAlign w:val="center"/>
          </w:tcPr>
          <w:p>
            <w:pPr>
              <w:keepLines/>
              <w:spacing w:after="0" w:line="240"/>
            </w:pPr>
            <w:hyperlink w:history="1" r:id="rId_lew8fe217jclx8ciktpv">
              <w:r>
                <w:rPr>
                  <w:rStyle w:val="Hyperlink"/>
                  <w:color w:val="1A6FA0"/>
                  <w:sz w:val="17"/>
                  <w:szCs w:val="17"/>
                  <w:u w:val="single"/>
                </w:rPr>
                <w:t xml:space="preserve">Cyber Security and Resilience Bill: what’s the latest and what should businesses do now</w:t>
              </w:r>
            </w:hyperlink>
            <w:r>
              <w:rPr>
                <w:color w:val="2B2233"/>
                <w:sz w:val="17"/>
                <w:szCs w:val="17"/>
              </w:rPr>
              <w:t xml:space="preserve">. Gowling WLG via Mondaq, 21 Sep 2026.</w:t>
            </w:r>
          </w:p>
        </w:tc>
        <w:tc>
          <w:tcPr>
            <w:tcW w:type="dxa" w:w="77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B</w:t>
            </w:r>
          </w:p>
        </w:tc>
        <w:tc>
          <w:tcPr>
            <w:tcW w:type="dxa" w:w="1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D2, D7</w:t>
            </w:r>
          </w:p>
        </w:tc>
      </w:tr>
      <w:tr>
        <w:trPr>
          <w:cantSplit/>
        </w:trPr>
        <w:tc>
          <w:tcPr>
            <w:tcW w:type="dxa" w:w="4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12</w:t>
            </w:r>
          </w:p>
        </w:tc>
        <w:tc>
          <w:tcPr>
            <w:tcW w:type="dxa" w:w="3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Proposed Bill content: incident notification within 24 hours and full report within 72 hours; managed service providers and larger data centres brought into scope; regulators may designate critical suppliers; as described from the government policy statement</w:t>
            </w:r>
          </w:p>
        </w:tc>
        <w:tc>
          <w:tcPr>
            <w:tcW w:type="dxa" w:w="3200"/>
            <w:tcBorders>
              <w:top w:val="single" w:color="D9CFE3" w:sz="4"/>
              <w:left w:val="single" w:color="D9CFE3" w:sz="4"/>
              <w:bottom w:val="single" w:color="D9CFE3" w:sz="4"/>
              <w:right w:val="single" w:color="D9CFE3" w:sz="4"/>
            </w:tcBorders>
            <w:shd w:fill="F8F5FB" w:color="auto" w:val="clear"/>
            <w:tcMar>
              <w:top w:type="dxa" w:w="70"/>
              <w:left w:type="dxa" w:w="100"/>
              <w:bottom w:type="dxa" w:w="70"/>
              <w:right w:type="dxa" w:w="100"/>
            </w:tcMar>
            <w:vAlign w:val="center"/>
          </w:tcPr>
          <w:p>
            <w:pPr>
              <w:keepLines/>
              <w:spacing w:after="0" w:line="240"/>
            </w:pPr>
            <w:hyperlink w:history="1" r:id="rIdyi5srgayahv4fhkovnshq">
              <w:r>
                <w:rPr>
                  <w:rStyle w:val="Hyperlink"/>
                  <w:color w:val="1A6FA0"/>
                  <w:sz w:val="17"/>
                  <w:szCs w:val="17"/>
                  <w:u w:val="single"/>
                </w:rPr>
                <w:t xml:space="preserve">Cyber Security and Resilience Bill: what will it do?</w:t>
              </w:r>
            </w:hyperlink>
            <w:r>
              <w:rPr>
                <w:color w:val="2B2233"/>
                <w:sz w:val="17"/>
                <w:szCs w:val="17"/>
              </w:rPr>
              <w:t xml:space="preserve">. Penningtons Manches Cooper, 30 Jul 2025.</w:t>
            </w:r>
          </w:p>
        </w:tc>
        <w:tc>
          <w:tcPr>
            <w:tcW w:type="dxa" w:w="77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B</w:t>
            </w:r>
          </w:p>
        </w:tc>
        <w:tc>
          <w:tcPr>
            <w:tcW w:type="dxa" w:w="1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D2, D5, D7, D9</w:t>
            </w:r>
          </w:p>
        </w:tc>
      </w:tr>
      <w:tr>
        <w:trPr>
          <w:cantSplit/>
        </w:trPr>
        <w:tc>
          <w:tcPr>
            <w:tcW w:type="dxa" w:w="4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13</w:t>
            </w:r>
          </w:p>
        </w:tc>
        <w:tc>
          <w:tcPr>
            <w:tcW w:type="dxa" w:w="3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Proposed UK ban on ransomware payments by public-sector and critical-national-infrastructure bodies, with national-security exemptions; other businesses would have to notify government if they intend to pay; not yet law</w:t>
            </w:r>
          </w:p>
        </w:tc>
        <w:tc>
          <w:tcPr>
            <w:tcW w:type="dxa" w:w="3200"/>
            <w:tcBorders>
              <w:top w:val="single" w:color="D9CFE3" w:sz="4"/>
              <w:left w:val="single" w:color="D9CFE3" w:sz="4"/>
              <w:bottom w:val="single" w:color="D9CFE3" w:sz="4"/>
              <w:right w:val="single" w:color="D9CFE3" w:sz="4"/>
            </w:tcBorders>
            <w:shd w:fill="FFFFFF" w:color="auto" w:val="clear"/>
            <w:tcMar>
              <w:top w:type="dxa" w:w="70"/>
              <w:left w:type="dxa" w:w="100"/>
              <w:bottom w:type="dxa" w:w="70"/>
              <w:right w:type="dxa" w:w="100"/>
            </w:tcMar>
            <w:vAlign w:val="center"/>
          </w:tcPr>
          <w:p>
            <w:pPr>
              <w:keepLines/>
              <w:spacing w:after="0" w:line="240"/>
            </w:pPr>
            <w:hyperlink w:history="1" r:id="rIdtb5hnd6etxufl8mdbai0j">
              <w:r>
                <w:rPr>
                  <w:rStyle w:val="Hyperlink"/>
                  <w:color w:val="1A6FA0"/>
                  <w:sz w:val="17"/>
                  <w:szCs w:val="17"/>
                  <w:u w:val="single"/>
                </w:rPr>
                <w:t xml:space="preserve">UK Ransomware Payment Ban to Come with Exemptions, Security Minister Says</w:t>
              </w:r>
            </w:hyperlink>
            <w:r>
              <w:rPr>
                <w:color w:val="2B2233"/>
                <w:sz w:val="17"/>
                <w:szCs w:val="17"/>
              </w:rPr>
              <w:t xml:space="preserve">. Infosecurity Magazine, 3 Dec 2025.</w:t>
            </w:r>
          </w:p>
        </w:tc>
        <w:tc>
          <w:tcPr>
            <w:tcW w:type="dxa" w:w="77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C</w:t>
            </w:r>
          </w:p>
        </w:tc>
        <w:tc>
          <w:tcPr>
            <w:tcW w:type="dxa" w:w="1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D2</w:t>
            </w:r>
          </w:p>
        </w:tc>
      </w:tr>
      <w:tr>
        <w:trPr>
          <w:cantSplit/>
        </w:trPr>
        <w:tc>
          <w:tcPr>
            <w:tcW w:type="dxa" w:w="4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14</w:t>
            </w:r>
          </w:p>
        </w:tc>
        <w:tc>
          <w:tcPr>
            <w:tcW w:type="dxa" w:w="3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CMC declared the JLR attack a Category 3 systemic event on 22 Oct 2025 (headline and first paragraph only were readable)</w:t>
            </w:r>
          </w:p>
        </w:tc>
        <w:tc>
          <w:tcPr>
            <w:tcW w:type="dxa" w:w="3200"/>
            <w:tcBorders>
              <w:top w:val="single" w:color="D9CFE3" w:sz="4"/>
              <w:left w:val="single" w:color="D9CFE3" w:sz="4"/>
              <w:bottom w:val="single" w:color="D9CFE3" w:sz="4"/>
              <w:right w:val="single" w:color="D9CFE3" w:sz="4"/>
            </w:tcBorders>
            <w:shd w:fill="F8F5FB" w:color="auto" w:val="clear"/>
            <w:tcMar>
              <w:top w:type="dxa" w:w="70"/>
              <w:left w:type="dxa" w:w="100"/>
              <w:bottom w:type="dxa" w:w="70"/>
              <w:right w:type="dxa" w:w="100"/>
            </w:tcMar>
            <w:vAlign w:val="center"/>
          </w:tcPr>
          <w:p>
            <w:pPr>
              <w:keepLines/>
              <w:spacing w:after="0" w:line="240"/>
            </w:pPr>
            <w:hyperlink w:history="1" r:id="rIdboe_xdfc2rohdpnum6guv">
              <w:r>
                <w:rPr>
                  <w:rStyle w:val="Hyperlink"/>
                  <w:color w:val="1A6FA0"/>
                  <w:sz w:val="17"/>
                  <w:szCs w:val="17"/>
                  <w:u w:val="single"/>
                </w:rPr>
                <w:t xml:space="preserve">Cyber Monitoring Centre ranks JLR cyberattack as category three event</w:t>
              </w:r>
            </w:hyperlink>
            <w:r>
              <w:rPr>
                <w:color w:val="2B2233"/>
                <w:sz w:val="17"/>
                <w:szCs w:val="17"/>
              </w:rPr>
              <w:t xml:space="preserve">. The Insurer, 22 Oct 2025.</w:t>
            </w:r>
          </w:p>
        </w:tc>
        <w:tc>
          <w:tcPr>
            <w:tcW w:type="dxa" w:w="77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C</w:t>
            </w:r>
          </w:p>
        </w:tc>
        <w:tc>
          <w:tcPr>
            <w:tcW w:type="dxa" w:w="1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D2, D3</w:t>
            </w:r>
          </w:p>
        </w:tc>
      </w:tr>
      <w:tr>
        <w:trPr>
          <w:cantSplit/>
        </w:trPr>
        <w:tc>
          <w:tcPr>
            <w:tcW w:type="dxa" w:w="4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15</w:t>
            </w:r>
          </w:p>
        </w:tc>
        <w:tc>
          <w:tcPr>
            <w:tcW w:type="dxa" w:w="3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Pause extended to at least Wed 1 Oct 2025 (announced 23 Sep); plants in West Midlands and Merseyside; no new cars since late August; MPs: supply chain involves around 200,000 workers; unions demand furlough scheme; JLR working with cyber specialists, NCSC and law enforcement on a phased restart</w:t>
            </w:r>
          </w:p>
        </w:tc>
        <w:tc>
          <w:tcPr>
            <w:tcW w:type="dxa" w:w="3200"/>
            <w:tcBorders>
              <w:top w:val="single" w:color="D9CFE3" w:sz="4"/>
              <w:left w:val="single" w:color="D9CFE3" w:sz="4"/>
              <w:bottom w:val="single" w:color="D9CFE3" w:sz="4"/>
              <w:right w:val="single" w:color="D9CFE3" w:sz="4"/>
            </w:tcBorders>
            <w:shd w:fill="FFFFFF" w:color="auto" w:val="clear"/>
            <w:tcMar>
              <w:top w:type="dxa" w:w="70"/>
              <w:left w:type="dxa" w:w="100"/>
              <w:bottom w:type="dxa" w:w="70"/>
              <w:right w:type="dxa" w:w="100"/>
            </w:tcMar>
            <w:vAlign w:val="center"/>
          </w:tcPr>
          <w:p>
            <w:pPr>
              <w:keepLines/>
              <w:spacing w:after="0" w:line="240"/>
            </w:pPr>
            <w:hyperlink w:history="1" r:id="rIdblgjcexyhyy7ckfztyekx">
              <w:r>
                <w:rPr>
                  <w:rStyle w:val="Hyperlink"/>
                  <w:color w:val="1A6FA0"/>
                  <w:sz w:val="17"/>
                  <w:szCs w:val="17"/>
                  <w:u w:val="single"/>
                </w:rPr>
                <w:t xml:space="preserve">JLR staff told to stay at home until October as car giant continues to battle cyber attack</w:t>
              </w:r>
            </w:hyperlink>
            <w:r>
              <w:rPr>
                <w:color w:val="2B2233"/>
                <w:sz w:val="17"/>
                <w:szCs w:val="17"/>
              </w:rPr>
              <w:t xml:space="preserve">. ITV News, 23 Sep 2025.</w:t>
            </w:r>
          </w:p>
        </w:tc>
        <w:tc>
          <w:tcPr>
            <w:tcW w:type="dxa" w:w="77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C</w:t>
            </w:r>
          </w:p>
        </w:tc>
        <w:tc>
          <w:tcPr>
            <w:tcW w:type="dxa" w:w="1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D3, D4, D5, D8</w:t>
            </w:r>
          </w:p>
        </w:tc>
      </w:tr>
      <w:tr>
        <w:trPr>
          <w:cantSplit/>
        </w:trPr>
        <w:tc>
          <w:tcPr>
            <w:tcW w:type="dxa" w:w="4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16</w:t>
            </w:r>
          </w:p>
        </w:tc>
        <w:tc>
          <w:tcPr>
            <w:tcW w:type="dxa" w:w="3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Dated sequence: 2 Sep disclosure and shutdown; NCSC assisting and ICO assessing; 10 Sep JLR confirms some data was taken; 16 Sep pause extended to 24 Sep; hackers claimed responsibility</w:t>
            </w:r>
          </w:p>
        </w:tc>
        <w:tc>
          <w:tcPr>
            <w:tcW w:type="dxa" w:w="3200"/>
            <w:tcBorders>
              <w:top w:val="single" w:color="D9CFE3" w:sz="4"/>
              <w:left w:val="single" w:color="D9CFE3" w:sz="4"/>
              <w:bottom w:val="single" w:color="D9CFE3" w:sz="4"/>
              <w:right w:val="single" w:color="D9CFE3" w:sz="4"/>
            </w:tcBorders>
            <w:shd w:fill="F8F5FB" w:color="auto" w:val="clear"/>
            <w:tcMar>
              <w:top w:type="dxa" w:w="70"/>
              <w:left w:type="dxa" w:w="100"/>
              <w:bottom w:type="dxa" w:w="70"/>
              <w:right w:type="dxa" w:w="100"/>
            </w:tcMar>
            <w:vAlign w:val="center"/>
          </w:tcPr>
          <w:p>
            <w:pPr>
              <w:keepLines/>
              <w:spacing w:after="0" w:line="240"/>
            </w:pPr>
            <w:hyperlink w:history="1" r:id="rIddtyu-zpttikiwstcx46e2">
              <w:r>
                <w:rPr>
                  <w:rStyle w:val="Hyperlink"/>
                  <w:color w:val="1A6FA0"/>
                  <w:sz w:val="17"/>
                  <w:szCs w:val="17"/>
                  <w:u w:val="single"/>
                </w:rPr>
                <w:t xml:space="preserve">Jaguar Land Rover production delay after cyberattack</w:t>
              </w:r>
            </w:hyperlink>
            <w:r>
              <w:rPr>
                <w:color w:val="2B2233"/>
                <w:sz w:val="17"/>
                <w:szCs w:val="17"/>
              </w:rPr>
              <w:t xml:space="preserve">. Cybersecurity Dive, Sep 2025.</w:t>
            </w:r>
          </w:p>
        </w:tc>
        <w:tc>
          <w:tcPr>
            <w:tcW w:type="dxa" w:w="77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C</w:t>
            </w:r>
          </w:p>
        </w:tc>
        <w:tc>
          <w:tcPr>
            <w:tcW w:type="dxa" w:w="1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D3, D5, D7</w:t>
            </w:r>
          </w:p>
        </w:tc>
      </w:tr>
      <w:tr>
        <w:trPr>
          <w:cantSplit/>
        </w:trPr>
        <w:tc>
          <w:tcPr>
            <w:tcW w:type="dxa" w:w="4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17</w:t>
            </w:r>
          </w:p>
        </w:tc>
        <w:tc>
          <w:tcPr>
            <w:tcW w:type="dxa" w:w="3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Pause extended again on 23 Sep to 1 Oct; group “Scattered Lapsus$ Hunters” claimed responsibility and posted screenshots on Telegram; initial access method unconfirmed; early BBC-cited estimate £120m profit and £1.7bn revenue lost; about 200,000 people work across hundreds of suppliers</w:t>
            </w:r>
          </w:p>
        </w:tc>
        <w:tc>
          <w:tcPr>
            <w:tcW w:type="dxa" w:w="3200"/>
            <w:tcBorders>
              <w:top w:val="single" w:color="D9CFE3" w:sz="4"/>
              <w:left w:val="single" w:color="D9CFE3" w:sz="4"/>
              <w:bottom w:val="single" w:color="D9CFE3" w:sz="4"/>
              <w:right w:val="single" w:color="D9CFE3" w:sz="4"/>
            </w:tcBorders>
            <w:shd w:fill="FFFFFF" w:color="auto" w:val="clear"/>
            <w:tcMar>
              <w:top w:type="dxa" w:w="70"/>
              <w:left w:type="dxa" w:w="100"/>
              <w:bottom w:type="dxa" w:w="70"/>
              <w:right w:type="dxa" w:w="100"/>
            </w:tcMar>
            <w:vAlign w:val="center"/>
          </w:tcPr>
          <w:p>
            <w:pPr>
              <w:keepLines/>
              <w:spacing w:after="0" w:line="240"/>
            </w:pPr>
            <w:hyperlink w:history="1" r:id="rIdvnxlvdwvdqeyt_xrxzhww">
              <w:r>
                <w:rPr>
                  <w:rStyle w:val="Hyperlink"/>
                  <w:color w:val="1A6FA0"/>
                  <w:sz w:val="17"/>
                  <w:szCs w:val="17"/>
                  <w:u w:val="single"/>
                </w:rPr>
                <w:t xml:space="preserve">Jaguar Land Rover Extends Production Pause Again</w:t>
              </w:r>
            </w:hyperlink>
            <w:r>
              <w:rPr>
                <w:color w:val="2B2233"/>
                <w:sz w:val="17"/>
                <w:szCs w:val="17"/>
              </w:rPr>
              <w:t xml:space="preserve">. Infosecurity Magazine, 23 Sep 2025.</w:t>
            </w:r>
          </w:p>
        </w:tc>
        <w:tc>
          <w:tcPr>
            <w:tcW w:type="dxa" w:w="77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C</w:t>
            </w:r>
          </w:p>
        </w:tc>
        <w:tc>
          <w:tcPr>
            <w:tcW w:type="dxa" w:w="1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D3</w:t>
            </w:r>
          </w:p>
        </w:tc>
      </w:tr>
      <w:tr>
        <w:trPr>
          <w:cantSplit/>
        </w:trPr>
        <w:tc>
          <w:tcPr>
            <w:tcW w:type="dxa" w:w="4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18</w:t>
            </w:r>
          </w:p>
        </w:tc>
        <w:tc>
          <w:tcPr>
            <w:tcW w:type="dxa" w:w="3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2 Sep: JLR reported a significant cyber attack and said there was no evidence any customer data had been stolen; 8 Oct phased restart began; £1.5bn five-year commercial bank loan guaranteed by the UK government under UK Export Finance’s Export Development Guarantee</w:t>
            </w:r>
          </w:p>
        </w:tc>
        <w:tc>
          <w:tcPr>
            <w:tcW w:type="dxa" w:w="3200"/>
            <w:tcBorders>
              <w:top w:val="single" w:color="D9CFE3" w:sz="4"/>
              <w:left w:val="single" w:color="D9CFE3" w:sz="4"/>
              <w:bottom w:val="single" w:color="D9CFE3" w:sz="4"/>
              <w:right w:val="single" w:color="D9CFE3" w:sz="4"/>
            </w:tcBorders>
            <w:shd w:fill="F8F5FB" w:color="auto" w:val="clear"/>
            <w:tcMar>
              <w:top w:type="dxa" w:w="70"/>
              <w:left w:type="dxa" w:w="100"/>
              <w:bottom w:type="dxa" w:w="70"/>
              <w:right w:type="dxa" w:w="100"/>
            </w:tcMar>
            <w:vAlign w:val="center"/>
          </w:tcPr>
          <w:p>
            <w:pPr>
              <w:keepLines/>
              <w:spacing w:after="0" w:line="240"/>
            </w:pPr>
            <w:hyperlink w:history="1" r:id="rId8yu51ngqwslcl7hbrvmoi">
              <w:r>
                <w:rPr>
                  <w:rStyle w:val="Hyperlink"/>
                  <w:color w:val="1A6FA0"/>
                  <w:sz w:val="17"/>
                  <w:szCs w:val="17"/>
                  <w:u w:val="single"/>
                </w:rPr>
                <w:t xml:space="preserve">Jaguar Land Rover resumes production following significant cyberattack</w:t>
              </w:r>
            </w:hyperlink>
            <w:r>
              <w:rPr>
                <w:color w:val="2B2233"/>
                <w:sz w:val="17"/>
                <w:szCs w:val="17"/>
              </w:rPr>
              <w:t xml:space="preserve">. teiss, 10 Oct 2025.</w:t>
            </w:r>
          </w:p>
        </w:tc>
        <w:tc>
          <w:tcPr>
            <w:tcW w:type="dxa" w:w="77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C</w:t>
            </w:r>
          </w:p>
        </w:tc>
        <w:tc>
          <w:tcPr>
            <w:tcW w:type="dxa" w:w="1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D3, D4, D5, D7</w:t>
            </w:r>
          </w:p>
        </w:tc>
      </w:tr>
      <w:tr>
        <w:trPr>
          <w:cantSplit/>
        </w:trPr>
        <w:tc>
          <w:tcPr>
            <w:tcW w:type="dxa" w:w="4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19</w:t>
            </w:r>
          </w:p>
        </w:tc>
        <w:tc>
          <w:tcPr>
            <w:tcW w:type="dxa" w:w="3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Announced 7 Oct 2025: restart on 8 Oct, in order: engines and batteries; stamping and Solihull body, paint and logistics; Nitra (Slovakia); Range Rover lines; Halewood date not given. Supplier financing: most of payment shortly after order, standard terms 60 days after invoice accelerated by up to 120 days, JLR covers financing cost; supplier help desk and manual invoice system set up (JLR release as published by Automotive World)</w:t>
            </w:r>
          </w:p>
        </w:tc>
        <w:tc>
          <w:tcPr>
            <w:tcW w:type="dxa" w:w="3200"/>
            <w:tcBorders>
              <w:top w:val="single" w:color="D9CFE3" w:sz="4"/>
              <w:left w:val="single" w:color="D9CFE3" w:sz="4"/>
              <w:bottom w:val="single" w:color="D9CFE3" w:sz="4"/>
              <w:right w:val="single" w:color="D9CFE3" w:sz="4"/>
            </w:tcBorders>
            <w:shd w:fill="FFFFFF" w:color="auto" w:val="clear"/>
            <w:tcMar>
              <w:top w:type="dxa" w:w="70"/>
              <w:left w:type="dxa" w:w="100"/>
              <w:bottom w:type="dxa" w:w="70"/>
              <w:right w:type="dxa" w:w="100"/>
            </w:tcMar>
            <w:vAlign w:val="center"/>
          </w:tcPr>
          <w:p>
            <w:pPr>
              <w:keepLines/>
              <w:spacing w:after="0" w:line="240"/>
            </w:pPr>
            <w:hyperlink w:history="1" r:id="rIdlpxzuciw8m28aes27_pvq">
              <w:r>
                <w:rPr>
                  <w:rStyle w:val="Hyperlink"/>
                  <w:color w:val="1A6FA0"/>
                  <w:sz w:val="17"/>
                  <w:szCs w:val="17"/>
                  <w:u w:val="single"/>
                </w:rPr>
                <w:t xml:space="preserve">JLR restarts manufacturing and introduces new financing solution to pay JLR suppliers early</w:t>
              </w:r>
            </w:hyperlink>
            <w:r>
              <w:rPr>
                <w:color w:val="2B2233"/>
                <w:sz w:val="17"/>
                <w:szCs w:val="17"/>
              </w:rPr>
              <w:t xml:space="preserve">. Automotive World (JLR press release), 7 Oct 2025.</w:t>
            </w:r>
          </w:p>
        </w:tc>
        <w:tc>
          <w:tcPr>
            <w:tcW w:type="dxa" w:w="77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A</w:t>
            </w:r>
          </w:p>
        </w:tc>
        <w:tc>
          <w:tcPr>
            <w:tcW w:type="dxa" w:w="1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D3, D4, D5, D7, D8</w:t>
            </w:r>
          </w:p>
        </w:tc>
      </w:tr>
      <w:tr>
        <w:trPr>
          <w:cantSplit/>
        </w:trPr>
        <w:tc>
          <w:tcPr>
            <w:tcW w:type="dxa" w:w="4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20</w:t>
            </w:r>
          </w:p>
        </w:tc>
        <w:tc>
          <w:tcPr>
            <w:tcW w:type="dxa" w:w="3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FY25 (year to March 2025): revenue £29.0bn (flat); profit before tax and exceptional items £2.5bn; EBIT margin 8.5%; profit after tax £1.8bn; net cash £278m; liquidity £6.3bn; investment plan £18bn over five years; Defender record wholesales 115,404 (JLR release as published by Automotive World)</w:t>
            </w:r>
          </w:p>
        </w:tc>
        <w:tc>
          <w:tcPr>
            <w:tcW w:type="dxa" w:w="3200"/>
            <w:tcBorders>
              <w:top w:val="single" w:color="D9CFE3" w:sz="4"/>
              <w:left w:val="single" w:color="D9CFE3" w:sz="4"/>
              <w:bottom w:val="single" w:color="D9CFE3" w:sz="4"/>
              <w:right w:val="single" w:color="D9CFE3" w:sz="4"/>
            </w:tcBorders>
            <w:shd w:fill="F8F5FB" w:color="auto" w:val="clear"/>
            <w:tcMar>
              <w:top w:type="dxa" w:w="70"/>
              <w:left w:type="dxa" w:w="100"/>
              <w:bottom w:type="dxa" w:w="70"/>
              <w:right w:type="dxa" w:w="100"/>
            </w:tcMar>
            <w:vAlign w:val="center"/>
          </w:tcPr>
          <w:p>
            <w:pPr>
              <w:keepLines/>
              <w:spacing w:after="0" w:line="240"/>
            </w:pPr>
            <w:hyperlink w:history="1" r:id="rIdmvbtyllqq70qlzd1mn58r">
              <w:r>
                <w:rPr>
                  <w:rStyle w:val="Hyperlink"/>
                  <w:color w:val="1A6FA0"/>
                  <w:sz w:val="17"/>
                  <w:szCs w:val="17"/>
                  <w:u w:val="single"/>
                </w:rPr>
                <w:t xml:space="preserve">JLR delivers strong full year performance</w:t>
              </w:r>
            </w:hyperlink>
            <w:r>
              <w:rPr>
                <w:color w:val="2B2233"/>
                <w:sz w:val="17"/>
                <w:szCs w:val="17"/>
              </w:rPr>
              <w:t xml:space="preserve">. Automotive World (JLR press release), May 2025.</w:t>
            </w:r>
          </w:p>
        </w:tc>
        <w:tc>
          <w:tcPr>
            <w:tcW w:type="dxa" w:w="77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A</w:t>
            </w:r>
          </w:p>
        </w:tc>
        <w:tc>
          <w:tcPr>
            <w:tcW w:type="dxa" w:w="1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D3, D4, D6</w:t>
            </w:r>
          </w:p>
        </w:tc>
      </w:tr>
      <w:tr>
        <w:trPr>
          <w:cantSplit/>
        </w:trPr>
        <w:tc>
          <w:tcPr>
            <w:tcW w:type="dxa" w:w="4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21</w:t>
            </w:r>
          </w:p>
        </w:tc>
        <w:tc>
          <w:tcPr>
            <w:tcW w:type="dxa" w:w="3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Four brands (Range Rover, Defender, Discovery, Jaguar); sites: Solihull, Halewood, Castle Bromwich, Wolverhampton (UK), Nitra (Slovakia), plus Graz, Pune and the China JV; Reimagine strategy launched 2021; £18bn investment 2024 to 2028</w:t>
            </w:r>
          </w:p>
        </w:tc>
        <w:tc>
          <w:tcPr>
            <w:tcW w:type="dxa" w:w="3200"/>
            <w:tcBorders>
              <w:top w:val="single" w:color="D9CFE3" w:sz="4"/>
              <w:left w:val="single" w:color="D9CFE3" w:sz="4"/>
              <w:bottom w:val="single" w:color="D9CFE3" w:sz="4"/>
              <w:right w:val="single" w:color="D9CFE3" w:sz="4"/>
            </w:tcBorders>
            <w:shd w:fill="FFFFFF" w:color="auto" w:val="clear"/>
            <w:tcMar>
              <w:top w:type="dxa" w:w="70"/>
              <w:left w:type="dxa" w:w="100"/>
              <w:bottom w:type="dxa" w:w="70"/>
              <w:right w:type="dxa" w:w="100"/>
            </w:tcMar>
            <w:vAlign w:val="center"/>
          </w:tcPr>
          <w:p>
            <w:pPr>
              <w:keepLines/>
              <w:spacing w:after="0" w:line="240"/>
            </w:pPr>
            <w:hyperlink w:history="1" r:id="rIdel8b4a1y3xk-qfsmgudwd">
              <w:r>
                <w:rPr>
                  <w:rStyle w:val="Hyperlink"/>
                  <w:color w:val="1A6FA0"/>
                  <w:sz w:val="17"/>
                  <w:szCs w:val="17"/>
                  <w:u w:val="single"/>
                </w:rPr>
                <w:t xml:space="preserve">Annual Report 2025</w:t>
              </w:r>
            </w:hyperlink>
            <w:r>
              <w:rPr>
                <w:color w:val="2B2233"/>
                <w:sz w:val="17"/>
                <w:szCs w:val="17"/>
              </w:rPr>
              <w:t xml:space="preserve">. JLR, 2025.</w:t>
            </w:r>
          </w:p>
        </w:tc>
        <w:tc>
          <w:tcPr>
            <w:tcW w:type="dxa" w:w="77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A</w:t>
            </w:r>
          </w:p>
        </w:tc>
        <w:tc>
          <w:tcPr>
            <w:tcW w:type="dxa" w:w="1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D3, D8</w:t>
            </w:r>
          </w:p>
        </w:tc>
      </w:tr>
      <w:tr>
        <w:trPr>
          <w:cantSplit/>
        </w:trPr>
        <w:tc>
          <w:tcPr>
            <w:tcW w:type="dxa" w:w="4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22</w:t>
            </w:r>
          </w:p>
        </w:tc>
        <w:tc>
          <w:tcPr>
            <w:tcW w:type="dxa" w:w="3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FY25 wholesale 400,898 units and retail 428,854 (flat); Range Rover, Range Rover Sport and Defender together 67.8% of FY25 volumes</w:t>
            </w:r>
          </w:p>
        </w:tc>
        <w:tc>
          <w:tcPr>
            <w:tcW w:type="dxa" w:w="3200"/>
            <w:tcBorders>
              <w:top w:val="single" w:color="D9CFE3" w:sz="4"/>
              <w:left w:val="single" w:color="D9CFE3" w:sz="4"/>
              <w:bottom w:val="single" w:color="D9CFE3" w:sz="4"/>
              <w:right w:val="single" w:color="D9CFE3" w:sz="4"/>
            </w:tcBorders>
            <w:shd w:fill="F8F5FB" w:color="auto" w:val="clear"/>
            <w:tcMar>
              <w:top w:type="dxa" w:w="70"/>
              <w:left w:type="dxa" w:w="100"/>
              <w:bottom w:type="dxa" w:w="70"/>
              <w:right w:type="dxa" w:w="100"/>
            </w:tcMar>
            <w:vAlign w:val="center"/>
          </w:tcPr>
          <w:p>
            <w:pPr>
              <w:keepLines/>
              <w:spacing w:after="0" w:line="240"/>
            </w:pPr>
            <w:hyperlink w:history="1" r:id="rIdtz3o67upk7s4_5cc3htl2">
              <w:r>
                <w:rPr>
                  <w:rStyle w:val="Hyperlink"/>
                  <w:color w:val="1A6FA0"/>
                  <w:sz w:val="17"/>
                  <w:szCs w:val="17"/>
                  <w:u w:val="single"/>
                </w:rPr>
                <w:t xml:space="preserve">Tata Motors’ JLR Reports 1.1% Rise in Q4 FY25 Dispatches, Retail Sales Dip 5.1%</w:t>
              </w:r>
            </w:hyperlink>
            <w:r>
              <w:rPr>
                <w:color w:val="2B2233"/>
                <w:sz w:val="17"/>
                <w:szCs w:val="17"/>
              </w:rPr>
              <w:t xml:space="preserve">. Angel One, 8 Apr 2025.</w:t>
            </w:r>
          </w:p>
        </w:tc>
        <w:tc>
          <w:tcPr>
            <w:tcW w:type="dxa" w:w="77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C</w:t>
            </w:r>
          </w:p>
        </w:tc>
        <w:tc>
          <w:tcPr>
            <w:tcW w:type="dxa" w:w="1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D3</w:t>
            </w:r>
          </w:p>
        </w:tc>
      </w:tr>
      <w:tr>
        <w:trPr>
          <w:cantSplit/>
        </w:trPr>
        <w:tc>
          <w:tcPr>
            <w:tcW w:type="dxa" w:w="4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23</w:t>
            </w:r>
          </w:p>
        </w:tc>
        <w:tc>
          <w:tcPr>
            <w:tcW w:type="dxa" w:w="3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Q2 FY26 (Jul to Sep 2025): wholesale 66,165 units (down 24.2% on a year earlier and on Q1); retail 85,495 (down 17.1%); Range Rover, Range Rover Sport and Defender 76.7% of wholesale vs 67.0% a year earlier; stoppages from the start of September; Jaguar wind-down and US tariffs also weighed (JLR release as published by Automotive World)</w:t>
            </w:r>
          </w:p>
        </w:tc>
        <w:tc>
          <w:tcPr>
            <w:tcW w:type="dxa" w:w="3200"/>
            <w:tcBorders>
              <w:top w:val="single" w:color="D9CFE3" w:sz="4"/>
              <w:left w:val="single" w:color="D9CFE3" w:sz="4"/>
              <w:bottom w:val="single" w:color="D9CFE3" w:sz="4"/>
              <w:right w:val="single" w:color="D9CFE3" w:sz="4"/>
            </w:tcBorders>
            <w:shd w:fill="FFFFFF" w:color="auto" w:val="clear"/>
            <w:tcMar>
              <w:top w:type="dxa" w:w="70"/>
              <w:left w:type="dxa" w:w="100"/>
              <w:bottom w:type="dxa" w:w="70"/>
              <w:right w:type="dxa" w:w="100"/>
            </w:tcMar>
            <w:vAlign w:val="center"/>
          </w:tcPr>
          <w:p>
            <w:pPr>
              <w:keepLines/>
              <w:spacing w:after="0" w:line="240"/>
            </w:pPr>
            <w:hyperlink w:history="1" r:id="rIdlj9fnwx_bzqank8cssigh">
              <w:r>
                <w:rPr>
                  <w:rStyle w:val="Hyperlink"/>
                  <w:color w:val="1A6FA0"/>
                  <w:sz w:val="17"/>
                  <w:szCs w:val="17"/>
                  <w:u w:val="single"/>
                </w:rPr>
                <w:t xml:space="preserve">JLR volumes down in challenging quarter</w:t>
              </w:r>
            </w:hyperlink>
            <w:r>
              <w:rPr>
                <w:color w:val="2B2233"/>
                <w:sz w:val="17"/>
                <w:szCs w:val="17"/>
              </w:rPr>
              <w:t xml:space="preserve">. Automotive World (JLR press release), Oct 2025.</w:t>
            </w:r>
          </w:p>
        </w:tc>
        <w:tc>
          <w:tcPr>
            <w:tcW w:type="dxa" w:w="77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A</w:t>
            </w:r>
          </w:p>
        </w:tc>
        <w:tc>
          <w:tcPr>
            <w:tcW w:type="dxa" w:w="1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D4, D6</w:t>
            </w:r>
          </w:p>
        </w:tc>
      </w:tr>
      <w:tr>
        <w:trPr>
          <w:cantSplit/>
        </w:trPr>
        <w:tc>
          <w:tcPr>
            <w:tcW w:type="dxa" w:w="4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24</w:t>
            </w:r>
          </w:p>
        </w:tc>
        <w:tc>
          <w:tcPr>
            <w:tcW w:type="dxa" w:w="3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Q3 FY26 (Oct to Dec 2025, provisional): wholesale 59,200 (down 43.3% on a year earlier, down 10.6% on Q2); retail 79,600 (down 25.1%); three core models 74.3% of wholesale vs 70.3% a year earlier; “production returned to normal levels only by mid-November”; time to distribute vehicles also a factor; year-to-date wholesale 212,600 (down 26.6%); North America wholesale down 64.4%; Jaguar wind-down and US tariffs also weighed</w:t>
            </w:r>
          </w:p>
        </w:tc>
        <w:tc>
          <w:tcPr>
            <w:tcW w:type="dxa" w:w="3200"/>
            <w:tcBorders>
              <w:top w:val="single" w:color="D9CFE3" w:sz="4"/>
              <w:left w:val="single" w:color="D9CFE3" w:sz="4"/>
              <w:bottom w:val="single" w:color="D9CFE3" w:sz="4"/>
              <w:right w:val="single" w:color="D9CFE3" w:sz="4"/>
            </w:tcBorders>
            <w:shd w:fill="F8F5FB" w:color="auto" w:val="clear"/>
            <w:tcMar>
              <w:top w:type="dxa" w:w="70"/>
              <w:left w:type="dxa" w:w="100"/>
              <w:bottom w:type="dxa" w:w="70"/>
              <w:right w:type="dxa" w:w="100"/>
            </w:tcMar>
            <w:vAlign w:val="center"/>
          </w:tcPr>
          <w:p>
            <w:pPr>
              <w:keepLines/>
              <w:spacing w:after="0" w:line="240"/>
            </w:pPr>
            <w:hyperlink w:history="1" r:id="rIdrgt_uvdvz3liv9rjf6zou">
              <w:r>
                <w:rPr>
                  <w:rStyle w:val="Hyperlink"/>
                  <w:color w:val="1A6FA0"/>
                  <w:sz w:val="17"/>
                  <w:szCs w:val="17"/>
                  <w:u w:val="single"/>
                </w:rPr>
                <w:t xml:space="preserve">JLR Q3 sales impacted by cyber incident as previously indicated</w:t>
              </w:r>
            </w:hyperlink>
            <w:r>
              <w:rPr>
                <w:color w:val="2B2233"/>
                <w:sz w:val="17"/>
                <w:szCs w:val="17"/>
              </w:rPr>
              <w:t xml:space="preserve">. JLR, Jan 2026.</w:t>
            </w:r>
          </w:p>
        </w:tc>
        <w:tc>
          <w:tcPr>
            <w:tcW w:type="dxa" w:w="77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A</w:t>
            </w:r>
          </w:p>
        </w:tc>
        <w:tc>
          <w:tcPr>
            <w:tcW w:type="dxa" w:w="1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D4, D6</w:t>
            </w:r>
          </w:p>
        </w:tc>
      </w:tr>
      <w:tr>
        <w:trPr>
          <w:cantSplit/>
        </w:trPr>
        <w:tc>
          <w:tcPr>
            <w:tcW w:type="dxa" w:w="4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25</w:t>
            </w:r>
          </w:p>
        </w:tc>
        <w:tc>
          <w:tcPr>
            <w:tcW w:type="dxa" w:w="3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Q2 revenue £4.9bn (down 24%), H1 £11.5bn (down 16%); Q2 loss before tax and exceptional items £485m vs a £398m profit a year earlier; JLR cites the cyber attack and US tariffs but gives no split of the revenue drop by cause</w:t>
            </w:r>
          </w:p>
        </w:tc>
        <w:tc>
          <w:tcPr>
            <w:tcW w:type="dxa" w:w="3200"/>
            <w:tcBorders>
              <w:top w:val="single" w:color="D9CFE3" w:sz="4"/>
              <w:left w:val="single" w:color="D9CFE3" w:sz="4"/>
              <w:bottom w:val="single" w:color="D9CFE3" w:sz="4"/>
              <w:right w:val="single" w:color="D9CFE3" w:sz="4"/>
            </w:tcBorders>
            <w:shd w:fill="FFFFFF" w:color="auto" w:val="clear"/>
            <w:tcMar>
              <w:top w:type="dxa" w:w="70"/>
              <w:left w:type="dxa" w:w="100"/>
              <w:bottom w:type="dxa" w:w="70"/>
              <w:right w:type="dxa" w:w="100"/>
            </w:tcMar>
            <w:vAlign w:val="center"/>
          </w:tcPr>
          <w:p>
            <w:pPr>
              <w:keepLines/>
              <w:spacing w:after="0" w:line="240"/>
            </w:pPr>
            <w:hyperlink w:history="1" r:id="rIdgi9a2mzhd4c06lxgm5e9z">
              <w:r>
                <w:rPr>
                  <w:rStyle w:val="Hyperlink"/>
                  <w:color w:val="1A6FA0"/>
                  <w:sz w:val="17"/>
                  <w:szCs w:val="17"/>
                  <w:u w:val="single"/>
                </w:rPr>
                <w:t xml:space="preserve">JLR cites cyberattack, US tariffs for 24% drop in Q2 revenue</w:t>
              </w:r>
            </w:hyperlink>
            <w:r>
              <w:rPr>
                <w:color w:val="2B2233"/>
                <w:sz w:val="17"/>
                <w:szCs w:val="17"/>
              </w:rPr>
              <w:t xml:space="preserve">. Yahoo Finance, Nov 2025.</w:t>
            </w:r>
          </w:p>
        </w:tc>
        <w:tc>
          <w:tcPr>
            <w:tcW w:type="dxa" w:w="77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C</w:t>
            </w:r>
          </w:p>
        </w:tc>
        <w:tc>
          <w:tcPr>
            <w:tcW w:type="dxa" w:w="1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D4, D6</w:t>
            </w:r>
          </w:p>
        </w:tc>
      </w:tr>
      <w:tr>
        <w:trPr>
          <w:cantSplit/>
        </w:trPr>
        <w:tc>
          <w:tcPr>
            <w:tcW w:type="dxa" w:w="4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26</w:t>
            </w:r>
          </w:p>
        </w:tc>
        <w:tc>
          <w:tcPr>
            <w:tcW w:type="dxa" w:w="3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FY2025/26 financial results. Revenue £22.9bn (FY25 £29.0bn); wholesales 307,915 units (400,898); retail 352,389 (428,854, down 17.8%); core three models 76.5% of wholesales (67.8%). Adjusted EBITDA £1.5bn, 6.7% (£4.2bn, 14.4%); adjusted EBIT £0.2bn, 0.7% (£2.5bn, 8.5%); profit before tax and exceptional items £14m (£2.5bn); loss after tax £0.2bn (profit £1.8bn). Exceptional items: cyber £260m, separation payments £58m; lost production and recurring security spend treated as underlying, not exceptional. Free cash flow minus £2.2bn (plus £1.5bn); net debt £2.6bn (net cash £278m); liquidity £6.9bn; £1.5bn UKEF facility undrawn at 31 March 2026. Q4: revenue £6.9bn, profit before tax £452m, EBIT 9.2%. Jaguar brand retail 21,597 (down 55.4%, planned wind-down); Discovery down 34.8% (higher-margin vehicles prioritised during the recovery). PDF pages 4, 6, 24, 26 to 28, 88 to 89</w:t>
            </w:r>
          </w:p>
        </w:tc>
        <w:tc>
          <w:tcPr>
            <w:tcW w:type="dxa" w:w="3200"/>
            <w:tcBorders>
              <w:top w:val="single" w:color="D9CFE3" w:sz="4"/>
              <w:left w:val="single" w:color="D9CFE3" w:sz="4"/>
              <w:bottom w:val="single" w:color="D9CFE3" w:sz="4"/>
              <w:right w:val="single" w:color="D9CFE3" w:sz="4"/>
            </w:tcBorders>
            <w:shd w:fill="F8F5FB" w:color="auto" w:val="clear"/>
            <w:tcMar>
              <w:top w:type="dxa" w:w="70"/>
              <w:left w:type="dxa" w:w="100"/>
              <w:bottom w:type="dxa" w:w="70"/>
              <w:right w:type="dxa" w:w="100"/>
            </w:tcMar>
            <w:vAlign w:val="center"/>
          </w:tcPr>
          <w:p>
            <w:pPr>
              <w:keepLines/>
              <w:spacing w:after="0" w:line="240"/>
            </w:pPr>
            <w:hyperlink w:history="1" r:id="rIdv4kcgtha_xwmfweclss7v">
              <w:r>
                <w:rPr>
                  <w:rStyle w:val="Hyperlink"/>
                  <w:color w:val="1A6FA0"/>
                  <w:sz w:val="17"/>
                  <w:szCs w:val="17"/>
                  <w:u w:val="single"/>
                </w:rPr>
                <w:t xml:space="preserve">JLR Annual Report 2025/26 (full report, 122 pages, read 21 Oct 2026)</w:t>
              </w:r>
            </w:hyperlink>
            <w:r>
              <w:rPr>
                <w:color w:val="2B2233"/>
                <w:sz w:val="17"/>
                <w:szCs w:val="17"/>
              </w:rPr>
              <w:t xml:space="preserve">. JLR, 21 May 2026.</w:t>
            </w:r>
          </w:p>
        </w:tc>
        <w:tc>
          <w:tcPr>
            <w:tcW w:type="dxa" w:w="77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A</w:t>
            </w:r>
          </w:p>
        </w:tc>
        <w:tc>
          <w:tcPr>
            <w:tcW w:type="dxa" w:w="1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D2, D3, D4, D5, D6, D7</w:t>
            </w:r>
          </w:p>
        </w:tc>
      </w:tr>
      <w:tr>
        <w:trPr>
          <w:cantSplit/>
        </w:trPr>
        <w:tc>
          <w:tcPr>
            <w:tcW w:type="dxa" w:w="4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27</w:t>
            </w:r>
          </w:p>
        </w:tc>
        <w:tc>
          <w:tcPr>
            <w:tcW w:type="dxa" w:w="3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Incident, governance and risk, same report. Production paused five weeks, restarted 8 Oct, normal by mid-November; phased restart (customer-facing systems, then wholesale and Global Parts Logistics Centre); “the weeks of lost production, and the time it then took to normalise global distribution, had a financial impact on quarters two and three”; stoppage losses partly offset by lower retailer inventory and a larger order book. Supplier financing facility of up to £500m (up to 90% of order value in advance): £37m advanced and £27m owed at 31 March 2026, “not used extensively” and being wound down. Cyber incident a key audit matter; exceptional costs £260m and amounts within a £139m third-party claims provision. Cyber risk “remains elevated”; third-party experts engaged to strengthen controls, defences and capability. Climate section lists a property-damage and business-interruption insurance policy; no insurance recovery for the cyber incident is mentioned. PDF pages 12, 17, 20, 26, 55, 60, 66, 78, 100</w:t>
            </w:r>
          </w:p>
        </w:tc>
        <w:tc>
          <w:tcPr>
            <w:tcW w:type="dxa" w:w="3200"/>
            <w:tcBorders>
              <w:top w:val="single" w:color="D9CFE3" w:sz="4"/>
              <w:left w:val="single" w:color="D9CFE3" w:sz="4"/>
              <w:bottom w:val="single" w:color="D9CFE3" w:sz="4"/>
              <w:right w:val="single" w:color="D9CFE3" w:sz="4"/>
            </w:tcBorders>
            <w:shd w:fill="FFFFFF" w:color="auto" w:val="clear"/>
            <w:tcMar>
              <w:top w:type="dxa" w:w="70"/>
              <w:left w:type="dxa" w:w="100"/>
              <w:bottom w:type="dxa" w:w="70"/>
              <w:right w:type="dxa" w:w="100"/>
            </w:tcMar>
            <w:vAlign w:val="center"/>
          </w:tcPr>
          <w:p>
            <w:pPr>
              <w:keepLines/>
              <w:spacing w:after="0" w:line="240"/>
            </w:pPr>
            <w:hyperlink w:history="1" r:id="rIdccny2ngwmxcpigkc_oz7h">
              <w:r>
                <w:rPr>
                  <w:rStyle w:val="Hyperlink"/>
                  <w:color w:val="1A6FA0"/>
                  <w:sz w:val="17"/>
                  <w:szCs w:val="17"/>
                  <w:u w:val="single"/>
                </w:rPr>
                <w:t xml:space="preserve">JLR Annual Report 2025/26 (full report): incident, risk and governance sections</w:t>
              </w:r>
            </w:hyperlink>
            <w:r>
              <w:rPr>
                <w:color w:val="2B2233"/>
                <w:sz w:val="17"/>
                <w:szCs w:val="17"/>
              </w:rPr>
              <w:t xml:space="preserve">. JLR, 21 May 2026.</w:t>
            </w:r>
          </w:p>
        </w:tc>
        <w:tc>
          <w:tcPr>
            <w:tcW w:type="dxa" w:w="77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A</w:t>
            </w:r>
          </w:p>
        </w:tc>
        <w:tc>
          <w:tcPr>
            <w:tcW w:type="dxa" w:w="1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D2, D3, D4, D5, D7, D8, D9</w:t>
            </w:r>
          </w:p>
        </w:tc>
      </w:tr>
      <w:tr>
        <w:trPr>
          <w:cantSplit/>
        </w:trPr>
        <w:tc>
          <w:tcPr>
            <w:tcW w:type="dxa" w:w="4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28</w:t>
            </w:r>
          </w:p>
        </w:tc>
        <w:tc>
          <w:tcPr>
            <w:tcW w:type="dxa" w:w="3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JLR had no cyber policy in force: a deal arranged through broker Lockton was not finished before the attack; none of the £260m exceptional cost was recovered from an insurer (£196m in the quarter to September 2025, a further £64m in the next quarter); M&amp;S had cover allowing a claim of up to £100m against a profit hit of about £300m; Pool Re said the protection gap for losses of this size can reach 90% (paraphrased by the article); the article reports up to 4,000 JLR job cuts within a £1.7bn cost plan and quotes Ciaran Martin (CMC) calling the government loan an “unfortunate precedent”. Other claims in the article (such as the causes of the job cuts) are not used</w:t>
            </w:r>
          </w:p>
        </w:tc>
        <w:tc>
          <w:tcPr>
            <w:tcW w:type="dxa" w:w="3200"/>
            <w:tcBorders>
              <w:top w:val="single" w:color="D9CFE3" w:sz="4"/>
              <w:left w:val="single" w:color="D9CFE3" w:sz="4"/>
              <w:bottom w:val="single" w:color="D9CFE3" w:sz="4"/>
              <w:right w:val="single" w:color="D9CFE3" w:sz="4"/>
            </w:tcBorders>
            <w:shd w:fill="F8F5FB" w:color="auto" w:val="clear"/>
            <w:tcMar>
              <w:top w:type="dxa" w:w="70"/>
              <w:left w:type="dxa" w:w="100"/>
              <w:bottom w:type="dxa" w:w="70"/>
              <w:right w:type="dxa" w:w="100"/>
            </w:tcMar>
            <w:vAlign w:val="center"/>
          </w:tcPr>
          <w:p>
            <w:pPr>
              <w:keepLines/>
              <w:spacing w:after="0" w:line="240"/>
            </w:pPr>
            <w:hyperlink w:history="1" r:id="rId9jpcvxeyhyn3s3w70sndk">
              <w:r>
                <w:rPr>
                  <w:rStyle w:val="Hyperlink"/>
                  <w:color w:val="1A6FA0"/>
                  <w:sz w:val="17"/>
                  <w:szCs w:val="17"/>
                  <w:u w:val="single"/>
                </w:rPr>
                <w:t xml:space="preserve">Did Jaguar Land Rover’s cyber insurance gap help pave the way to 4,000 job losses?</w:t>
              </w:r>
            </w:hyperlink>
            <w:r>
              <w:rPr>
                <w:color w:val="2B2233"/>
                <w:sz w:val="17"/>
                <w:szCs w:val="17"/>
              </w:rPr>
              <w:t xml:space="preserve">. Insurance Business UK, 7 Sep 2026.</w:t>
            </w:r>
          </w:p>
        </w:tc>
        <w:tc>
          <w:tcPr>
            <w:tcW w:type="dxa" w:w="77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C</w:t>
            </w:r>
          </w:p>
        </w:tc>
        <w:tc>
          <w:tcPr>
            <w:tcW w:type="dxa" w:w="1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D2, D5, D6, D7, D8</w:t>
            </w:r>
          </w:p>
        </w:tc>
      </w:tr>
      <w:tr>
        <w:trPr>
          <w:cantSplit/>
        </w:trPr>
        <w:tc>
          <w:tcPr>
            <w:tcW w:type="dxa" w:w="4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29</w:t>
            </w:r>
          </w:p>
        </w:tc>
        <w:tc>
          <w:tcPr>
            <w:tcW w:type="dxa" w:w="3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Precedent: Norsk Hydro (ransomware, March 2019) isolated its plants and many sites ran on manual procedures; its first cyber insurance payout was about $3.6m, roughly 6% of losses to that point (Q3 2019 cost estimate $60m to $71m)</w:t>
            </w:r>
          </w:p>
        </w:tc>
        <w:tc>
          <w:tcPr>
            <w:tcW w:type="dxa" w:w="3200"/>
            <w:tcBorders>
              <w:top w:val="single" w:color="D9CFE3" w:sz="4"/>
              <w:left w:val="single" w:color="D9CFE3" w:sz="4"/>
              <w:bottom w:val="single" w:color="D9CFE3" w:sz="4"/>
              <w:right w:val="single" w:color="D9CFE3" w:sz="4"/>
            </w:tcBorders>
            <w:shd w:fill="FFFFFF" w:color="auto" w:val="clear"/>
            <w:tcMar>
              <w:top w:type="dxa" w:w="70"/>
              <w:left w:type="dxa" w:w="100"/>
              <w:bottom w:type="dxa" w:w="70"/>
              <w:right w:type="dxa" w:w="100"/>
            </w:tcMar>
            <w:vAlign w:val="center"/>
          </w:tcPr>
          <w:p>
            <w:pPr>
              <w:keepLines/>
              <w:spacing w:after="0" w:line="240"/>
            </w:pPr>
            <w:hyperlink w:history="1" r:id="rId1mcnkpvoflppg1t5dt6rb">
              <w:r>
                <w:rPr>
                  <w:rStyle w:val="Hyperlink"/>
                  <w:color w:val="1A6FA0"/>
                  <w:sz w:val="17"/>
                  <w:szCs w:val="17"/>
                  <w:u w:val="single"/>
                </w:rPr>
                <w:t xml:space="preserve">Norsk Hydro receives first cyber insurance payout of $3.6 million for breach-related losses</w:t>
              </w:r>
            </w:hyperlink>
            <w:r>
              <w:rPr>
                <w:color w:val="2B2233"/>
                <w:sz w:val="17"/>
                <w:szCs w:val="17"/>
              </w:rPr>
              <w:t xml:space="preserve">. Computing, 29 Oct 2019.</w:t>
            </w:r>
          </w:p>
        </w:tc>
        <w:tc>
          <w:tcPr>
            <w:tcW w:type="dxa" w:w="77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C</w:t>
            </w:r>
          </w:p>
        </w:tc>
        <w:tc>
          <w:tcPr>
            <w:tcW w:type="dxa" w:w="1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D5, D6, D7, D8</w:t>
            </w:r>
          </w:p>
        </w:tc>
      </w:tr>
      <w:tr>
        <w:trPr>
          <w:cantSplit/>
        </w:trPr>
        <w:tc>
          <w:tcPr>
            <w:tcW w:type="dxa" w:w="4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30</w:t>
            </w:r>
          </w:p>
        </w:tc>
        <w:tc>
          <w:tcPr>
            <w:tcW w:type="dxa" w:w="3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Precedent: Maersk (NotPetya, 2017) reinstalled more than 4,000 servers, 45,000 PCs and 2,500 applications in 10 days, which the chairman said would normally take at least six months; cost reported at $250m to $300m (the article refers to earlier coverage for the cost)</w:t>
            </w:r>
          </w:p>
        </w:tc>
        <w:tc>
          <w:tcPr>
            <w:tcW w:type="dxa" w:w="3200"/>
            <w:tcBorders>
              <w:top w:val="single" w:color="D9CFE3" w:sz="4"/>
              <w:left w:val="single" w:color="D9CFE3" w:sz="4"/>
              <w:bottom w:val="single" w:color="D9CFE3" w:sz="4"/>
              <w:right w:val="single" w:color="D9CFE3" w:sz="4"/>
            </w:tcBorders>
            <w:shd w:fill="F8F5FB" w:color="auto" w:val="clear"/>
            <w:tcMar>
              <w:top w:type="dxa" w:w="70"/>
              <w:left w:type="dxa" w:w="100"/>
              <w:bottom w:type="dxa" w:w="70"/>
              <w:right w:type="dxa" w:w="100"/>
            </w:tcMar>
            <w:vAlign w:val="center"/>
          </w:tcPr>
          <w:p>
            <w:pPr>
              <w:keepLines/>
              <w:spacing w:after="0" w:line="240"/>
            </w:pPr>
            <w:hyperlink w:history="1" r:id="rId6lcervvqti-6k1v1vpl-_">
              <w:r>
                <w:rPr>
                  <w:rStyle w:val="Hyperlink"/>
                  <w:color w:val="1A6FA0"/>
                  <w:sz w:val="17"/>
                  <w:szCs w:val="17"/>
                  <w:u w:val="single"/>
                </w:rPr>
                <w:t xml:space="preserve">Maersk reconstructed entire IT infrastructure in 10 days following NotPetya</w:t>
              </w:r>
            </w:hyperlink>
            <w:r>
              <w:rPr>
                <w:color w:val="2B2233"/>
                <w:sz w:val="17"/>
                <w:szCs w:val="17"/>
              </w:rPr>
              <w:t xml:space="preserve">. Supply Chain Dive, 29 Jan 2018.</w:t>
            </w:r>
          </w:p>
        </w:tc>
        <w:tc>
          <w:tcPr>
            <w:tcW w:type="dxa" w:w="77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7"/>
                <w:szCs w:val="17"/>
              </w:rPr>
              <w:t xml:space="preserve">C</w:t>
            </w:r>
          </w:p>
        </w:tc>
        <w:tc>
          <w:tcPr>
            <w:tcW w:type="dxa" w:w="1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D5, D6, D8</w:t>
            </w:r>
          </w:p>
        </w:tc>
      </w:tr>
    </w:tbl>
    <w:p>
      <w:pPr>
        <w:spacing w:after="160"/>
      </w:pPr>
    </w:p>
    <w:p>
      <w:pPr>
        <w:pStyle w:val="Heading2"/>
        <w:keepNext/>
      </w:pPr>
      <w:r>
        <w:t xml:space="preserve">What the grades mean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400"/>
        <w:gridCol w:w="5626"/>
      </w:tblGrid>
      <w:tr>
        <w:trPr>
          <w:cantSplit/>
          <w:tblHeader/>
        </w:trPr>
        <w:tc>
          <w:tcPr>
            <w:tcW w:type="dxa" w:w="10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9"/>
                <w:szCs w:val="19"/>
              </w:rPr>
              <w:t xml:space="preserve">Grade</w:t>
            </w:r>
          </w:p>
        </w:tc>
        <w:tc>
          <w:tcPr>
            <w:tcW w:type="dxa" w:w="24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9"/>
                <w:szCs w:val="19"/>
              </w:rPr>
              <w:t xml:space="preserve">Type</w:t>
            </w:r>
          </w:p>
        </w:tc>
        <w:tc>
          <w:tcPr>
            <w:tcW w:type="dxa" w:w="56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9"/>
                <w:szCs w:val="19"/>
              </w:rPr>
              <w:t xml:space="preserve">Examples and how much weight it gets</w:t>
            </w:r>
          </w:p>
        </w:tc>
      </w:tr>
      <w:tr>
        <w:trPr>
          <w:cantSplit/>
        </w:trPr>
        <w:tc>
          <w:tcPr>
            <w:tcW w:type="dxa" w:w="1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9"/>
                <w:szCs w:val="19"/>
              </w:rPr>
              <w:t xml:space="preserve">A</w:t>
            </w:r>
          </w:p>
        </w:tc>
        <w:tc>
          <w:tcPr>
            <w:tcW w:type="dxa" w:w="24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Primary or official</w:t>
            </w:r>
          </w:p>
        </w:tc>
        <w:tc>
          <w:tcPr>
            <w:tcW w:type="dxa" w:w="56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The organisation’s own publication or an official body: JLR’s annual report [26][27], the National Cyber Security Centre [10]. Figures can be used directly.</w:t>
            </w:r>
          </w:p>
        </w:tc>
      </w:tr>
      <w:tr>
        <w:trPr>
          <w:cantSplit/>
        </w:trPr>
        <w:tc>
          <w:tcPr>
            <w:tcW w:type="dxa" w:w="10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9"/>
                <w:szCs w:val="19"/>
              </w:rPr>
              <w:t xml:space="preserve">B</w:t>
            </w:r>
          </w:p>
        </w:tc>
        <w:tc>
          <w:tcPr>
            <w:tcW w:type="dxa" w:w="24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Professional analysis</w:t>
            </w:r>
          </w:p>
        </w:tc>
        <w:tc>
          <w:tcPr>
            <w:tcW w:type="dxa" w:w="56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Law-firm commentary on official documents: Gowling WLG [11], Penningtons [12]. Good for regulation, but dated: the Bill is still moving.</w:t>
            </w:r>
          </w:p>
        </w:tc>
      </w:tr>
      <w:tr>
        <w:trPr>
          <w:cantSplit/>
        </w:trPr>
        <w:tc>
          <w:tcPr>
            <w:tcW w:type="dxa" w:w="1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9"/>
                <w:szCs w:val="19"/>
              </w:rPr>
              <w:t xml:space="preserve">C</w:t>
            </w:r>
          </w:p>
        </w:tc>
        <w:tc>
          <w:tcPr>
            <w:tcW w:type="dxa" w:w="24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Media or trade press</w:t>
            </w:r>
          </w:p>
        </w:tc>
        <w:tc>
          <w:tcPr>
            <w:tcW w:type="dxa" w:w="56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News and trade articles relaying other people’s figures. Used to find facts, then cross-checked. A figure that only one article gives is not used in the model.</w:t>
            </w:r>
          </w:p>
        </w:tc>
      </w:tr>
    </w:tbl>
    <w:p>
      <w:pPr>
        <w:pStyle w:val="Heading1"/>
        <w:keepNext/>
      </w:pPr>
      <w:r>
        <w:t xml:space="preserve">Conflicts register</w:t>
      </w:r>
    </w:p>
    <w:p>
      <w:pPr>
        <w:keepNext/>
        <w:keepLines/>
        <w:spacing w:after="100" w:before="0" w:line="276"/>
      </w:pPr>
      <w:r>
        <w:rPr>
          <w:color w:val="2B2233"/>
          <w:sz w:val="21"/>
          <w:szCs w:val="21"/>
        </w:rPr>
        <w:t xml:space="preserve">Where sources disagree, the project uses the value in the last column. Items marked “Resolved” are settled by JLR’s own annual report; the others stay open until a primary document is found.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100"/>
        <w:gridCol w:w="1000"/>
        <w:gridCol w:w="3226"/>
      </w:tblGrid>
      <w:tr>
        <w:trPr>
          <w:cantSplit/>
          <w:tblHeader/>
        </w:trPr>
        <w:tc>
          <w:tcPr>
            <w:tcW w:type="dxa" w:w="17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7"/>
                <w:szCs w:val="17"/>
              </w:rPr>
              <w:t xml:space="preserve">Item</w:t>
            </w:r>
          </w:p>
        </w:tc>
        <w:tc>
          <w:tcPr>
            <w:tcW w:type="dxa" w:w="31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7"/>
                <w:szCs w:val="17"/>
              </w:rPr>
              <w:t xml:space="preserve">What the sources say</w:t>
            </w:r>
          </w:p>
        </w:tc>
        <w:tc>
          <w:tcPr>
            <w:tcW w:type="dxa" w:w="10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7"/>
                <w:szCs w:val="17"/>
              </w:rPr>
              <w:t xml:space="preserve">Sources</w:t>
            </w:r>
          </w:p>
        </w:tc>
        <w:tc>
          <w:tcPr>
            <w:tcW w:type="dxa" w:w="32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7"/>
                <w:szCs w:val="17"/>
              </w:rPr>
              <w:t xml:space="preserve">Value used and why</w:t>
            </w:r>
          </w:p>
        </w:tc>
      </w:tr>
      <w:tr>
        <w:trPr>
          <w:cantSplit/>
        </w:trPr>
        <w:tc>
          <w:tcPr>
            <w:tcW w:type="dxa" w:w="1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Length of shutdown</w:t>
            </w:r>
          </w:p>
        </w:tc>
        <w:tc>
          <w:tcPr>
            <w:tcW w:type="dxa" w:w="3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About five weeks; almost six weeks</w:t>
            </w:r>
          </w:p>
        </w:tc>
        <w:tc>
          <w:tcPr>
            <w:tcW w:type="dxa" w:w="1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[2][27] vs [3]</w:t>
            </w:r>
          </w:p>
        </w:tc>
        <w:tc>
          <w:tcPr>
            <w:tcW w:type="dxa" w:w="32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Resolved: five weeks to restart on 8 October, normal output by mid-November, as JLR’s annual report says [27].</w:t>
            </w:r>
          </w:p>
        </w:tc>
      </w:tr>
      <w:tr>
        <w:trPr>
          <w:cantSplit/>
        </w:trPr>
        <w:tc>
          <w:tcPr>
            <w:tcW w:type="dxa" w:w="1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Start of the attack</w:t>
            </w:r>
          </w:p>
        </w:tc>
        <w:tc>
          <w:tcPr>
            <w:tcW w:type="dxa" w:w="3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Detected 31 August; systems shut down on 2 September</w:t>
            </w:r>
          </w:p>
        </w:tc>
        <w:tc>
          <w:tcPr>
            <w:tcW w:type="dxa" w:w="10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[1] vs [7]</w:t>
            </w:r>
          </w:p>
        </w:tc>
        <w:tc>
          <w:tcPr>
            <w:tcW w:type="dxa" w:w="32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“Late August to early September 2025.” Not important to the analysis.</w:t>
            </w:r>
          </w:p>
        </w:tc>
      </w:tr>
      <w:tr>
        <w:trPr>
          <w:cantSplit/>
        </w:trPr>
        <w:tc>
          <w:tcPr>
            <w:tcW w:type="dxa" w:w="1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Quarterly loss</w:t>
            </w:r>
          </w:p>
        </w:tc>
        <w:tc>
          <w:tcPr>
            <w:tcW w:type="dxa" w:w="3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Loss before tax excluding exceptional items £485m; one article gives a loss of £559m</w:t>
            </w:r>
          </w:p>
        </w:tc>
        <w:tc>
          <w:tcPr>
            <w:tcW w:type="dxa" w:w="1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[2][7] vs [3]</w:t>
            </w:r>
          </w:p>
        </w:tc>
        <w:tc>
          <w:tcPr>
            <w:tcW w:type="dxa" w:w="32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£485m, which two sources give with the same definition. The £559m figure is likely a different measure and is not used.</w:t>
            </w:r>
          </w:p>
        </w:tc>
      </w:tr>
      <w:tr>
        <w:trPr>
          <w:cantSplit/>
        </w:trPr>
        <w:tc>
          <w:tcPr>
            <w:tcW w:type="dxa" w:w="1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Q4 profit before tax</w:t>
            </w:r>
          </w:p>
        </w:tc>
        <w:tc>
          <w:tcPr>
            <w:tcW w:type="dxa" w:w="3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£452m; £458m</w:t>
            </w:r>
          </w:p>
        </w:tc>
        <w:tc>
          <w:tcPr>
            <w:tcW w:type="dxa" w:w="10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[26] vs [5]</w:t>
            </w:r>
          </w:p>
        </w:tc>
        <w:tc>
          <w:tcPr>
            <w:tcW w:type="dxa" w:w="32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Resolved: £452m, from JLR’s annual report [26].</w:t>
            </w:r>
          </w:p>
        </w:tc>
      </w:tr>
      <w:tr>
        <w:trPr>
          <w:cantSplit/>
        </w:trPr>
        <w:tc>
          <w:tcPr>
            <w:tcW w:type="dxa" w:w="1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Direct cyber cost</w:t>
            </w:r>
          </w:p>
        </w:tc>
        <w:tc>
          <w:tcPr>
            <w:tcW w:type="dxa" w:w="3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£196m in the quarter to September; £260m for the full year</w:t>
            </w:r>
          </w:p>
        </w:tc>
        <w:tc>
          <w:tcPr>
            <w:tcW w:type="dxa" w:w="1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[2][7] vs [26]</w:t>
            </w:r>
          </w:p>
        </w:tc>
        <w:tc>
          <w:tcPr>
            <w:tcW w:type="dxa" w:w="32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Resolved: both are right. £196m was booked by September; the full-year figure is £260m [26].</w:t>
            </w:r>
          </w:p>
        </w:tc>
      </w:tr>
      <w:tr>
        <w:trPr>
          <w:cantSplit/>
        </w:trPr>
        <w:tc>
          <w:tcPr>
            <w:tcW w:type="dxa" w:w="1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Supplier financing scheme</w:t>
            </w:r>
          </w:p>
        </w:tc>
        <w:tc>
          <w:tcPr>
            <w:tcW w:type="dxa" w:w="3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A £500m programme; a facility of up to £500m with £37m advanced at year end</w:t>
            </w:r>
          </w:p>
        </w:tc>
        <w:tc>
          <w:tcPr>
            <w:tcW w:type="dxa" w:w="10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[3][19] vs [27]</w:t>
            </w:r>
          </w:p>
        </w:tc>
        <w:tc>
          <w:tcPr>
            <w:tcW w:type="dxa" w:w="32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Resolved: a facility of up to £500m, little used and being wound down [27].</w:t>
            </w:r>
          </w:p>
        </w:tc>
      </w:tr>
      <w:tr>
        <w:trPr>
          <w:cantSplit/>
        </w:trPr>
        <w:tc>
          <w:tcPr>
            <w:tcW w:type="dxa" w:w="1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CMC estimate</w:t>
            </w:r>
          </w:p>
        </w:tc>
        <w:tc>
          <w:tcPr>
            <w:tcW w:type="dxa" w:w="3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A single figure of £1.9bn; a range of £1.6bn to £2.1bn</w:t>
            </w:r>
          </w:p>
        </w:tc>
        <w:tc>
          <w:tcPr>
            <w:tcW w:type="dxa" w:w="1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[8][9] vs [5]</w:t>
            </w:r>
          </w:p>
        </w:tc>
        <w:tc>
          <w:tcPr>
            <w:tcW w:type="dxa" w:w="32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“About £1.9bn”, with the range quoted as one article’s report. The CMC’s own statement is still to be read.</w:t>
            </w:r>
          </w:p>
        </w:tc>
      </w:tr>
      <w:tr>
        <w:trPr>
          <w:cantSplit/>
        </w:trPr>
        <w:tc>
          <w:tcPr>
            <w:tcW w:type="dxa" w:w="1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Organisations affected</w:t>
            </w:r>
          </w:p>
        </w:tc>
        <w:tc>
          <w:tcPr>
            <w:tcW w:type="dxa" w:w="3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“Up to 5,000”; “over 5,000”; “about 5,000 in its supply chain”</w:t>
            </w:r>
          </w:p>
        </w:tc>
        <w:tc>
          <w:tcPr>
            <w:tcW w:type="dxa" w:w="10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[4] vs [8] vs [9]</w:t>
            </w:r>
          </w:p>
        </w:tc>
        <w:tc>
          <w:tcPr>
            <w:tcW w:type="dxa" w:w="32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“About 5,000.” The CMC counts organisations in the JLR supply chain and dealer network, not all UK firms.</w:t>
            </w:r>
          </w:p>
        </w:tc>
      </w:tr>
      <w:tr>
        <w:trPr>
          <w:cantSplit/>
        </w:trPr>
        <w:tc>
          <w:tcPr>
            <w:tcW w:type="dxa" w:w="1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Jobs in the supply chain</w:t>
            </w:r>
          </w:p>
        </w:tc>
        <w:tc>
          <w:tcPr>
            <w:tcW w:type="dxa" w:w="3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About 120,000 jobs depend on JLR; about 200,000 people work across suppliers</w:t>
            </w:r>
          </w:p>
        </w:tc>
        <w:tc>
          <w:tcPr>
            <w:tcW w:type="dxa" w:w="1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[1] vs [15][17]</w:t>
            </w:r>
          </w:p>
        </w:tc>
        <w:tc>
          <w:tcPr>
            <w:tcW w:type="dxa" w:w="32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Quoted as a range, “120,000 to 200,000”. The two figures likely count different things.</w:t>
            </w:r>
          </w:p>
        </w:tc>
      </w:tr>
    </w:tbl>
    <w:p>
      <w:pPr>
        <w:pStyle w:val="Heading1"/>
        <w:keepNext/>
      </w:pPr>
      <w:r>
        <w:t xml:space="preserve">Sources excluded, and why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526"/>
      </w:tblGrid>
      <w:tr>
        <w:trPr>
          <w:cantSplit/>
          <w:tblHeader/>
        </w:trPr>
        <w:tc>
          <w:tcPr>
            <w:tcW w:type="dxa" w:w="35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7"/>
                <w:szCs w:val="17"/>
              </w:rPr>
              <w:t xml:space="preserve">Source</w:t>
            </w:r>
          </w:p>
        </w:tc>
        <w:tc>
          <w:tcPr>
            <w:tcW w:type="dxa" w:w="55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7"/>
                <w:szCs w:val="17"/>
              </w:rPr>
              <w:t xml:space="preserve">Reason</w:t>
            </w:r>
          </w:p>
        </w:tc>
      </w:tr>
      <w:tr>
        <w:trPr>
          <w:cantSplit/>
        </w:trPr>
        <w:tc>
          <w:tcPr>
            <w:tcW w:type="dxa" w:w="3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Make UK manufacturing cyber survey (reported by Drives and Controls)</w:t>
            </w:r>
          </w:p>
        </w:tc>
        <w:tc>
          <w:tcPr>
            <w:tcW w:type="dxa" w:w="55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The article carries a recent date on the page, but the survey it reports is from May 2021. Too old to describe the current threat.</w:t>
            </w:r>
          </w:p>
        </w:tc>
      </w:tr>
      <w:tr>
        <w:trPr>
          <w:cantSplit/>
        </w:trPr>
        <w:tc>
          <w:tcPr>
            <w:tcW w:type="dxa" w:w="3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Cloudswitched articles on UK cyber-security surveys</w:t>
            </w:r>
          </w:p>
        </w:tc>
        <w:tc>
          <w:tcPr>
            <w:tcW w:type="dxa" w:w="55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Unclear authorship and no link to the underlying surveys. Not used.</w:t>
            </w:r>
          </w:p>
        </w:tc>
      </w:tr>
      <w:tr>
        <w:trPr>
          <w:cantSplit/>
        </w:trPr>
        <w:tc>
          <w:tcPr>
            <w:tcW w:type="dxa" w:w="3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CM-Alliance incident timeline</w:t>
            </w:r>
          </w:p>
        </w:tc>
        <w:tc>
          <w:tcPr>
            <w:tcW w:type="dxa" w:w="55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Several entries have no source named (detection date, loss per day, number of staff sent home). Used only to cross-check dates already found elsewhere.</w:t>
            </w:r>
          </w:p>
        </w:tc>
      </w:tr>
      <w:tr>
        <w:trPr>
          <w:cantSplit/>
        </w:trPr>
        <w:tc>
          <w:tcPr>
            <w:tcW w:type="dxa" w:w="3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Other news reports of the £1.9bn figure</w:t>
            </w:r>
          </w:p>
        </w:tc>
        <w:tc>
          <w:tcPr>
            <w:tcW w:type="dxa" w:w="55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Repeat the CMC figure. Two or three are enough; the primary statement is the thing still to find.</w:t>
            </w:r>
          </w:p>
        </w:tc>
      </w:tr>
    </w:tbl>
    <w:p>
      <w:pPr>
        <w:pStyle w:val="Heading1"/>
        <w:keepNext/>
      </w:pPr>
      <w:r>
        <w:t xml:space="preserve">Still to read before the project is final</w:t>
      </w:r>
    </w:p>
    <w:p>
      <w:pPr>
        <w:keepNext/>
        <w:keepLines/>
        <w:spacing w:after="100" w:before="0" w:line="276"/>
      </w:pPr>
      <w:r>
        <w:rPr>
          <w:color w:val="2B2233"/>
          <w:sz w:val="21"/>
          <w:szCs w:val="21"/>
        </w:rPr>
        <w:t xml:space="preserve">JLR’s full Annual Report 2025/26 has now been read [26][27]. These remain open: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3200"/>
        <w:gridCol w:w="2526"/>
      </w:tblGrid>
      <w:tr>
        <w:trPr>
          <w:cantSplit/>
          <w:tblHeader/>
        </w:trPr>
        <w:tc>
          <w:tcPr>
            <w:tcW w:type="dxa" w:w="33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7"/>
                <w:szCs w:val="17"/>
              </w:rPr>
              <w:t xml:space="preserve">Document</w:t>
            </w:r>
          </w:p>
        </w:tc>
        <w:tc>
          <w:tcPr>
            <w:tcW w:type="dxa" w:w="32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7"/>
                <w:szCs w:val="17"/>
              </w:rPr>
              <w:t xml:space="preserve">What it would settle</w:t>
            </w:r>
          </w:p>
        </w:tc>
        <w:tc>
          <w:tcPr>
            <w:tcW w:type="dxa" w:w="25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7"/>
                <w:szCs w:val="17"/>
              </w:rPr>
              <w:t xml:space="preserve">Status</w:t>
            </w:r>
          </w:p>
        </w:tc>
      </w:tr>
      <w:tr>
        <w:trPr>
          <w:cantSplit/>
        </w:trPr>
        <w:tc>
          <w:tcPr>
            <w:tcW w:type="dxa" w:w="3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JLR results release, Q2 FY26 (primary)</w:t>
            </w:r>
          </w:p>
        </w:tc>
        <w:tc>
          <w:tcPr>
            <w:tcW w:type="dxa" w:w="3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Confirms the Q2 figures (£196m, £238m exceptional items, £485m loss before tax), still taken from summaries [2][7]</w:t>
            </w:r>
          </w:p>
        </w:tc>
        <w:tc>
          <w:tcPr>
            <w:tcW w:type="dxa" w:w="25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Official page could not be opened; try via JLR media site</w:t>
            </w:r>
          </w:p>
        </w:tc>
      </w:tr>
      <w:tr>
        <w:trPr>
          <w:cantSplit/>
        </w:trPr>
        <w:tc>
          <w:tcPr>
            <w:tcW w:type="dxa" w:w="3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Cyber Monitoring Centre statement on the JLR event</w:t>
            </w:r>
          </w:p>
        </w:tc>
        <w:tc>
          <w:tcPr>
            <w:tcW w:type="dxa" w:w="3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Confirms £1.9bn, the range, the Category 3 definition and the methodology</w:t>
            </w:r>
          </w:p>
        </w:tc>
        <w:tc>
          <w:tcPr>
            <w:tcW w:type="dxa" w:w="25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Not yet found on the CMC site</w:t>
            </w:r>
          </w:p>
        </w:tc>
      </w:tr>
      <w:tr>
        <w:trPr>
          <w:cantSplit/>
        </w:trPr>
        <w:tc>
          <w:tcPr>
            <w:tcW w:type="dxa" w:w="3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Government policy statement on the Cyber Security and Resilience Bill</w:t>
            </w:r>
          </w:p>
        </w:tc>
        <w:tc>
          <w:tcPr>
            <w:tcW w:type="dxa" w:w="3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Confirms the 24-hour and 72-hour reporting rules and the critical-supplier test</w:t>
            </w:r>
          </w:p>
        </w:tc>
        <w:tc>
          <w:tcPr>
            <w:tcW w:type="dxa" w:w="25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Read only through law-firm summaries [11][12]</w:t>
            </w:r>
          </w:p>
        </w:tc>
      </w:tr>
    </w:tbl>
    <w:p>
      <w:pPr>
        <w:pStyle w:val="Heading1"/>
        <w:keepNext/>
      </w:pPr>
      <w:r>
        <w:t xml:space="preserve">What to check before client use</w:t>
      </w:r>
    </w:p>
    <w:p>
      <w:pPr>
        <w:pStyle w:val="ListParagraph"/>
        <w:keepLines/>
        <w:numPr>
          <w:ilvl w:val="0"/>
          <w:numId w:val="2"/>
        </w:numPr>
        <w:spacing w:after="60" w:line="276"/>
      </w:pPr>
      <w:r>
        <w:rPr>
          <w:b/>
          <w:bCs/>
          <w:color w:val="2B2233"/>
          <w:sz w:val="21"/>
          <w:szCs w:val="21"/>
        </w:rPr>
        <w:t xml:space="preserve">Every number from a grade C source</w:t>
      </w:r>
      <w:r>
        <w:rPr>
          <w:color w:val="2B2233"/>
          <w:sz w:val="21"/>
          <w:szCs w:val="21"/>
        </w:rPr>
        <w:t xml:space="preserve"> needs a primary source before it is published. The £1.9bn Cyber Monitoring Centre estimate and the Q2 figures are the main ones still resting on media reports.</w:t>
      </w:r>
    </w:p>
    <w:p>
      <w:pPr>
        <w:pStyle w:val="ListParagraph"/>
        <w:keepLines/>
        <w:numPr>
          <w:ilvl w:val="0"/>
          <w:numId w:val="2"/>
        </w:numPr>
        <w:spacing w:after="60" w:line="276"/>
      </w:pPr>
      <w:r>
        <w:rPr>
          <w:b/>
          <w:bCs/>
          <w:color w:val="2B2233"/>
          <w:sz w:val="21"/>
          <w:szCs w:val="21"/>
        </w:rPr>
        <w:t xml:space="preserve">Regulatory sources date quickly.</w:t>
      </w:r>
      <w:r>
        <w:rPr>
          <w:color w:val="2B2233"/>
          <w:sz w:val="21"/>
          <w:szCs w:val="21"/>
        </w:rPr>
        <w:t xml:space="preserve"> The Bill’s timetable [11] is from September 2026, and the reporting rules [12] describe the July 2025 proposal. Re-check both before reuse.</w:t>
      </w:r>
    </w:p>
    <w:p>
      <w:pPr>
        <w:pStyle w:val="ListParagraph"/>
        <w:keepLines/>
        <w:numPr>
          <w:ilvl w:val="0"/>
          <w:numId w:val="2"/>
        </w:numPr>
        <w:spacing w:after="60" w:line="276"/>
      </w:pPr>
      <w:r>
        <w:rPr>
          <w:b/>
          <w:bCs/>
          <w:color w:val="2B2233"/>
          <w:sz w:val="21"/>
          <w:szCs w:val="21"/>
        </w:rPr>
        <w:t xml:space="preserve">No JLR internal data was used.</w:t>
      </w:r>
      <w:r>
        <w:rPr>
          <w:color w:val="2B2233"/>
          <w:sz w:val="21"/>
          <w:szCs w:val="21"/>
        </w:rPr>
        <w:t xml:space="preserve"> Security spending, systems design and insurance position are not public, so they are modelled as labelled assumptions in the financial model.</w:t>
      </w:r>
    </w:p>
    <w:p>
      <w:pPr>
        <w:pStyle w:val="ListParagraph"/>
        <w:keepLines/>
        <w:numPr>
          <w:ilvl w:val="0"/>
          <w:numId w:val="2"/>
        </w:numPr>
        <w:spacing w:after="140" w:line="276"/>
      </w:pPr>
      <w:r>
        <w:rPr>
          <w:b/>
          <w:bCs/>
          <w:color w:val="2B2233"/>
          <w:sz w:val="21"/>
          <w:szCs w:val="21"/>
        </w:rPr>
        <w:t xml:space="preserve">The model’s probabilities and costs are not sourced.</w:t>
      </w:r>
      <w:r>
        <w:rPr>
          <w:color w:val="2B2233"/>
          <w:sz w:val="21"/>
          <w:szCs w:val="21"/>
        </w:rPr>
        <w:t xml:space="preserve"> They are illustrative assumptions anchored on the public figures in this log.</w:t>
      </w:r>
    </w:p>
    <w:p>
      <w:pPr>
        <w:pStyle w:val="Heading1"/>
        <w:keepNext/>
      </w:pPr>
      <w:r>
        <w:t xml:space="preserve">Key terms in plain English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blHeader/>
        </w:trPr>
        <w:tc>
          <w:tcPr>
            <w:tcW w:type="dxa" w:w="23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9"/>
                <w:szCs w:val="19"/>
              </w:rPr>
              <w:t xml:space="preserve">Term</w:t>
            </w:r>
          </w:p>
        </w:tc>
        <w:tc>
          <w:tcPr>
            <w:tcW w:type="dxa" w:w="67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9"/>
                <w:szCs w:val="19"/>
              </w:rPr>
              <w:t xml:space="preserve">What it means</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CMC</w:t>
            </w:r>
          </w:p>
        </w:tc>
        <w:tc>
          <w:tcPr>
            <w:tcW w:type="dxa" w:w="6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Cyber Monitoring Centre: an independent body funded by the insurance industry that rates large UK cyber events on a five-point scale.</w:t>
            </w:r>
          </w:p>
        </w:tc>
      </w:tr>
      <w:tr>
        <w:trPr>
          <w:cantSplit/>
        </w:trPr>
        <w:tc>
          <w:tcPr>
            <w:tcW w:type="dxa" w:w="2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NCSC</w:t>
            </w:r>
          </w:p>
        </w:tc>
        <w:tc>
          <w:tcPr>
            <w:tcW w:type="dxa" w:w="67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National Cyber Security Centre: the UK government’s technical authority on cyber security.</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Exceptional items</w:t>
            </w:r>
          </w:p>
        </w:tc>
        <w:tc>
          <w:tcPr>
            <w:tcW w:type="dxa" w:w="6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One-off costs that a company reports separately from its normal results, here the cost of responding to the attack.</w:t>
            </w:r>
          </w:p>
        </w:tc>
      </w:tr>
      <w:tr>
        <w:trPr>
          <w:cantSplit/>
        </w:trPr>
        <w:tc>
          <w:tcPr>
            <w:tcW w:type="dxa" w:w="2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Primary source</w:t>
            </w:r>
          </w:p>
        </w:tc>
        <w:tc>
          <w:tcPr>
            <w:tcW w:type="dxa" w:w="67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The original document or data, such as a company report, rather than an article describing it.</w:t>
            </w:r>
          </w:p>
        </w:tc>
      </w:tr>
    </w:tbl>
    <w:sectPr>
      <w:headerReference w:type="default" r:id="rId7"/>
      <w:footerReference w:type="default" r:id="rId8"/>
      <w:pgSz w:w="11906" w:h="16838" w:orient="portrait"/>
      <w:pgMar w:top="1300" w:right="1440" w:bottom="1250" w:left="1440"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FE3" w:sz="6" w:space="4"/>
      </w:pBdr>
      <w:tabs>
        <w:tab w:val="right" w:pos="9026"/>
      </w:tabs>
      <w:spacing w:before="0"/>
    </w:pPr>
    <w:r>
      <w:rPr>
        <w:color w:val="6E6378"/>
        <w:sz w:val="15"/>
        <w:szCs w:val="15"/>
      </w:rPr>
      <w:t xml:space="preserve">Independent portfolio analysis using public information only. Not affiliated with or endorsed by JLR or Tata Motors. Model inputs are illustrative.</w:t>
    </w:r>
    <w:r>
      <w:rPr>
        <w:color w:val="6E6378"/>
        <w:sz w:val="17"/>
        <w:szCs w:val="17"/>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FE3" w:sz="6" w:space="4"/>
      </w:pBdr>
      <w:tabs>
        <w:tab w:val="right" w:pos="9026"/>
      </w:tabs>
      <w:spacing w:after="0"/>
    </w:pPr>
    <w:r>
      <w:rPr>
        <w:color w:val="6E6378"/>
        <w:sz w:val="17"/>
        <w:szCs w:val="17"/>
      </w:rPr>
      <w:t xml:space="preserve">JLR: The Business Case for Cyber Resilience</w:t>
    </w:r>
    <w:r>
      <w:rPr>
        <w:color w:val="6E6378"/>
        <w:sz w:val="17"/>
        <w:szCs w:val="17"/>
      </w:rPr>
      <w:t xml:space="preserve">	Deliverable 1 of 13 · Source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6B3F7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2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340"/>
      <w:outlineLvl w:val="0"/>
    </w:pPr>
    <w:rPr>
      <w:rFonts w:ascii="Cambria" w:cs="Cambria" w:eastAsia="Cambria" w:hAnsi="Cambria"/>
      <w:b/>
      <w:bCs/>
      <w:color w:val="483050"/>
      <w:sz w:val="32"/>
      <w:szCs w:val="32"/>
    </w:rPr>
  </w:style>
  <w:style w:type="paragraph" w:styleId="Heading2">
    <w:name w:val="Heading 2"/>
    <w:basedOn w:val="Normal"/>
    <w:next w:val="Normal"/>
    <w:qFormat/>
    <w:pPr>
      <w:spacing w:after="90" w:before="220"/>
      <w:outlineLvl w:val="1"/>
    </w:pPr>
    <w:rPr>
      <w:rFonts w:ascii="Calibri" w:cs="Calibri" w:eastAsia="Calibri" w:hAnsi="Calibri"/>
      <w:b/>
      <w:bCs/>
      <w:color w:val="6B3F7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rlretzk3lgr_jg9vzn-a" Type="http://schemas.openxmlformats.org/officeDocument/2006/relationships/hyperlink" Target="https://finance.yahoo.com/news/uk-government-bails-jaguar-land-140002937.html" TargetMode="External"/><Relationship Id="rIdioju_7abys17otaf8n0kc" Type="http://schemas.openxmlformats.org/officeDocument/2006/relationships/hyperlink" Target="https://www.tyrepress.com/2025/11/jlr-cyber-attack-results-in-tata-loss/" TargetMode="External"/><Relationship Id="rId_dxjipyhppyl8ee4-mrsb" Type="http://schemas.openxmlformats.org/officeDocument/2006/relationships/hyperlink" Target="https://www.ttnews.com/articles/jlr-earnings-q3-2025" TargetMode="External"/><Relationship Id="rId7o3kjdi0hosdgqd8aefkp" Type="http://schemas.openxmlformats.org/officeDocument/2006/relationships/hyperlink" Target="https://www.prolificnorth.co.uk/news/1-9bn-jlr-hack-most-economically-damaging-cyber-event-to-hit-the-uk-says-cybersecurity-body/" TargetMode="External"/><Relationship Id="rIdju0vlbj7t-0uv7n9uh1nx" Type="http://schemas.openxmlformats.org/officeDocument/2006/relationships/hyperlink" Target="https://www.computerweekly.com/news/366643119/Jaguar-Land-Rover-profit-slumps-after-cyber-attack" TargetMode="External"/><Relationship Id="rIdptrhcerkpdcvcvl2b8tcv" Type="http://schemas.openxmlformats.org/officeDocument/2006/relationships/hyperlink" Target="https://jlr.com/annual-report-2026" TargetMode="External"/><Relationship Id="rIdvlbxfkjj6jbpgandzbfuc" Type="http://schemas.openxmlformats.org/officeDocument/2006/relationships/hyperlink" Target="https://jec.org.uk/2025/jlr-reports-q2-fy26-results-cyber-attack-effects-recovery-and-the-road-ahead/" TargetMode="External"/><Relationship Id="rIdn1kj8lekzbhd0e44xyzjn" Type="http://schemas.openxmlformats.org/officeDocument/2006/relationships/hyperlink" Target="https://www.infosecurity-magazine.com/news/jlr-hack-uk-costliest-ever-19bn/" TargetMode="External"/><Relationship Id="rId7zxqnvudz3gcbtui2gbmf" Type="http://schemas.openxmlformats.org/officeDocument/2006/relationships/hyperlink" Target="https://www.computing.co.uk/news/2025/security/jlr-attack-most-expensive-in-uk-history" TargetMode="External"/><Relationship Id="rIdqblbznm54zs5fsnixsqur" Type="http://schemas.openxmlformats.org/officeDocument/2006/relationships/hyperlink" Target="https://www.ncsc.gov.uk/collection/ncsc-annual-review-2025/chapter-01-cyber-threat-to-the-uk/incident-management" TargetMode="External"/><Relationship Id="rId_lew8fe217jclx8ciktpv" Type="http://schemas.openxmlformats.org/officeDocument/2006/relationships/hyperlink" Target="https://www.mondaq.com/cyber-security-and-resilience-bill-whats-the-latest-and-what-should-businesses-do-now/1845068" TargetMode="External"/><Relationship Id="rIdyi5srgayahv4fhkovnshq" Type="http://schemas.openxmlformats.org/officeDocument/2006/relationships/hyperlink" Target="https://www.penningtonslaw.com/insights/cyber-security-and-resilience-bill-what-will-it-do/" TargetMode="External"/><Relationship Id="rIdtb5hnd6etxufl8mdbai0j" Type="http://schemas.openxmlformats.org/officeDocument/2006/relationships/hyperlink" Target="https://www.infosecurity-magazine.com/news/uk-ransomware-payment-ban/" TargetMode="External"/><Relationship Id="rIdboe_xdfc2rohdpnum6guv" Type="http://schemas.openxmlformats.org/officeDocument/2006/relationships/hyperlink" Target="https://www.theinsurer.com/cyber-risk/news/cyber-monitoring-centre-ranks-jlr-cyberattack-as-category-three-event-2025-10-22" TargetMode="External"/><Relationship Id="rIdblgjcexyhyy7ckfztyekx" Type="http://schemas.openxmlformats.org/officeDocument/2006/relationships/hyperlink" Target="https://www.itv.com/news/central/2025-09-23/jlr-extends-shutdown-until-october-as-cyber-attack-continues-to-halt-production" TargetMode="External"/><Relationship Id="rIddtyu-zpttikiwstcx46e2" Type="http://schemas.openxmlformats.org/officeDocument/2006/relationships/hyperlink" Target="https://www.cybersecuritydive.com/news/jaguar-land-rover-production-delay-cyberattack/760254/" TargetMode="External"/><Relationship Id="rIdvnxlvdwvdqeyt_xrxzhww" Type="http://schemas.openxmlformats.org/officeDocument/2006/relationships/hyperlink" Target="https://www.infosecurity-magazine.com/news/jaguar-land-rover-extends/" TargetMode="External"/><Relationship Id="rId8yu51ngqwslcl7hbrvmoi" Type="http://schemas.openxmlformats.org/officeDocument/2006/relationships/hyperlink" Target="https://www.teiss.co.uk/news/jaguar-land-rover-resumes-production-following-significant-cyberattack-16531" TargetMode="External"/><Relationship Id="rIdlpxzuciw8m28aes27_pvq" Type="http://schemas.openxmlformats.org/officeDocument/2006/relationships/hyperlink" Target="https://www.automotiveworld.com/news/jlr-restarts-manufacturing-and-introduces-new-financing-solution-to-pay-jlr-suppliers-early/" TargetMode="External"/><Relationship Id="rIdmvbtyllqq70qlzd1mn58r" Type="http://schemas.openxmlformats.org/officeDocument/2006/relationships/hyperlink" Target="https://www.automotiveworld.com/news-releases/jlr-delivers-strong-full-year-performance/" TargetMode="External"/><Relationship Id="rIdel8b4a1y3xk-qfsmgudwd" Type="http://schemas.openxmlformats.org/officeDocument/2006/relationships/hyperlink" Target="https://www.jlr.com/annual-report-2025" TargetMode="External"/><Relationship Id="rIdtz3o67upk7s4_5cc3htl2" Type="http://schemas.openxmlformats.org/officeDocument/2006/relationships/hyperlink" Target="https://www.angelone.in/news/share-market/tata-motors-jlr-reports-rise-in-q4-fy25-dispatches-retail-sales-dip" TargetMode="External"/><Relationship Id="rIdlj9fnwx_bzqank8cssigh" Type="http://schemas.openxmlformats.org/officeDocument/2006/relationships/hyperlink" Target="https://www.automotiveworld.com/news-releases/jlr-volumes-down-in-challenging-quarter/" TargetMode="External"/><Relationship Id="rIdrgt_uvdvz3liv9rjf6zou" Type="http://schemas.openxmlformats.org/officeDocument/2006/relationships/hyperlink" Target="https://www.jlr.com/news/2026/01/jlr-q3-sales-impacted-cyber-incident-previously-indicated" TargetMode="External"/><Relationship Id="rIdgi9a2mzhd4c06lxgm5e9z" Type="http://schemas.openxmlformats.org/officeDocument/2006/relationships/hyperlink" Target="https://finance.yahoo.com/news/jlr-cites-cyberattack-u-tariffs-094900056.html" TargetMode="External"/><Relationship Id="rIdv4kcgtha_xwmfweclss7v" Type="http://schemas.openxmlformats.org/officeDocument/2006/relationships/hyperlink" Target="https://www.jlr.com/annual-report-2026" TargetMode="External"/><Relationship Id="rIdccny2ngwmxcpigkc_oz7h" Type="http://schemas.openxmlformats.org/officeDocument/2006/relationships/hyperlink" Target="https://www.jlr.com/annual-report-2026" TargetMode="External"/><Relationship Id="rId9jpcvxeyhyn3s3w70sndk" Type="http://schemas.openxmlformats.org/officeDocument/2006/relationships/hyperlink" Target="https://www.insurancebusinessmag.com/uk/news/cyber/did-jaguar-land-rovers-cyber-insurance-gap-help-pave-the-way-to-4000-job-losses-588902.aspx" TargetMode="External"/><Relationship Id="rId1mcnkpvoflppg1t5dt6rb" Type="http://schemas.openxmlformats.org/officeDocument/2006/relationships/hyperlink" Target="https://computing.co.uk/news/3083156/norsk-hydro-receives-first-cyber-insurance-payout-of-usd36-million-for-breach-related-losses" TargetMode="External"/><Relationship Id="rId6lcervvqti-6k1v1vpl-_" Type="http://schemas.openxmlformats.org/officeDocument/2006/relationships/hyperlink" Target="https://www.supplychaindive.com/news/maersk-reconstructed-entire-it-infrastructure-in-10-days-following-nyetya/515776/" TargetMode="External"/><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Log (Deliverable 1 of 13)</dc:title>
  <dc:creator>Portfolio project</dc:creator>
  <dc:description>JLR: The Business Case for Cyber Resilience (portfolio project 1)</dc:description>
  <cp:lastModifiedBy>Un-named</cp:lastModifiedBy>
  <cp:revision>1</cp:revision>
  <dcterms:created xsi:type="dcterms:W3CDTF">2026-10-21T02:24:36.513Z</dcterms:created>
  <dcterms:modified xsi:type="dcterms:W3CDTF">2026-10-21T02:24:36.513Z</dcterms:modified>
</cp:coreProperties>
</file>

<file path=docProps/custom.xml><?xml version="1.0" encoding="utf-8"?>
<Properties xmlns="http://schemas.openxmlformats.org/officeDocument/2006/custom-properties" xmlns:vt="http://schemas.openxmlformats.org/officeDocument/2006/docPropsVTypes"/>
</file>