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3F7F"/>
          <w:spacing w:val="40"/>
          <w:sz w:val="18"/>
          <w:szCs w:val="18"/>
        </w:rPr>
        <w:t xml:space="preserve">PROJECT 1 · DELIVERABLE 7 OF 13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color w:val="483050"/>
          <w:sz w:val="52"/>
          <w:szCs w:val="52"/>
        </w:rPr>
        <w:t xml:space="preserve">Risk Register</w:t>
      </w:r>
    </w:p>
    <w:p>
      <w:pPr>
        <w:spacing w:after="200" w:line="270"/>
      </w:pPr>
      <w:r>
        <w:rPr>
          <w:color w:val="6E6378"/>
          <w:sz w:val="24"/>
          <w:szCs w:val="24"/>
        </w:rPr>
        <w:t xml:space="preserve">What could go wrong with the cyber event and with the programme to deal with it, scored before and after treatment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83050" w:sz="6"/>
              <w:left w:val="single" w:color="483050" w:sz="6"/>
              <w:bottom w:val="single" w:color="483050" w:sz="6"/>
              <w:right w:val="single" w:color="483050" w:sz="6"/>
            </w:tcBorders>
            <w:shd w:fill="F3EE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483050"/>
                <w:sz w:val="22"/>
                <w:szCs w:val="22"/>
              </w:rPr>
              <w:t xml:space="preserve">At a glance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15 risks, two rated High before treatment.</w:t>
            </w:r>
            <w:r>
              <w:rPr>
                <w:color w:val="2B2233"/>
                <w:sz w:val="21"/>
                <w:szCs w:val="21"/>
              </w:rPr>
              <w:t xml:space="preserve"> They are an intrusion that causes a multi-week stop (R1) and backups or recovery tools compromised by the same attacker (R3). Thirteen more are Medium.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After treatment, none is High, five stay Medium and ten are Low.</w:t>
            </w:r>
            <w:r>
              <w:rPr>
                <w:color w:val="2B2233"/>
                <w:sz w:val="21"/>
                <w:szCs w:val="21"/>
              </w:rPr>
              <w:t xml:space="preserve"> R1 stays at 12 because the recommended programme (staged Option B) shortens the stop but does not reduce the chance of the event.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The risk that the business case itself is wrong (R6) matters most for the decision.</w:t>
            </w:r>
            <w:r>
              <w:rPr>
                <w:color w:val="2B2233"/>
                <w:sz w:val="21"/>
                <w:szCs w:val="21"/>
              </w:rPr>
              <w:t xml:space="preserve"> Deliverable 6 shows recovery pays back only if savings are large. The stage gates in Deliverable 9 are its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All scores are my judgement from public evidence.</w:t>
            </w:r>
            <w:r>
              <w:rPr>
                <w:color w:val="2B2233"/>
                <w:sz w:val="21"/>
                <w:szCs w:val="21"/>
              </w:rPr>
              <w:t xml:space="preserve"> Public information cannot show JLR’s actual controls, so the register tests the design, not JLR’s current state.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t xml:space="preserve">Purpose and scope</w:t>
      </w:r>
    </w:p>
    <w:p>
      <w:pPr>
        <w:keepLines/>
        <w:spacing w:after="100" w:before="0" w:line="276"/>
      </w:pPr>
      <w:r>
        <w:rPr>
          <w:color w:val="2B2233"/>
          <w:sz w:val="21"/>
          <w:szCs w:val="21"/>
        </w:rPr>
        <w:t xml:space="preserve">This register covers two kinds of risk: those from the cyber event itself, and those that could stop the recommended programme working or paying back. The programme is staged Option B from Deliverable 6: tiered recovery, a clean rebuild and assured restart, degraded modes including supplier payments, and rehearsal, with prevention and insurance held as options.</w:t>
      </w:r>
    </w:p>
    <w:p>
      <w:pPr>
        <w:pStyle w:val="Heading2"/>
        <w:keepNext/>
      </w:pPr>
      <w:r>
        <w:t xml:space="preserve">How the risks were scored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063"/>
        <w:gridCol w:w="4063"/>
      </w:tblGrid>
      <w:tr>
        <w:trPr>
          <w:cantSplit/>
          <w:tblHeader/>
        </w:trPr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406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Likelihood within three years</w:t>
            </w:r>
          </w:p>
        </w:tc>
        <w:tc>
          <w:tcPr>
            <w:tcW w:type="dxa" w:w="406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Impact on JLR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5</w:t>
            </w:r>
          </w:p>
        </w:tc>
        <w:tc>
          <w:tcPr>
            <w:tcW w:type="dxa" w:w="406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More than 50%</w:t>
            </w:r>
          </w:p>
        </w:tc>
        <w:tc>
          <w:tcPr>
            <w:tcW w:type="dxa" w:w="406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Loss above £500m or a stop of more than four weeks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4</w:t>
            </w:r>
          </w:p>
        </w:tc>
        <w:tc>
          <w:tcPr>
            <w:tcW w:type="dxa" w:w="406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30% to 50%</w:t>
            </w:r>
          </w:p>
        </w:tc>
        <w:tc>
          <w:tcPr>
            <w:tcW w:type="dxa" w:w="406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£100m to £500m, or a stop of one to four weeks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3</w:t>
            </w:r>
          </w:p>
        </w:tc>
        <w:tc>
          <w:tcPr>
            <w:tcW w:type="dxa" w:w="406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10% to 30%</w:t>
            </w:r>
          </w:p>
        </w:tc>
        <w:tc>
          <w:tcPr>
            <w:tcW w:type="dxa" w:w="406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£20m to £100m, or a stop of several days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2</w:t>
            </w:r>
          </w:p>
        </w:tc>
        <w:tc>
          <w:tcPr>
            <w:tcW w:type="dxa" w:w="406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3% to 10%</w:t>
            </w:r>
          </w:p>
        </w:tc>
        <w:tc>
          <w:tcPr>
            <w:tcW w:type="dxa" w:w="406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£5m to £20m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6"/>
                <w:szCs w:val="16"/>
              </w:rPr>
              <w:t xml:space="preserve">1</w:t>
            </w:r>
          </w:p>
        </w:tc>
        <w:tc>
          <w:tcPr>
            <w:tcW w:type="dxa" w:w="406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Under 3%</w:t>
            </w:r>
          </w:p>
        </w:tc>
        <w:tc>
          <w:tcPr>
            <w:tcW w:type="dxa" w:w="406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Under £5m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Score = likelihood × impact. High is 15 or more, Medium 8 to 14, Low 7 or less. The money bands follow the loss sizes in Deliverable 6, where a JLR-scale event costs about £1.0bn.</w:t>
      </w:r>
    </w:p>
    <w:p>
      <w:pPr>
        <w:pStyle w:val="Heading1"/>
        <w:keepNext/>
      </w:pPr>
      <w:r>
        <w:t xml:space="preserve">Where the risks sit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4762500" cy="24479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Figure 1. Risk positions before and after treatment. Red cells are High, amber Medium, lilac Low.</w:t>
      </w:r>
    </w:p>
    <w:p>
      <w:pPr>
        <w:pStyle w:val="Heading1"/>
        <w:keepNext/>
      </w:pPr>
      <w:r>
        <w:t xml:space="preserve">The register</w:t>
      </w:r>
    </w:p>
    <w:p>
      <w:pPr>
        <w:keepNext/>
        <w:keepLines/>
        <w:spacing w:after="100" w:before="0" w:line="276"/>
      </w:pPr>
      <w:r>
        <w:rPr>
          <w:color w:val="2B2233"/>
          <w:sz w:val="21"/>
          <w:szCs w:val="21"/>
        </w:rPr>
        <w:t xml:space="preserve">Risks are listed from highest to lowest score before treatment. Evidence numbers in brackets match the Source Log (Deliverable 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500"/>
        <w:gridCol w:w="450"/>
        <w:gridCol w:w="450"/>
        <w:gridCol w:w="700"/>
        <w:gridCol w:w="1100"/>
        <w:gridCol w:w="1226"/>
      </w:tblGrid>
      <w:tr>
        <w:trPr>
          <w:cantSplit/>
          <w:tblHeader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Risk and why it matters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After (L × I)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Rating after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Intrusion leads to a multi-week production stop.</w:t>
            </w:r>
            <w:r>
              <w:rPr>
                <w:color w:val="2B2233"/>
                <w:sz w:val="15"/>
                <w:szCs w:val="15"/>
              </w:rPr>
              <w:t xml:space="preserve"> Criminal groups target UK manufacturers. NCSC handled 204 nationally significant incidents in a year, up from 89 [10]. JLR was stopped for five weeks [27].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5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E8BDC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15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 × 4 = 12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R3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Backups or recovery tools are compromised by the same attacker.</w:t>
            </w:r>
            <w:r>
              <w:rPr>
                <w:color w:val="2B2233"/>
                <w:sz w:val="15"/>
                <w:szCs w:val="15"/>
              </w:rPr>
              <w:t xml:space="preserve"> Attackers who reach the network can look for the means of recovery. Rebuild from a clean state was central to the restart [27].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5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E8BDC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15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2 × 5 = 10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R2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Recovery plan fails when it is used.</w:t>
            </w:r>
            <w:r>
              <w:rPr>
                <w:color w:val="2B2233"/>
                <w:sz w:val="15"/>
                <w:szCs w:val="15"/>
              </w:rPr>
              <w:t xml:space="preserve"> Plans that have not been run end to end tend to rest on assumptions. JLR restarted in phases over several weeks [27][19].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2 × 4 = 8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R4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Suppliers cannot be paid or fail during a stop.</w:t>
            </w:r>
            <w:r>
              <w:rPr>
                <w:color w:val="2B2233"/>
                <w:sz w:val="15"/>
                <w:szCs w:val="15"/>
              </w:rPr>
              <w:t xml:space="preserve"> JLR set up supplier financing and a manual invoice system [19]; the facility was little used [27]. The CMC estimated about 5,000 organisations were affected [8][9].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2 × 3 = 6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E4DD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R6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Benefit assumptions are wrong (savings smaller than needed).</w:t>
            </w:r>
            <w:r>
              <w:rPr>
                <w:color w:val="2B2233"/>
                <w:sz w:val="15"/>
                <w:szCs w:val="15"/>
              </w:rPr>
              <w:t xml:space="preserve"> Weeks saved, probability and costs are placeholders (Deliverable 6). Break-even needs about 3.9 weeks at central inputs.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2 × 3 = 6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E4DD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R7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Plant time is not available for rehearsals.</w:t>
            </w:r>
            <w:r>
              <w:rPr>
                <w:color w:val="2B2233"/>
                <w:sz w:val="15"/>
                <w:szCs w:val="15"/>
              </w:rPr>
              <w:t xml:space="preserve"> Rehearsals and manual-mode drills take time on live plants. Production teams are measured on output.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4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 × 2 = 6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E4DD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R12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Over-reliance on government support.</w:t>
            </w:r>
            <w:r>
              <w:rPr>
                <w:color w:val="2B2233"/>
                <w:sz w:val="15"/>
                <w:szCs w:val="15"/>
              </w:rPr>
              <w:t xml:space="preserve"> The government backed a £1.5bn facility [18]; the CMC chair called the bailout “an unfortunate precedent” [28].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2 × 3 = 6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E4DD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R14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False confidence: rehearsals pass but a real event differs.</w:t>
            </w:r>
            <w:r>
              <w:rPr>
                <w:color w:val="2B2233"/>
                <w:sz w:val="15"/>
                <w:szCs w:val="15"/>
              </w:rPr>
              <w:t xml:space="preserve"> Scripted exercises test what was imagined. Real events bring surprises, such as which system the attacker reaches first.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2 × 4 = 8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R15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Attack arrives through a supplier or managed service provider.</w:t>
            </w:r>
            <w:r>
              <w:rPr>
                <w:color w:val="2B2233"/>
                <w:sz w:val="15"/>
                <w:szCs w:val="15"/>
              </w:rPr>
              <w:t xml:space="preserve"> Suppliers and managed service providers are being brought into the Bill’s scope [12]. JLR’s supply chain is large and shared.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 × 3 = 9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R5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Data theft brings regulatory and legal consequences.</w:t>
            </w:r>
            <w:r>
              <w:rPr>
                <w:color w:val="2B2233"/>
                <w:sz w:val="15"/>
                <w:szCs w:val="15"/>
              </w:rPr>
              <w:t xml:space="preserve"> JLR confirmed some data was taken [16]. The proposed Bill sets 24-hour notification and 72-hour full report [12].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9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2 × 3 = 6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E4DD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R8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Programme cost exceeds the loss it avoids.</w:t>
            </w:r>
            <w:r>
              <w:rPr>
                <w:color w:val="2B2233"/>
                <w:sz w:val="15"/>
                <w:szCs w:val="15"/>
              </w:rPr>
              <w:t xml:space="preserve"> Expected loss avoided is about £41m at central inputs against an £80m programme (Deliverable 6).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9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2 × 2 = 4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E4DD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R9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Scope grows into a broad prevention programme.</w:t>
            </w:r>
            <w:r>
              <w:rPr>
                <w:color w:val="2B2233"/>
                <w:sz w:val="15"/>
                <w:szCs w:val="15"/>
              </w:rPr>
              <w:t xml:space="preserve"> Prevention-first scored lowest in Deliverable 5 and is the costliest option in Deliverable 6.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9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2 × 2 = 4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E4DD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R10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Skills shortage in recovery engineering and plant security.</w:t>
            </w:r>
            <w:r>
              <w:rPr>
                <w:color w:val="2B2233"/>
                <w:sz w:val="15"/>
                <w:szCs w:val="15"/>
              </w:rPr>
              <w:t xml:space="preserve"> Recovery and plant-security skills are scarce and shared with suppliers and competitors. (My judgement; no public source.)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9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2 × 3 = 6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E4DD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R11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Insurance is unavailable or too expensive after a major loss.</w:t>
            </w:r>
            <w:r>
              <w:rPr>
                <w:color w:val="2B2233"/>
                <w:sz w:val="15"/>
                <w:szCs w:val="15"/>
              </w:rPr>
              <w:t xml:space="preserve"> JLR’s policy was unfinished when it was attacked [28]. The protection gap for large losses can reach 90% [28]; Hydro recovered about 6% early on [29].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9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 × 2 = 6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E4DD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R13</w:t>
            </w:r>
          </w:p>
        </w:tc>
        <w:tc>
          <w:tcPr>
            <w:tcW w:type="dxa" w:w="4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New regulation raises obligations or cost.</w:t>
            </w:r>
            <w:r>
              <w:rPr>
                <w:color w:val="2B2233"/>
                <w:sz w:val="15"/>
                <w:szCs w:val="15"/>
              </w:rPr>
              <w:t xml:space="preserve"> The Cyber Security and Resilience Bill is at Report Stage with 24-hour and 72-hour reporting [11][12].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4</w:t>
            </w:r>
          </w:p>
        </w:tc>
        <w:tc>
          <w:tcPr>
            <w:tcW w:type="dxa" w:w="4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2</w:t>
            </w:r>
          </w:p>
        </w:tc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3E2A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8</w:t>
            </w:r>
          </w:p>
        </w:tc>
        <w:tc>
          <w:tcPr>
            <w:tcW w:type="dxa" w:w="1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5"/>
                <w:szCs w:val="15"/>
              </w:rPr>
              <w:t xml:space="preserve">3 × 2 = 6</w:t>
            </w:r>
          </w:p>
        </w:tc>
        <w:tc>
          <w:tcPr>
            <w:tcW w:type="dxa" w:w="12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E4DD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Low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Treatment, early warning and ownership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700"/>
        <w:gridCol w:w="2826"/>
        <w:gridCol w:w="1900"/>
      </w:tblGrid>
      <w:tr>
        <w:trPr>
          <w:cantSplit/>
          <w:tblHeader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Treatment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Early-warning indicator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Suggested owner (role)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Option B cuts the length of the stop, not the chance of the event. Targeted prevention only if Deliverable 6 gates allow.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Number of high-severity security incidents on tier 1 and tier 2 systems each quarter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Chief Information Security Officer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R3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Keep immutable, offline copies and golden images in an isolated recovery enclave with its own identity.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Share of tier 0 to 2 data held in immutable offline copies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Chief Information Security Officer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R2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Rehearse tier by tier, then plant by plant. Record the measured restore times and fix what fails.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Share of rehearsal findings closed within 90 days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Programme Director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R4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Agree a manual payment route with the main suppliers in advance, with pre-approved financing terms.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Share of top suppliers (by spend) with an agreed manual payment route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Chief Financial Officer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R6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Stage gates tied to measured restore times and the break-even rule; stop or re-scope if the rule fails.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Measured weeks saved against the break-even needed at each gate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Chief Financial Officer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R7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Schedule drills in planned shutdowns; agree a rehearsal calendar with plant directors at the start.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Rehearsals completed against calendar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Manufacturing Director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R12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Plan for self-funded liquidity; do not count on a repeat of the support in any case.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Liquidity headroom against the £1bn covenant [26]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Chief Financial Officer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R14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Unscripted exercises and red-team scenarios; rotate the scenario each year.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Share of rehearsals using an unannounced scenario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Chief Operating Officer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R15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Restrict and monitor third-party access to plant and recovery systems; include key suppliers in rehearsals.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Third-party accounts with standing access to tier 1 and 2 systems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Head of Procurement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R5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Pre-agreed notification process with legal and the regulators; data-minimisation review for tier 1 systems.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Time from decision to notify to regulator notification, in rehearsal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Legal and Compliance Director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R8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Fund in stages; cumulative spend capped by the gate rule; track cost per week of saving.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Cumulative spend against gate budget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Programme Director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R9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Change control: new prevention work needs a named weakness and a cost and saving case.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Number of scope changes approved outside gates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Programme Director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R10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Mix of in-house leads and framework partners; retain key staff through the programme.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Vacancies in key roles beyond 60 days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Chief Information Security Officer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R11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Treat insurance as an option, not part of the core. Obtain quotes before any decision.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Quoted premium per £m of limit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Treasurer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5"/>
                <w:szCs w:val="15"/>
              </w:rPr>
              <w:t xml:space="preserve">R13</w:t>
            </w:r>
          </w:p>
        </w:tc>
        <w:tc>
          <w:tcPr>
            <w:tcW w:type="dxa" w:w="3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Design the response process to the proposed standard now; track the Bill through to Royal Assent.</w:t>
            </w:r>
          </w:p>
        </w:tc>
        <w:tc>
          <w:tcPr>
            <w:tcW w:type="dxa" w:w="28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Gaps against the Bill’s notification and resilience duties</w:t>
            </w:r>
          </w:p>
        </w:tc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5"/>
                <w:szCs w:val="15"/>
              </w:rPr>
              <w:t xml:space="preserve">Legal and Compliance Director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Owners are suggested roles, not named people. JLR’s own governance is not public beyond the board-level oversight of information security described in its annual report [27].</w:t>
      </w:r>
    </w:p>
    <w:p>
      <w:pPr>
        <w:pStyle w:val="Heading1"/>
        <w:keepNext/>
      </w:pPr>
      <w:r>
        <w:t xml:space="preserve">What the register says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R1 cannot be treated away.</w:t>
      </w:r>
      <w:r>
        <w:rPr>
          <w:color w:val="2B2233"/>
          <w:sz w:val="21"/>
          <w:szCs w:val="21"/>
        </w:rPr>
        <w:t xml:space="preserve"> A determined attacker may still get in. Recovery cuts the impact from 5 to 4, so the residual score is 12. Targeted prevention is the only lever on likelihood, and Deliverable 6 does not justify it on expected value.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R3 decides whether recovery works.</w:t>
      </w:r>
      <w:r>
        <w:rPr>
          <w:color w:val="2B2233"/>
          <w:sz w:val="21"/>
          <w:szCs w:val="21"/>
        </w:rPr>
        <w:t xml:space="preserve"> If the attacker can reach the backups and golden images, a rebuild starts again from nothing. The recovery enclave in Deliverable 8 is the treatment, and R3 is the risk the programme cannot afford to skip.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R6, R8 and R9 are the programme’s own risks.</w:t>
      </w:r>
      <w:r>
        <w:rPr>
          <w:color w:val="2B2233"/>
          <w:sz w:val="21"/>
          <w:szCs w:val="21"/>
        </w:rPr>
        <w:t xml:space="preserve"> They are treated by the stage gates and the cost rule in Deliverable 9, which stop spend if measured savings fall short.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R4, R11 and R12 concern money and the supply chain.</w:t>
      </w:r>
      <w:r>
        <w:rPr>
          <w:color w:val="2B2233"/>
          <w:sz w:val="21"/>
          <w:szCs w:val="21"/>
        </w:rPr>
        <w:t xml:space="preserve"> JLR’s supplier facility was little used [27], insurance was unfinished at the time of the attack [28], and the government loan was called “an unfortunate precedent” [28]. The mitigation is to agree payment routes and self-funded liquidity in advance.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R14 is a quiet risk.</w:t>
      </w:r>
      <w:r>
        <w:rPr>
          <w:color w:val="2B2233"/>
          <w:sz w:val="21"/>
          <w:szCs w:val="21"/>
        </w:rPr>
        <w:t xml:space="preserve"> A rehearsal that passes can create false confidence. Unannounced scenarios are the answer.</w:t>
      </w:r>
    </w:p>
    <w:p>
      <w:pPr>
        <w:pStyle w:val="Heading1"/>
        <w:keepNext/>
      </w:pPr>
      <w:r>
        <w:t xml:space="preserve">Limitations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Scores are judgement.</w:t>
      </w:r>
      <w:r>
        <w:rPr>
          <w:color w:val="2B2233"/>
          <w:sz w:val="21"/>
          <w:szCs w:val="21"/>
        </w:rPr>
        <w:t xml:space="preserve"> There are no public attack probabilities or programme costs, so likelihood and impact bands are my estimates. The value is in the ranking and the reasoning, not the decimal.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Public information cannot show JLR’s controls.</w:t>
      </w:r>
      <w:r>
        <w:rPr>
          <w:color w:val="2B2233"/>
          <w:sz w:val="21"/>
          <w:szCs w:val="21"/>
        </w:rPr>
        <w:t xml:space="preserve"> The register tests the design of the recommendation, not JLR’s actual defences.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Not exhaustive.</w:t>
      </w:r>
      <w:r>
        <w:rPr>
          <w:color w:val="2B2233"/>
          <w:sz w:val="21"/>
          <w:szCs w:val="21"/>
        </w:rPr>
        <w:t xml:space="preserve"> Risks such as physical damage, a second attack during recovery, or a change of owner’s policy are not scored.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Treatment effects are assumed.</w:t>
      </w:r>
      <w:r>
        <w:rPr>
          <w:color w:val="2B2233"/>
          <w:sz w:val="21"/>
          <w:szCs w:val="21"/>
        </w:rPr>
        <w:t xml:space="preserve"> The after scores assume the treatment is delivered as described.</w:t>
      </w:r>
    </w:p>
    <w:p>
      <w:pPr>
        <w:pStyle w:val="Heading1"/>
        <w:keepNext/>
      </w:pPr>
      <w:r>
        <w:t xml:space="preserve">Key terms in plain English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Inherent risk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The score before any treatment (here shown as the first score).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Residual risk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The score after the treatment has been delivered.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Early-warning indicator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measure that moves before the risk happens, so action can start earlier.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Risk owner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The role accountable for managing a risk, not necessarily the person who fixes it.</w:t>
            </w:r>
          </w:p>
        </w:tc>
      </w:tr>
    </w:tbl>
    <w:p>
      <w:pPr>
        <w:pStyle w:val="Heading1"/>
        <w:keepNext/>
      </w:pPr>
      <w:r>
        <w:t xml:space="preserve">Sources</w:t>
      </w:r>
    </w:p>
    <w:p>
      <w:pPr>
        <w:keepNext/>
        <w:keepLines/>
        <w:spacing w:after="100" w:before="0" w:line="276"/>
      </w:pPr>
      <w:r>
        <w:rPr>
          <w:color w:val="2B2233"/>
          <w:sz w:val="21"/>
          <w:szCs w:val="21"/>
        </w:rPr>
        <w:t xml:space="preserve">Numbers in square brackets match this list and the Source Log (Deliverable 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326"/>
      </w:tblGrid>
      <w:tr>
        <w:trPr>
          <w:cantSplit/>
          <w:tblHeader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(select the title to open it)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[8]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0ww2rms3wbqpaop36qwpq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Hack UK’s Costliest Ever, Hitting Economy with £1.9bn Loss</w:t>
              </w:r>
            </w:hyperlink>
            <w:r>
              <w:rPr>
                <w:color w:val="2B2233"/>
                <w:sz w:val="19"/>
                <w:szCs w:val="19"/>
              </w:rPr>
              <w:t xml:space="preserve">. Infosecurity Magazine, Oct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[9]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ku8z_8roxbforh0quk6py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attack is the most expensive security breach in UK history</w:t>
              </w:r>
            </w:hyperlink>
            <w:r>
              <w:rPr>
                <w:color w:val="2B2233"/>
                <w:sz w:val="19"/>
                <w:szCs w:val="19"/>
              </w:rPr>
              <w:t xml:space="preserve">. Computing, Oct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[10]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nbjngd7en5wipya6yliyt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NCSC Annual Review 2025: Incident management</w:t>
              </w:r>
            </w:hyperlink>
            <w:r>
              <w:rPr>
                <w:color w:val="2B2233"/>
                <w:sz w:val="19"/>
                <w:szCs w:val="19"/>
              </w:rPr>
              <w:t xml:space="preserve">. National Cyber Security Centre, Oct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[11]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iijofp_w2v-crxgignz2f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Cyber Security and Resilience Bill: what’s the latest and what should businesses do now</w:t>
              </w:r>
            </w:hyperlink>
            <w:r>
              <w:rPr>
                <w:color w:val="2B2233"/>
                <w:sz w:val="19"/>
                <w:szCs w:val="19"/>
              </w:rPr>
              <w:t xml:space="preserve">. Gowling WLG via Mondaq, 21 Sep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[12]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-vwehxn5bt7bv1lmesc43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Cyber Security and Resilience Bill: what will it do?</w:t>
              </w:r>
            </w:hyperlink>
            <w:r>
              <w:rPr>
                <w:color w:val="2B2233"/>
                <w:sz w:val="19"/>
                <w:szCs w:val="19"/>
              </w:rPr>
              <w:t xml:space="preserve">. Penningtons Manches Cooper, 30 Jul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[16]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iamfrfxlvsv06unljeoex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Jaguar Land Rover production delay after cyberattack</w:t>
              </w:r>
            </w:hyperlink>
            <w:r>
              <w:rPr>
                <w:color w:val="2B2233"/>
                <w:sz w:val="19"/>
                <w:szCs w:val="19"/>
              </w:rPr>
              <w:t xml:space="preserve">. Cybersecurity Dive, Sep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[18]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12dlk8rmiiuajkhjhpad-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Jaguar Land Rover resumes production following significant cyberattack</w:t>
              </w:r>
            </w:hyperlink>
            <w:r>
              <w:rPr>
                <w:color w:val="2B2233"/>
                <w:sz w:val="19"/>
                <w:szCs w:val="19"/>
              </w:rPr>
              <w:t xml:space="preserve">. teiss, 10 Oct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[19]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vwpxj9wourk0hh9uyrtw_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restarts manufacturing and introduces new financing solution to pay JLR suppliers early</w:t>
              </w:r>
            </w:hyperlink>
            <w:r>
              <w:rPr>
                <w:color w:val="2B2233"/>
                <w:sz w:val="19"/>
                <w:szCs w:val="19"/>
              </w:rPr>
              <w:t xml:space="preserve">. Automotive World (JLR press release), 7 Oct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[26]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fo9z3chmy36-5mjpj4luk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Annual Report 2025/26 (full report, 122 pages, read 21 Oct 2026)</w:t>
              </w:r>
            </w:hyperlink>
            <w:r>
              <w:rPr>
                <w:color w:val="2B2233"/>
                <w:sz w:val="19"/>
                <w:szCs w:val="19"/>
              </w:rPr>
              <w:t xml:space="preserve">. JLR, 21 May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[27]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ffk2nsk04u9aun9d4ycak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Annual Report 2025/26 (full report): incident, risk and governance sections</w:t>
              </w:r>
            </w:hyperlink>
            <w:r>
              <w:rPr>
                <w:color w:val="2B2233"/>
                <w:sz w:val="19"/>
                <w:szCs w:val="19"/>
              </w:rPr>
              <w:t xml:space="preserve">. JLR, 21 May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[28]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bsu2mm0j79hoh72tyci5c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Did Jaguar Land Rover’s cyber insurance gap help pave the way to 4,000 job losses?</w:t>
              </w:r>
            </w:hyperlink>
            <w:r>
              <w:rPr>
                <w:color w:val="2B2233"/>
                <w:sz w:val="19"/>
                <w:szCs w:val="19"/>
              </w:rPr>
              <w:t xml:space="preserve">. Insurance Business UK, 7 Sep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[29]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4fyuforqin2hmmk2txi2t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Norsk Hydro receives first cyber insurance payout of $3.6 million for breach-related losses</w:t>
              </w:r>
            </w:hyperlink>
            <w:r>
              <w:rPr>
                <w:color w:val="2B2233"/>
                <w:sz w:val="19"/>
                <w:szCs w:val="19"/>
              </w:rPr>
              <w:t xml:space="preserve">. Computing, 29 Oct 2019.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50" w:left="144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3" w:sz="6" w:space="4"/>
      </w:pBdr>
      <w:tabs>
        <w:tab w:val="right" w:pos="9026"/>
      </w:tabs>
      <w:spacing w:before="0"/>
    </w:pPr>
    <w:r>
      <w:rPr>
        <w:color w:val="6E6378"/>
        <w:sz w:val="15"/>
        <w:szCs w:val="15"/>
      </w:rPr>
      <w:t xml:space="preserve">Independent portfolio analysis using public information only. Not affiliated with or endorsed by JLR or Tata Motors. Model inputs are illustrative.</w:t>
    </w:r>
    <w:r>
      <w:rPr>
        <w:color w:val="6E6378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3" w:sz="6" w:space="4"/>
      </w:pBdr>
      <w:tabs>
        <w:tab w:val="right" w:pos="9026"/>
      </w:tabs>
      <w:spacing w:after="0"/>
    </w:pPr>
    <w:r>
      <w:rPr>
        <w:color w:val="6E6378"/>
        <w:sz w:val="17"/>
        <w:szCs w:val="17"/>
      </w:rPr>
      <w:t xml:space="preserve">JLR: The Business Case for Cyber Resilience</w:t>
    </w:r>
    <w:r>
      <w:rPr>
        <w:color w:val="6E6378"/>
        <w:sz w:val="17"/>
        <w:szCs w:val="17"/>
      </w:rPr>
      <w:t xml:space="preserve">	Deliverable 7 of 13 · Risk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6B3F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40"/>
      <w:outlineLvl w:val="0"/>
    </w:pPr>
    <w:rPr>
      <w:rFonts w:ascii="Cambria" w:cs="Cambria" w:eastAsia="Cambria" w:hAnsi="Cambria"/>
      <w:b/>
      <w:bCs/>
      <w:color w:val="4830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6B3F7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ww2rms3wbqpaop36qwpq" Type="http://schemas.openxmlformats.org/officeDocument/2006/relationships/hyperlink" Target="https://www.infosecurity-magazine.com/news/jlr-hack-uk-costliest-ever-19bn/" TargetMode="External"/><Relationship Id="rIdku8z_8roxbforh0quk6py" Type="http://schemas.openxmlformats.org/officeDocument/2006/relationships/hyperlink" Target="https://www.computing.co.uk/news/2025/security/jlr-attack-most-expensive-in-uk-history" TargetMode="External"/><Relationship Id="rIdnbjngd7en5wipya6yliyt" Type="http://schemas.openxmlformats.org/officeDocument/2006/relationships/hyperlink" Target="https://www.ncsc.gov.uk/collection/ncsc-annual-review-2025/chapter-01-cyber-threat-to-the-uk/incident-management" TargetMode="External"/><Relationship Id="rIdiijofp_w2v-crxgignz2f" Type="http://schemas.openxmlformats.org/officeDocument/2006/relationships/hyperlink" Target="https://www.mondaq.com/cyber-security-and-resilience-bill-whats-the-latest-and-what-should-businesses-do-now/1845068" TargetMode="External"/><Relationship Id="rId-vwehxn5bt7bv1lmesc43" Type="http://schemas.openxmlformats.org/officeDocument/2006/relationships/hyperlink" Target="https://www.penningtonslaw.com/insights/cyber-security-and-resilience-bill-what-will-it-do/" TargetMode="External"/><Relationship Id="rIdiamfrfxlvsv06unljeoex" Type="http://schemas.openxmlformats.org/officeDocument/2006/relationships/hyperlink" Target="https://www.cybersecuritydive.com/news/jaguar-land-rover-production-delay-cyberattack/760254/" TargetMode="External"/><Relationship Id="rId12dlk8rmiiuajkhjhpad-" Type="http://schemas.openxmlformats.org/officeDocument/2006/relationships/hyperlink" Target="https://www.teiss.co.uk/news/jaguar-land-rover-resumes-production-following-significant-cyberattack-16531" TargetMode="External"/><Relationship Id="rIdvwpxj9wourk0hh9uyrtw_" Type="http://schemas.openxmlformats.org/officeDocument/2006/relationships/hyperlink" Target="https://www.automotiveworld.com/news/jlr-restarts-manufacturing-and-introduces-new-financing-solution-to-pay-jlr-suppliers-early/" TargetMode="External"/><Relationship Id="rIdfo9z3chmy36-5mjpj4luk" Type="http://schemas.openxmlformats.org/officeDocument/2006/relationships/hyperlink" Target="https://www.jlr.com/annual-report-2026" TargetMode="External"/><Relationship Id="rIdffk2nsk04u9aun9d4ycak" Type="http://schemas.openxmlformats.org/officeDocument/2006/relationships/hyperlink" Target="https://www.jlr.com/annual-report-2026" TargetMode="External"/><Relationship Id="rIdbsu2mm0j79hoh72tyci5c" Type="http://schemas.openxmlformats.org/officeDocument/2006/relationships/hyperlink" Target="https://www.insurancebusinessmag.com/uk/news/cyber/did-jaguar-land-rovers-cyber-insurance-gap-help-pave-the-way-to-4000-job-losses-588902.aspx" TargetMode="External"/><Relationship Id="rId4fyuforqin2hmmk2txi2t" Type="http://schemas.openxmlformats.org/officeDocument/2006/relationships/hyperlink" Target="https://computing.co.uk/news/3083156/norsk-hydro-receives-first-cyber-insurance-payout-of-usd36-million-for-breach-related-losses" TargetMode="External"/><Relationship Id="rId9" Type="http://schemas.openxmlformats.org/officeDocument/2006/relationships/image" Target="media/4489dde0feb430043ab2eb3822f627a2ad616ab0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Register (Deliverable 7 of 13)</dc:title>
  <dc:creator>Portfolio project</dc:creator>
  <dc:description>JLR: The Business Case for Cyber Resilience (portfolio project 1)</dc:description>
  <cp:lastModifiedBy>Un-named</cp:lastModifiedBy>
  <cp:revision>1</cp:revision>
  <dcterms:created xsi:type="dcterms:W3CDTF">2026-10-21T02:24:37.426Z</dcterms:created>
  <dcterms:modified xsi:type="dcterms:W3CDTF">2026-10-21T02:24:37.426Z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