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3F7F"/>
          <w:spacing w:val="40"/>
          <w:sz w:val="18"/>
          <w:szCs w:val="18"/>
        </w:rPr>
        <w:t xml:space="preserve">PROJECT 2 · DELIVERABLE 1 OF 13</w:t>
      </w:r>
    </w:p>
    <w:p>
      <w:pPr>
        <w:spacing w:after="100" w:before="60"/>
      </w:pPr>
      <w:r>
        <w:rPr>
          <w:rFonts w:ascii="Cambria" w:cs="Cambria" w:eastAsia="Cambria" w:hAnsi="Cambria"/>
          <w:b/>
          <w:bCs/>
          <w:color w:val="483050"/>
          <w:sz w:val="52"/>
          <w:szCs w:val="52"/>
        </w:rPr>
        <w:t xml:space="preserve">Source Log</w:t>
      </w:r>
    </w:p>
    <w:p>
      <w:pPr>
        <w:spacing w:after="200" w:line="270"/>
      </w:pPr>
      <w:r>
        <w:rPr>
          <w:color w:val="6E6378"/>
          <w:sz w:val="24"/>
          <w:szCs w:val="24"/>
        </w:rPr>
        <w:t xml:space="preserve">Every external fact in the project, with its link, a reliability grade and where it is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483050" w:sz="6"/>
              <w:left w:val="single" w:color="483050" w:sz="6"/>
              <w:bottom w:val="single" w:color="483050" w:sz="6"/>
              <w:right w:val="single" w:color="483050" w:sz="6"/>
            </w:tcBorders>
            <w:shd w:fill="F3EEF7" w:color="auto" w:val="clear"/>
            <w:tcMar>
              <w:top w:type="dxa" w:w="140"/>
              <w:left w:type="dxa" w:w="200"/>
              <w:bottom w:type="dxa" w:w="140"/>
              <w:right w:type="dxa" w:w="200"/>
            </w:tcMar>
          </w:tcPr>
          <w:p>
            <w:pPr>
              <w:spacing w:after="80"/>
            </w:pPr>
            <w:r>
              <w:rPr>
                <w:rFonts w:ascii="Cambria" w:cs="Cambria" w:eastAsia="Cambria" w:hAnsi="Cambria"/>
                <w:b/>
                <w:bCs/>
                <w:color w:val="483050"/>
                <w:sz w:val="22"/>
                <w:szCs w:val="22"/>
              </w:rPr>
              <w:t xml:space="preserve">At a glance</w:t>
            </w:r>
          </w:p>
          <w:p>
            <w:pPr>
              <w:pStyle w:val="ListParagraph"/>
              <w:numPr>
                <w:ilvl w:val="0"/>
                <w:numId w:val="2"/>
              </w:numPr>
              <w:spacing w:after="70" w:line="264"/>
            </w:pPr>
            <w:r>
              <w:rPr>
                <w:b/>
                <w:bCs/>
                <w:color w:val="2B2233"/>
                <w:sz w:val="21"/>
                <w:szCs w:val="21"/>
              </w:rPr>
              <w:t xml:space="preserve">14 sources</w:t>
            </w:r>
            <w:r>
              <w:rPr>
                <w:color w:val="2B2233"/>
                <w:sz w:val="21"/>
                <w:szCs w:val="21"/>
              </w:rPr>
              <w:t xml:space="preserve"> support the facts in this project. 2 are primary: WPP’s own results announcements for 2025 and the first half of 2026.</w:t>
            </w:r>
          </w:p>
          <w:p>
            <w:pPr>
              <w:pStyle w:val="ListParagraph"/>
              <w:numPr>
                <w:ilvl w:val="0"/>
                <w:numId w:val="2"/>
              </w:numPr>
              <w:spacing w:after="70" w:line="264"/>
            </w:pPr>
            <w:r>
              <w:rPr>
                <w:b/>
                <w:bCs/>
                <w:color w:val="2B2233"/>
                <w:sz w:val="21"/>
                <w:szCs w:val="21"/>
              </w:rPr>
              <w:t xml:space="preserve">12 of the 14 are news, trade media or vendor research</w:t>
            </w:r>
            <w:r>
              <w:rPr>
                <w:color w:val="2B2233"/>
                <w:sz w:val="21"/>
                <w:szCs w:val="21"/>
              </w:rPr>
              <w:t xml:space="preserve"> relaying figures. WPP’s own results settle the company numbers. The workflow facts and the survey statistics are signals to test, not proof.</w:t>
            </w:r>
          </w:p>
          <w:p>
            <w:pPr>
              <w:pStyle w:val="ListParagraph"/>
              <w:numPr>
                <w:ilvl w:val="0"/>
                <w:numId w:val="2"/>
              </w:numPr>
              <w:spacing w:after="0" w:line="264"/>
            </w:pPr>
            <w:r>
              <w:rPr>
                <w:b/>
                <w:bCs/>
                <w:color w:val="2B2233"/>
                <w:sz w:val="21"/>
                <w:szCs w:val="21"/>
              </w:rPr>
              <w:t xml:space="preserve">Five figures conflict between sources.</w:t>
            </w:r>
            <w:r>
              <w:rPr>
                <w:color w:val="2B2233"/>
                <w:sz w:val="21"/>
                <w:szCs w:val="21"/>
              </w:rPr>
              <w:t xml:space="preserve"> Four are settled by WPP’s own announcements. The 70% production-time claim cannot be settled and is treated as an optimistic scenario only.</w:t>
            </w:r>
          </w:p>
        </w:tc>
      </w:tr>
    </w:tbl>
    <w:p>
      <w:pPr>
        <w:spacing w:after="200"/>
      </w:pPr>
    </w:p>
    <w:p>
      <w:pPr>
        <w:pStyle w:val="Heading1"/>
        <w:keepNext/>
      </w:pPr>
      <w:r>
        <w:t xml:space="preserve">Purpose</w:t>
      </w:r>
    </w:p>
    <w:p>
      <w:pPr>
        <w:keepLines/>
        <w:spacing w:after="120" w:before="0" w:line="276"/>
      </w:pPr>
      <w:r>
        <w:rPr>
          <w:color w:val="2B2233"/>
          <w:sz w:val="21"/>
          <w:szCs w:val="21"/>
        </w:rPr>
        <w:t xml:space="preserve">This log lists every external fact used in the project with a link to where it came from. Each deliverable cites sources by number, so any claim can be traced in one step. The last column gives the deliverable numbers that cite each source; deliverables 10 and 11 are the executive deck and the one-page summary. The grade is my own judgement of how close the source is to the original fact. It is not a judgement of whether the source is honest.</w:t>
      </w:r>
    </w:p>
    <w:p>
      <w:pPr>
        <w:pStyle w:val="Heading1"/>
        <w:keepNext/>
      </w:pPr>
      <w:r>
        <w:t xml:space="preserve">Source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3500"/>
        <w:gridCol w:w="3200"/>
        <w:gridCol w:w="776"/>
        <w:gridCol w:w="1100"/>
      </w:tblGrid>
      <w:tr>
        <w:trPr>
          <w:cantSplit/>
          <w:tblHeader/>
        </w:trPr>
        <w:tc>
          <w:tcPr>
            <w:tcW w:type="dxa" w:w="45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center"/>
            </w:pPr>
            <w:r>
              <w:rPr>
                <w:b/>
                <w:bCs/>
                <w:color w:val="FFFFFF"/>
                <w:sz w:val="19"/>
                <w:szCs w:val="19"/>
              </w:rPr>
              <w:t xml:space="preserve">ID</w:t>
            </w:r>
          </w:p>
        </w:tc>
        <w:tc>
          <w:tcPr>
            <w:tcW w:type="dxa" w:w="35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9"/>
                <w:szCs w:val="19"/>
              </w:rPr>
              <w:t xml:space="preserve">Claim or fact</w:t>
            </w:r>
          </w:p>
        </w:tc>
        <w:tc>
          <w:tcPr>
            <w:tcW w:type="dxa" w:w="3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9"/>
                <w:szCs w:val="19"/>
              </w:rPr>
              <w:t xml:space="preserve">Source (select the title to open it)</w:t>
            </w:r>
          </w:p>
        </w:tc>
        <w:tc>
          <w:tcPr>
            <w:tcW w:type="dxa" w:w="77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center"/>
            </w:pPr>
            <w:r>
              <w:rPr>
                <w:b/>
                <w:bCs/>
                <w:color w:val="FFFFFF"/>
                <w:sz w:val="19"/>
                <w:szCs w:val="19"/>
              </w:rPr>
              <w:t xml:space="preserve">Grade</w:t>
            </w:r>
          </w:p>
        </w:tc>
        <w:tc>
          <w:tcPr>
            <w:tcW w:type="dxa" w:w="11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9"/>
                <w:szCs w:val="19"/>
              </w:rPr>
              <w:t xml:space="preserve">Used in</w:t>
            </w:r>
          </w:p>
        </w:tc>
      </w:tr>
      <w:tr>
        <w:trPr>
          <w:cantSplit/>
        </w:trPr>
        <w:tc>
          <w:tcPr>
            <w:tcW w:type="dxa" w:w="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b/>
                <w:bCs/>
                <w:color w:val="2B2233"/>
                <w:sz w:val="17"/>
                <w:szCs w:val="17"/>
              </w:rPr>
              <w:t xml:space="preserve">1</w:t>
            </w:r>
          </w:p>
        </w:tc>
        <w:tc>
          <w:tcPr>
            <w:tcW w:type="dxa" w:w="3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H1 2026 results: revenue less pass-through costs £4,745m (H1 2025 £5,026m), down 5.6% reported and 4.7% like for like; Q2 £2,485m, down 2.3% reported and 2.8% like for like; WPP Media down 5.4% (46% of the total), Creative including Enterprise Solutions down 4.9% (49%), Production up 1.6% (5%); headline operating profit £398m, margin 8.4%; adjusted net debt £2,935m; headcount 97,388 at 30 June 2026 (104,083 a year earlier); 2026 guidance: second-half decline low to mid single digits, headline margin 12% to 13%; Elevate28 phases and £500m savings; WPP Open, HEX studio (about 50 creative technologists, inside Production); trust principle “AI augments human creativity rather than replacing it”</w:t>
            </w:r>
          </w:p>
        </w:tc>
        <w:tc>
          <w:tcPr>
            <w:tcW w:type="dxa" w:w="3200"/>
            <w:tcBorders>
              <w:top w:val="single" w:color="D9CFE3" w:sz="4"/>
              <w:left w:val="single" w:color="D9CFE3" w:sz="4"/>
              <w:bottom w:val="single" w:color="D9CFE3" w:sz="4"/>
              <w:right w:val="single" w:color="D9CFE3" w:sz="4"/>
            </w:tcBorders>
            <w:shd w:fill="FFFFFF" w:color="auto" w:val="clear"/>
            <w:tcMar>
              <w:top w:type="dxa" w:w="70"/>
              <w:left w:type="dxa" w:w="100"/>
              <w:bottom w:type="dxa" w:w="70"/>
              <w:right w:type="dxa" w:w="100"/>
            </w:tcMar>
            <w:vAlign w:val="center"/>
          </w:tcPr>
          <w:p>
            <w:pPr>
              <w:keepLines/>
              <w:spacing w:after="0" w:line="240"/>
            </w:pPr>
            <w:hyperlink w:history="1" r:id="rIdst5idkmfwml9wiguitmma">
              <w:r>
                <w:rPr>
                  <w:rStyle w:val="Hyperlink"/>
                  <w:color w:val="1A6FA0"/>
                  <w:sz w:val="17"/>
                  <w:szCs w:val="17"/>
                  <w:u w:val="single"/>
                </w:rPr>
                <w:t xml:space="preserve">WPP 2026 Interim Results</w:t>
              </w:r>
            </w:hyperlink>
            <w:r>
              <w:rPr>
                <w:color w:val="2B2233"/>
                <w:sz w:val="17"/>
                <w:szCs w:val="17"/>
              </w:rPr>
              <w:t xml:space="preserve">. WPP (RNS via Investegate), Aug 2026.</w:t>
            </w:r>
          </w:p>
        </w:tc>
        <w:tc>
          <w:tcPr>
            <w:tcW w:type="dxa" w:w="77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b/>
                <w:bCs/>
                <w:color w:val="2B2233"/>
                <w:sz w:val="17"/>
                <w:szCs w:val="17"/>
              </w:rPr>
              <w:t xml:space="preserve">A</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7"/>
                <w:szCs w:val="17"/>
              </w:rPr>
              <w:t xml:space="preserve">3, 6, 7, 9–11</w:t>
            </w:r>
          </w:p>
        </w:tc>
      </w:tr>
      <w:tr>
        <w:trPr>
          <w:cantSplit/>
        </w:trPr>
        <w:tc>
          <w:tcPr>
            <w:tcW w:type="dxa" w:w="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b/>
                <w:bCs/>
                <w:color w:val="2B2233"/>
                <w:sz w:val="17"/>
                <w:szCs w:val="17"/>
              </w:rPr>
              <w:t xml:space="preserve">2</w:t>
            </w:r>
          </w:p>
        </w:tc>
        <w:tc>
          <w:tcPr>
            <w:tcW w:type="dxa" w:w="3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Q2 2026 revenue less pass-through costs down 2.8% like for like to £2.49bn; WPP Media down 2.8% in Q2 (down 8.3% in Q1), Creative down 3.5% (down 6.3% in Q1), Production up 1.3% but only 5% of Q2 income; “strong new-business wins and improved client retention”</w:t>
            </w:r>
          </w:p>
        </w:tc>
        <w:tc>
          <w:tcPr>
            <w:tcW w:type="dxa" w:w="3200"/>
            <w:tcBorders>
              <w:top w:val="single" w:color="D9CFE3" w:sz="4"/>
              <w:left w:val="single" w:color="D9CFE3" w:sz="4"/>
              <w:bottom w:val="single" w:color="D9CFE3" w:sz="4"/>
              <w:right w:val="single" w:color="D9CFE3" w:sz="4"/>
            </w:tcBorders>
            <w:shd w:fill="F8F5FB" w:color="auto" w:val="clear"/>
            <w:tcMar>
              <w:top w:type="dxa" w:w="70"/>
              <w:left w:type="dxa" w:w="100"/>
              <w:bottom w:type="dxa" w:w="70"/>
              <w:right w:type="dxa" w:w="100"/>
            </w:tcMar>
            <w:vAlign w:val="center"/>
          </w:tcPr>
          <w:p>
            <w:pPr>
              <w:keepLines/>
              <w:spacing w:after="0" w:line="240"/>
            </w:pPr>
            <w:hyperlink w:history="1" r:id="rIdaprudtqjqayakjnkzmtg-">
              <w:r>
                <w:rPr>
                  <w:rStyle w:val="Hyperlink"/>
                  <w:color w:val="1A6FA0"/>
                  <w:sz w:val="17"/>
                  <w:szCs w:val="17"/>
                  <w:u w:val="single"/>
                </w:rPr>
                <w:t xml:space="preserve">WPP reports 2.8% revenue drop in Q2</w:t>
              </w:r>
            </w:hyperlink>
            <w:r>
              <w:rPr>
                <w:color w:val="2B2233"/>
                <w:sz w:val="17"/>
                <w:szCs w:val="17"/>
              </w:rPr>
              <w:t xml:space="preserve">. Campaign, 2026.</w:t>
            </w:r>
          </w:p>
        </w:tc>
        <w:tc>
          <w:tcPr>
            <w:tcW w:type="dxa" w:w="77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b/>
                <w:bCs/>
                <w:color w:val="2B2233"/>
                <w:sz w:val="17"/>
                <w:szCs w:val="17"/>
              </w:rPr>
              <w:t xml:space="preserve">C</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7"/>
                <w:szCs w:val="17"/>
              </w:rPr>
              <w:t xml:space="preserve">3</w:t>
            </w:r>
          </w:p>
        </w:tc>
      </w:tr>
      <w:tr>
        <w:trPr>
          <w:cantSplit/>
        </w:trPr>
        <w:tc>
          <w:tcPr>
            <w:tcW w:type="dxa" w:w="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b/>
                <w:bCs/>
                <w:color w:val="2B2233"/>
                <w:sz w:val="17"/>
                <w:szCs w:val="17"/>
              </w:rPr>
              <w:t xml:space="preserve">3</w:t>
            </w:r>
          </w:p>
        </w:tc>
        <w:tc>
          <w:tcPr>
            <w:tcW w:type="dxa" w:w="3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H1 2026 revenue less pass-through costs down 5.6% to about £4.75bn; average headcount down 8.4%, from 106,000 to 97,000 (average, not period end); shares rose more than 26% on the day. Most of the article is behind a paywall</w:t>
            </w:r>
          </w:p>
        </w:tc>
        <w:tc>
          <w:tcPr>
            <w:tcW w:type="dxa" w:w="3200"/>
            <w:tcBorders>
              <w:top w:val="single" w:color="D9CFE3" w:sz="4"/>
              <w:left w:val="single" w:color="D9CFE3" w:sz="4"/>
              <w:bottom w:val="single" w:color="D9CFE3" w:sz="4"/>
              <w:right w:val="single" w:color="D9CFE3" w:sz="4"/>
            </w:tcBorders>
            <w:shd w:fill="FFFFFF" w:color="auto" w:val="clear"/>
            <w:tcMar>
              <w:top w:type="dxa" w:w="70"/>
              <w:left w:type="dxa" w:w="100"/>
              <w:bottom w:type="dxa" w:w="70"/>
              <w:right w:type="dxa" w:w="100"/>
            </w:tcMar>
            <w:vAlign w:val="center"/>
          </w:tcPr>
          <w:p>
            <w:pPr>
              <w:keepLines/>
              <w:spacing w:after="0" w:line="240"/>
            </w:pPr>
            <w:hyperlink w:history="1" r:id="rIdx6am8blfwadjodtcuph42">
              <w:r>
                <w:rPr>
                  <w:rStyle w:val="Hyperlink"/>
                  <w:color w:val="1A6FA0"/>
                  <w:sz w:val="17"/>
                  <w:szCs w:val="17"/>
                  <w:u w:val="single"/>
                </w:rPr>
                <w:t xml:space="preserve">WPP Is “On Track” With Turnaround Plan, as Revenue Drops 5.6% in First Half of 2026</w:t>
              </w:r>
            </w:hyperlink>
            <w:r>
              <w:rPr>
                <w:color w:val="2B2233"/>
                <w:sz w:val="17"/>
                <w:szCs w:val="17"/>
              </w:rPr>
              <w:t xml:space="preserve">. Adweek, Aug 2026.</w:t>
            </w:r>
          </w:p>
        </w:tc>
        <w:tc>
          <w:tcPr>
            <w:tcW w:type="dxa" w:w="77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b/>
                <w:bCs/>
                <w:color w:val="2B2233"/>
                <w:sz w:val="17"/>
                <w:szCs w:val="17"/>
              </w:rPr>
              <w:t xml:space="preserve">C</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7"/>
                <w:szCs w:val="17"/>
              </w:rPr>
              <w:t xml:space="preserve">3, 6</w:t>
            </w:r>
          </w:p>
        </w:tc>
      </w:tr>
      <w:tr>
        <w:trPr>
          <w:cantSplit/>
        </w:trPr>
        <w:tc>
          <w:tcPr>
            <w:tcW w:type="dxa" w:w="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b/>
                <w:bCs/>
                <w:color w:val="2B2233"/>
                <w:sz w:val="17"/>
                <w:szCs w:val="17"/>
              </w:rPr>
              <w:t xml:space="preserve">4</w:t>
            </w:r>
          </w:p>
        </w:tc>
        <w:tc>
          <w:tcPr>
            <w:tcW w:type="dxa" w:w="3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$676m (£500m) annual cost-cutting plan under Elevate28; Cindy Rose says WPP is “no longer a holding company”; four units: WPP Media, Creative, Production and Enterprise Solutions; 2025 “worst annual financial results since the Covid-19 pandemic”; the article’s 2025 revenue figures mix up measures (see the conflicts register). Partly paywalled</w:t>
            </w:r>
          </w:p>
        </w:tc>
        <w:tc>
          <w:tcPr>
            <w:tcW w:type="dxa" w:w="3200"/>
            <w:tcBorders>
              <w:top w:val="single" w:color="D9CFE3" w:sz="4"/>
              <w:left w:val="single" w:color="D9CFE3" w:sz="4"/>
              <w:bottom w:val="single" w:color="D9CFE3" w:sz="4"/>
              <w:right w:val="single" w:color="D9CFE3" w:sz="4"/>
            </w:tcBorders>
            <w:shd w:fill="F8F5FB" w:color="auto" w:val="clear"/>
            <w:tcMar>
              <w:top w:type="dxa" w:w="70"/>
              <w:left w:type="dxa" w:w="100"/>
              <w:bottom w:type="dxa" w:w="70"/>
              <w:right w:type="dxa" w:w="100"/>
            </w:tcMar>
            <w:vAlign w:val="center"/>
          </w:tcPr>
          <w:p>
            <w:pPr>
              <w:keepLines/>
              <w:spacing w:after="0" w:line="240"/>
            </w:pPr>
            <w:hyperlink w:history="1" r:id="rIdilgscm91s27v5ipkqkqzb">
              <w:r>
                <w:rPr>
                  <w:rStyle w:val="Hyperlink"/>
                  <w:color w:val="1A6FA0"/>
                  <w:sz w:val="17"/>
                  <w:szCs w:val="17"/>
                  <w:u w:val="single"/>
                </w:rPr>
                <w:t xml:space="preserve">Cindy Rose Says WPP “No Longer a Holdco” as $676M Annual Savings Drive Begins</w:t>
              </w:r>
            </w:hyperlink>
            <w:r>
              <w:rPr>
                <w:color w:val="2B2233"/>
                <w:sz w:val="17"/>
                <w:szCs w:val="17"/>
              </w:rPr>
              <w:t xml:space="preserve">. Adweek, Feb 2026.</w:t>
            </w:r>
          </w:p>
        </w:tc>
        <w:tc>
          <w:tcPr>
            <w:tcW w:type="dxa" w:w="77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b/>
                <w:bCs/>
                <w:color w:val="2B2233"/>
                <w:sz w:val="17"/>
                <w:szCs w:val="17"/>
              </w:rPr>
              <w:t xml:space="preserve">C</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7"/>
                <w:szCs w:val="17"/>
              </w:rPr>
              <w:t xml:space="preserve">3</w:t>
            </w:r>
          </w:p>
        </w:tc>
      </w:tr>
      <w:tr>
        <w:trPr>
          <w:cantSplit/>
        </w:trPr>
        <w:tc>
          <w:tcPr>
            <w:tcW w:type="dxa" w:w="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b/>
                <w:bCs/>
                <w:color w:val="2B2233"/>
                <w:sz w:val="17"/>
                <w:szCs w:val="17"/>
              </w:rPr>
              <w:t xml:space="preserve">5</w:t>
            </w:r>
          </w:p>
        </w:tc>
        <w:tc>
          <w:tcPr>
            <w:tcW w:type="dxa" w:w="3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Analyst view that “AI is directly threatening traditional agency revenue streams”; platforms such as Google, Meta and Amazon offer self-service AI ad tools; media ad spending has grown faster than agency holding-company revenue since 2023; agencies must define value around “insight, orchestration, and high-level problem-solving rather than production scale”; cost cuts may protect margin without solving growth</w:t>
            </w:r>
          </w:p>
        </w:tc>
        <w:tc>
          <w:tcPr>
            <w:tcW w:type="dxa" w:w="3200"/>
            <w:tcBorders>
              <w:top w:val="single" w:color="D9CFE3" w:sz="4"/>
              <w:left w:val="single" w:color="D9CFE3" w:sz="4"/>
              <w:bottom w:val="single" w:color="D9CFE3" w:sz="4"/>
              <w:right w:val="single" w:color="D9CFE3" w:sz="4"/>
            </w:tcBorders>
            <w:shd w:fill="FFFFFF" w:color="auto" w:val="clear"/>
            <w:tcMar>
              <w:top w:type="dxa" w:w="70"/>
              <w:left w:type="dxa" w:w="100"/>
              <w:bottom w:type="dxa" w:w="70"/>
              <w:right w:type="dxa" w:w="100"/>
            </w:tcMar>
            <w:vAlign w:val="center"/>
          </w:tcPr>
          <w:p>
            <w:pPr>
              <w:keepLines/>
              <w:spacing w:after="0" w:line="240"/>
            </w:pPr>
            <w:hyperlink w:history="1" r:id="rIdhgypew7f7vtakreiw1zhi">
              <w:r>
                <w:rPr>
                  <w:rStyle w:val="Hyperlink"/>
                  <w:color w:val="1A6FA0"/>
                  <w:sz w:val="17"/>
                  <w:szCs w:val="17"/>
                  <w:u w:val="single"/>
                </w:rPr>
                <w:t xml:space="preserve">WPP’s rocky Q4 underscores AI disruption across agencies</w:t>
              </w:r>
            </w:hyperlink>
            <w:r>
              <w:rPr>
                <w:color w:val="2B2233"/>
                <w:sz w:val="17"/>
                <w:szCs w:val="17"/>
              </w:rPr>
              <w:t xml:space="preserve">. eMarketer, 2026.</w:t>
            </w:r>
          </w:p>
        </w:tc>
        <w:tc>
          <w:tcPr>
            <w:tcW w:type="dxa" w:w="77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b/>
                <w:bCs/>
                <w:color w:val="2B2233"/>
                <w:sz w:val="17"/>
                <w:szCs w:val="17"/>
              </w:rPr>
              <w:t xml:space="preserve">C</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7"/>
                <w:szCs w:val="17"/>
              </w:rPr>
              <w:t xml:space="preserve">2, 3, 6, 8, 9</w:t>
            </w:r>
          </w:p>
        </w:tc>
      </w:tr>
      <w:tr>
        <w:trPr>
          <w:cantSplit/>
        </w:trPr>
        <w:tc>
          <w:tcPr>
            <w:tcW w:type="dxa" w:w="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b/>
                <w:bCs/>
                <w:color w:val="2B2233"/>
                <w:sz w:val="17"/>
                <w:szCs w:val="17"/>
              </w:rPr>
              <w:t xml:space="preserve">6</w:t>
            </w:r>
          </w:p>
        </w:tc>
        <w:tc>
          <w:tcPr>
            <w:tcW w:type="dxa" w:w="3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Headline and standfirst only (the rest is behind a sign-in wall): WPP’s $400m Google AI alliance; WPP gets early access to Google’s video and image generation models; WPP is “claiming to cut content production times by up to 70%” and to double asset utilisation. The page does not say who made the claim, so it is treated as an unattributed vendor-style claim</w:t>
            </w:r>
          </w:p>
        </w:tc>
        <w:tc>
          <w:tcPr>
            <w:tcW w:type="dxa" w:w="3200"/>
            <w:tcBorders>
              <w:top w:val="single" w:color="D9CFE3" w:sz="4"/>
              <w:left w:val="single" w:color="D9CFE3" w:sz="4"/>
              <w:bottom w:val="single" w:color="D9CFE3" w:sz="4"/>
              <w:right w:val="single" w:color="D9CFE3" w:sz="4"/>
            </w:tcBorders>
            <w:shd w:fill="F8F5FB" w:color="auto" w:val="clear"/>
            <w:tcMar>
              <w:top w:type="dxa" w:w="70"/>
              <w:left w:type="dxa" w:w="100"/>
              <w:bottom w:type="dxa" w:w="70"/>
              <w:right w:type="dxa" w:w="100"/>
            </w:tcMar>
            <w:vAlign w:val="center"/>
          </w:tcPr>
          <w:p>
            <w:pPr>
              <w:keepLines/>
              <w:spacing w:after="0" w:line="240"/>
            </w:pPr>
            <w:hyperlink w:history="1" r:id="rIdk2y4bpepedd8qk3t-xx4p">
              <w:r>
                <w:rPr>
                  <w:rStyle w:val="Hyperlink"/>
                  <w:color w:val="1A6FA0"/>
                  <w:sz w:val="17"/>
                  <w:szCs w:val="17"/>
                  <w:u w:val="single"/>
                </w:rPr>
                <w:t xml:space="preserve">WPP bets on $400 million Google AI alliance</w:t>
              </w:r>
            </w:hyperlink>
            <w:r>
              <w:rPr>
                <w:color w:val="2B2233"/>
                <w:sz w:val="17"/>
                <w:szCs w:val="17"/>
              </w:rPr>
              <w:t xml:space="preserve">. Campaign Asia, 2025 (date not shown).</w:t>
            </w:r>
          </w:p>
        </w:tc>
        <w:tc>
          <w:tcPr>
            <w:tcW w:type="dxa" w:w="77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b/>
                <w:bCs/>
                <w:color w:val="2B2233"/>
                <w:sz w:val="17"/>
                <w:szCs w:val="17"/>
              </w:rPr>
              <w:t xml:space="preserve">C</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7"/>
                <w:szCs w:val="17"/>
              </w:rPr>
              <w:t xml:space="preserve">3, 5, 6, 8–10</w:t>
            </w:r>
          </w:p>
        </w:tc>
      </w:tr>
      <w:tr>
        <w:trPr>
          <w:cantSplit/>
        </w:trPr>
        <w:tc>
          <w:tcPr>
            <w:tcW w:type="dxa" w:w="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b/>
                <w:bCs/>
                <w:color w:val="2B2233"/>
                <w:sz w:val="17"/>
                <w:szCs w:val="17"/>
              </w:rPr>
              <w:t xml:space="preserve">7</w:t>
            </w:r>
          </w:p>
        </w:tc>
        <w:tc>
          <w:tcPr>
            <w:tcW w:type="dxa" w:w="3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WPP Open Pro lets brands plan, create and deploy ads directly; aimed at smaller brands; article says it “allows brands to bypass agencies entirely” while WPP presents it as complementary; no pricing, availability or date given; lowest-reliability source in the log</w:t>
            </w:r>
          </w:p>
        </w:tc>
        <w:tc>
          <w:tcPr>
            <w:tcW w:type="dxa" w:w="3200"/>
            <w:tcBorders>
              <w:top w:val="single" w:color="D9CFE3" w:sz="4"/>
              <w:left w:val="single" w:color="D9CFE3" w:sz="4"/>
              <w:bottom w:val="single" w:color="D9CFE3" w:sz="4"/>
              <w:right w:val="single" w:color="D9CFE3" w:sz="4"/>
            </w:tcBorders>
            <w:shd w:fill="FFFFFF" w:color="auto" w:val="clear"/>
            <w:tcMar>
              <w:top w:type="dxa" w:w="70"/>
              <w:left w:type="dxa" w:w="100"/>
              <w:bottom w:type="dxa" w:w="70"/>
              <w:right w:type="dxa" w:w="100"/>
            </w:tcMar>
            <w:vAlign w:val="center"/>
          </w:tcPr>
          <w:p>
            <w:pPr>
              <w:keepLines/>
              <w:spacing w:after="0" w:line="240"/>
            </w:pPr>
            <w:hyperlink w:history="1" r:id="rIdpfb3pbgga5zet9dyhsixf">
              <w:r>
                <w:rPr>
                  <w:rStyle w:val="Hyperlink"/>
                  <w:color w:val="1A6FA0"/>
                  <w:sz w:val="17"/>
                  <w:szCs w:val="17"/>
                  <w:u w:val="single"/>
                </w:rPr>
                <w:t xml:space="preserve">WPP’s AI Tool Lets Brands Skip Agencies for Ad Creation</w:t>
              </w:r>
            </w:hyperlink>
            <w:r>
              <w:rPr>
                <w:color w:val="2B2233"/>
                <w:sz w:val="17"/>
                <w:szCs w:val="17"/>
              </w:rPr>
              <w:t xml:space="preserve">. WebProNews, Undated.</w:t>
            </w:r>
          </w:p>
        </w:tc>
        <w:tc>
          <w:tcPr>
            <w:tcW w:type="dxa" w:w="77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b/>
                <w:bCs/>
                <w:color w:val="2B2233"/>
                <w:sz w:val="17"/>
                <w:szCs w:val="17"/>
              </w:rPr>
              <w:t xml:space="preserve">C</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7"/>
                <w:szCs w:val="17"/>
              </w:rPr>
              <w:t xml:space="preserve">2, 3, 6, 9</w:t>
            </w:r>
          </w:p>
        </w:tc>
      </w:tr>
      <w:tr>
        <w:trPr>
          <w:cantSplit/>
        </w:trPr>
        <w:tc>
          <w:tcPr>
            <w:tcW w:type="dxa" w:w="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b/>
                <w:bCs/>
                <w:color w:val="2B2233"/>
                <w:sz w:val="17"/>
                <w:szCs w:val="17"/>
              </w:rPr>
              <w:t xml:space="preserve">8</w:t>
            </w:r>
          </w:p>
        </w:tc>
        <w:tc>
          <w:tcPr>
            <w:tcW w:type="dxa" w:w="3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Forrester and the 4As, polled April 2026, nearly 200 US agency decision makers at vice-president level or above: 87% use generative AI; 50% use agentic AI for execution; 81% use generative AI to raise staff productivity; 61% call AI a “cost of business”; 6% sell it as a line of business; 31% expect to monetise AI agents within 24 months; barriers: accuracy and bias 63%, legal risk 62%, privacy and security 55%. The full report is not public</w:t>
            </w:r>
          </w:p>
        </w:tc>
        <w:tc>
          <w:tcPr>
            <w:tcW w:type="dxa" w:w="3200"/>
            <w:tcBorders>
              <w:top w:val="single" w:color="D9CFE3" w:sz="4"/>
              <w:left w:val="single" w:color="D9CFE3" w:sz="4"/>
              <w:bottom w:val="single" w:color="D9CFE3" w:sz="4"/>
              <w:right w:val="single" w:color="D9CFE3" w:sz="4"/>
            </w:tcBorders>
            <w:shd w:fill="F8F5FB" w:color="auto" w:val="clear"/>
            <w:tcMar>
              <w:top w:type="dxa" w:w="70"/>
              <w:left w:type="dxa" w:w="100"/>
              <w:bottom w:type="dxa" w:w="70"/>
              <w:right w:type="dxa" w:w="100"/>
            </w:tcMar>
            <w:vAlign w:val="center"/>
          </w:tcPr>
          <w:p>
            <w:pPr>
              <w:keepLines/>
              <w:spacing w:after="0" w:line="240"/>
            </w:pPr>
            <w:hyperlink w:history="1" r:id="rIdovt37wgsf4v2v52szmw-h">
              <w:r>
                <w:rPr>
                  <w:rStyle w:val="Hyperlink"/>
                  <w:color w:val="1A6FA0"/>
                  <w:sz w:val="17"/>
                  <w:szCs w:val="17"/>
                  <w:u w:val="single"/>
                </w:rPr>
                <w:t xml:space="preserve">The State of AI Inside US Marketing Agencies 2026 (reported by MediaPost)</w:t>
              </w:r>
            </w:hyperlink>
            <w:r>
              <w:rPr>
                <w:color w:val="2B2233"/>
                <w:sz w:val="17"/>
                <w:szCs w:val="17"/>
              </w:rPr>
              <w:t xml:space="preserve">. MediaPost, 6 Jul 2026.</w:t>
            </w:r>
          </w:p>
        </w:tc>
        <w:tc>
          <w:tcPr>
            <w:tcW w:type="dxa" w:w="77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b/>
                <w:bCs/>
                <w:color w:val="2B2233"/>
                <w:sz w:val="17"/>
                <w:szCs w:val="17"/>
              </w:rPr>
              <w:t xml:space="preserve">C</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7"/>
                <w:szCs w:val="17"/>
              </w:rPr>
              <w:t xml:space="preserve">2, 5, 6, 9, 10</w:t>
            </w:r>
          </w:p>
        </w:tc>
      </w:tr>
      <w:tr>
        <w:trPr>
          <w:cantSplit/>
        </w:trPr>
        <w:tc>
          <w:tcPr>
            <w:tcW w:type="dxa" w:w="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b/>
                <w:bCs/>
                <w:color w:val="2B2233"/>
                <w:sz w:val="17"/>
                <w:szCs w:val="17"/>
              </w:rPr>
              <w:t xml:space="preserve">9</w:t>
            </w:r>
          </w:p>
        </w:tc>
        <w:tc>
          <w:tcPr>
            <w:tcW w:type="dxa" w:w="3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PhotoShelter survey, “AI in Marketing: The Hidden Cost of Faster Content”: 388 US marketing and creative professionals, fieldwork August to September 2025; 69% use AI in content workflows; 46% say content gets stuck in review; 41% say it stalls in approvals; 70% say review and approval slowdowns affect revenue-generating work; 96% say human oversight is critical; respondents estimate AI saves about 15 hours a week. Published by a software vendor; the article names no separate commissioning party</w:t>
            </w:r>
          </w:p>
        </w:tc>
        <w:tc>
          <w:tcPr>
            <w:tcW w:type="dxa" w:w="3200"/>
            <w:tcBorders>
              <w:top w:val="single" w:color="D9CFE3" w:sz="4"/>
              <w:left w:val="single" w:color="D9CFE3" w:sz="4"/>
              <w:bottom w:val="single" w:color="D9CFE3" w:sz="4"/>
              <w:right w:val="single" w:color="D9CFE3" w:sz="4"/>
            </w:tcBorders>
            <w:shd w:fill="FFFFFF" w:color="auto" w:val="clear"/>
            <w:tcMar>
              <w:top w:type="dxa" w:w="70"/>
              <w:left w:type="dxa" w:w="100"/>
              <w:bottom w:type="dxa" w:w="70"/>
              <w:right w:type="dxa" w:w="100"/>
            </w:tcMar>
            <w:vAlign w:val="center"/>
          </w:tcPr>
          <w:p>
            <w:pPr>
              <w:keepLines/>
              <w:spacing w:after="0" w:line="240"/>
            </w:pPr>
            <w:hyperlink w:history="1" r:id="rIdz1i6dblqsqijfxg4fovml">
              <w:r>
                <w:rPr>
                  <w:rStyle w:val="Hyperlink"/>
                  <w:color w:val="1A6FA0"/>
                  <w:sz w:val="17"/>
                  <w:szCs w:val="17"/>
                  <w:u w:val="single"/>
                </w:rPr>
                <w:t xml:space="preserve">AI speeds up content production but sameness a problem (CMOtech UK)</w:t>
              </w:r>
            </w:hyperlink>
            <w:r>
              <w:rPr>
                <w:color w:val="2B2233"/>
                <w:sz w:val="17"/>
                <w:szCs w:val="17"/>
              </w:rPr>
              <w:t xml:space="preserve">. CMOtech UK, 18 Mar 2026.</w:t>
            </w:r>
          </w:p>
        </w:tc>
        <w:tc>
          <w:tcPr>
            <w:tcW w:type="dxa" w:w="77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b/>
                <w:bCs/>
                <w:color w:val="2B2233"/>
                <w:sz w:val="17"/>
                <w:szCs w:val="17"/>
              </w:rPr>
              <w:t xml:space="preserve">C</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7"/>
                <w:szCs w:val="17"/>
              </w:rPr>
              <w:t xml:space="preserve">2–10</w:t>
            </w:r>
          </w:p>
        </w:tc>
      </w:tr>
      <w:tr>
        <w:trPr>
          <w:cantSplit/>
        </w:trPr>
        <w:tc>
          <w:tcPr>
            <w:tcW w:type="dxa" w:w="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b/>
                <w:bCs/>
                <w:color w:val="2B2233"/>
                <w:sz w:val="17"/>
                <w:szCs w:val="17"/>
              </w:rPr>
              <w:t xml:space="preserve">10</w:t>
            </w:r>
          </w:p>
        </w:tc>
        <w:tc>
          <w:tcPr>
            <w:tcW w:type="dxa" w:w="3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2025 full-year results and Elevate28: revenue £13,550m (down 8.1% reported, 3.6% like for like); revenue less pass-through costs £10,176m, down 10.4% reported and 5.4% like for like; headline operating profit £1,321m (£1,707m), margin 13.0% (15.0%); reported operating profit £382m after a £641m goodwill impairment; headcount 98,655 (108,044); four operating units; Stabilise 2026, Build 2027, Accelerate 2028+; £250m run-rate savings by end 2026, £500m gross annualised by 2028; about £400m total cash costs over two years; £300m invested in AI technology in 2025; WPP Open “agentic marketing platform”, 70,000 staff using it monthly; WPP Production launched February 2026</w:t>
            </w:r>
          </w:p>
        </w:tc>
        <w:tc>
          <w:tcPr>
            <w:tcW w:type="dxa" w:w="3200"/>
            <w:tcBorders>
              <w:top w:val="single" w:color="D9CFE3" w:sz="4"/>
              <w:left w:val="single" w:color="D9CFE3" w:sz="4"/>
              <w:bottom w:val="single" w:color="D9CFE3" w:sz="4"/>
              <w:right w:val="single" w:color="D9CFE3" w:sz="4"/>
            </w:tcBorders>
            <w:shd w:fill="F8F5FB" w:color="auto" w:val="clear"/>
            <w:tcMar>
              <w:top w:type="dxa" w:w="70"/>
              <w:left w:type="dxa" w:w="100"/>
              <w:bottom w:type="dxa" w:w="70"/>
              <w:right w:type="dxa" w:w="100"/>
            </w:tcMar>
            <w:vAlign w:val="center"/>
          </w:tcPr>
          <w:p>
            <w:pPr>
              <w:keepLines/>
              <w:spacing w:after="0" w:line="240"/>
            </w:pPr>
            <w:hyperlink w:history="1" r:id="rIdyd_akdjyjli1xgwwruwun">
              <w:r>
                <w:rPr>
                  <w:rStyle w:val="Hyperlink"/>
                  <w:color w:val="1A6FA0"/>
                  <w:sz w:val="17"/>
                  <w:szCs w:val="17"/>
                  <w:u w:val="single"/>
                </w:rPr>
                <w:t xml:space="preserve">Strategy Update and 2025 Preliminary Results</w:t>
              </w:r>
            </w:hyperlink>
            <w:r>
              <w:rPr>
                <w:color w:val="2B2233"/>
                <w:sz w:val="17"/>
                <w:szCs w:val="17"/>
              </w:rPr>
              <w:t xml:space="preserve">. WPP (RNS via Investegate), 26 Feb 2026.</w:t>
            </w:r>
          </w:p>
        </w:tc>
        <w:tc>
          <w:tcPr>
            <w:tcW w:type="dxa" w:w="77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b/>
                <w:bCs/>
                <w:color w:val="2B2233"/>
                <w:sz w:val="17"/>
                <w:szCs w:val="17"/>
              </w:rPr>
              <w:t xml:space="preserve">A</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7"/>
                <w:szCs w:val="17"/>
              </w:rPr>
              <w:t xml:space="preserve">3, 6–11</w:t>
            </w:r>
          </w:p>
        </w:tc>
      </w:tr>
      <w:tr>
        <w:trPr>
          <w:cantSplit/>
        </w:trPr>
        <w:tc>
          <w:tcPr>
            <w:tcW w:type="dxa" w:w="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b/>
                <w:bCs/>
                <w:color w:val="2B2233"/>
                <w:sz w:val="17"/>
                <w:szCs w:val="17"/>
              </w:rPr>
              <w:t xml:space="preserve">11</w:t>
            </w:r>
          </w:p>
        </w:tc>
        <w:tc>
          <w:tcPr>
            <w:tcW w:type="dxa" w:w="3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WPP Production, announced 23 January 2026 and effective 23 February: Hogarth, VML and Ogilvy production teams combined; led by Richard Glasson (CEO of Hogarth); more than 10,000 people in 40-plus locations; run on WPP Open; WPP says it is not driven by cost cutting and “does not anticipate layoffs”; “production logistics, not creative ideation, [is] the primary constraint”; Smartly data: 37% of marketers name time-consuming creative production as a top challenge, 35% inconsistent quality across platforms, 34% ads not optimised for platform specifications. No cost or time savings quoted</w:t>
            </w:r>
          </w:p>
        </w:tc>
        <w:tc>
          <w:tcPr>
            <w:tcW w:type="dxa" w:w="3200"/>
            <w:tcBorders>
              <w:top w:val="single" w:color="D9CFE3" w:sz="4"/>
              <w:left w:val="single" w:color="D9CFE3" w:sz="4"/>
              <w:bottom w:val="single" w:color="D9CFE3" w:sz="4"/>
              <w:right w:val="single" w:color="D9CFE3" w:sz="4"/>
            </w:tcBorders>
            <w:shd w:fill="FFFFFF" w:color="auto" w:val="clear"/>
            <w:tcMar>
              <w:top w:type="dxa" w:w="70"/>
              <w:left w:type="dxa" w:w="100"/>
              <w:bottom w:type="dxa" w:w="70"/>
              <w:right w:type="dxa" w:w="100"/>
            </w:tcMar>
            <w:vAlign w:val="center"/>
          </w:tcPr>
          <w:p>
            <w:pPr>
              <w:keepLines/>
              <w:spacing w:after="0" w:line="240"/>
            </w:pPr>
            <w:hyperlink w:history="1" r:id="rIdr4gsqhjherjscbgfvkt5a">
              <w:r>
                <w:rPr>
                  <w:rStyle w:val="Hyperlink"/>
                  <w:color w:val="1A6FA0"/>
                  <w:sz w:val="17"/>
                  <w:szCs w:val="17"/>
                  <w:u w:val="single"/>
                </w:rPr>
                <w:t xml:space="preserve">Why WPP is rebuilding its production model for always-on marketing</w:t>
              </w:r>
            </w:hyperlink>
            <w:r>
              <w:rPr>
                <w:color w:val="2B2233"/>
                <w:sz w:val="17"/>
                <w:szCs w:val="17"/>
              </w:rPr>
              <w:t xml:space="preserve">. eMarketer, 30 Jan 2026.</w:t>
            </w:r>
          </w:p>
        </w:tc>
        <w:tc>
          <w:tcPr>
            <w:tcW w:type="dxa" w:w="77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b/>
                <w:bCs/>
                <w:color w:val="2B2233"/>
                <w:sz w:val="17"/>
                <w:szCs w:val="17"/>
              </w:rPr>
              <w:t xml:space="preserve">C</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7"/>
                <w:szCs w:val="17"/>
              </w:rPr>
              <w:t xml:space="preserve">2–4, 6–10</w:t>
            </w:r>
          </w:p>
        </w:tc>
      </w:tr>
      <w:tr>
        <w:trPr>
          <w:cantSplit/>
        </w:trPr>
        <w:tc>
          <w:tcPr>
            <w:tcW w:type="dxa" w:w="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b/>
                <w:bCs/>
                <w:color w:val="2B2233"/>
                <w:sz w:val="17"/>
                <w:szCs w:val="17"/>
              </w:rPr>
              <w:t xml:space="preserve">12</w:t>
            </w:r>
          </w:p>
        </w:tc>
        <w:tc>
          <w:tcPr>
            <w:tcW w:type="dxa" w:w="3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WPP Production announced 23 January 2026: “close to 10,000 people” in 40-plus cities; single platform powered by WPP Open; generative AI, virtual and hybrid production and data-led optimisation; a high-velocity content studio integrating production and media; clients can expect “faster turnaround times, greater cost efficiency” with no quantified targets</w:t>
            </w:r>
          </w:p>
        </w:tc>
        <w:tc>
          <w:tcPr>
            <w:tcW w:type="dxa" w:w="3200"/>
            <w:tcBorders>
              <w:top w:val="single" w:color="D9CFE3" w:sz="4"/>
              <w:left w:val="single" w:color="D9CFE3" w:sz="4"/>
              <w:bottom w:val="single" w:color="D9CFE3" w:sz="4"/>
              <w:right w:val="single" w:color="D9CFE3" w:sz="4"/>
            </w:tcBorders>
            <w:shd w:fill="F8F5FB" w:color="auto" w:val="clear"/>
            <w:tcMar>
              <w:top w:type="dxa" w:w="70"/>
              <w:left w:type="dxa" w:w="100"/>
              <w:bottom w:type="dxa" w:w="70"/>
              <w:right w:type="dxa" w:w="100"/>
            </w:tcMar>
            <w:vAlign w:val="center"/>
          </w:tcPr>
          <w:p>
            <w:pPr>
              <w:keepLines/>
              <w:spacing w:after="0" w:line="240"/>
            </w:pPr>
            <w:hyperlink w:history="1" r:id="rIdcwecpafrtwtcmggn4hikz">
              <w:r>
                <w:rPr>
                  <w:rStyle w:val="Hyperlink"/>
                  <w:color w:val="1A6FA0"/>
                  <w:sz w:val="17"/>
                  <w:szCs w:val="17"/>
                  <w:u w:val="single"/>
                </w:rPr>
                <w:t xml:space="preserve">WPP unifies 10,000 creatives into a single global content factory for the AI era</w:t>
              </w:r>
            </w:hyperlink>
            <w:r>
              <w:rPr>
                <w:color w:val="2B2233"/>
                <w:sz w:val="17"/>
                <w:szCs w:val="17"/>
              </w:rPr>
              <w:t xml:space="preserve">. Mediaweek (Australia), 23 Jan 2026.</w:t>
            </w:r>
          </w:p>
        </w:tc>
        <w:tc>
          <w:tcPr>
            <w:tcW w:type="dxa" w:w="77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b/>
                <w:bCs/>
                <w:color w:val="2B2233"/>
                <w:sz w:val="17"/>
                <w:szCs w:val="17"/>
              </w:rPr>
              <w:t xml:space="preserve">C</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7"/>
                <w:szCs w:val="17"/>
              </w:rPr>
              <w:t xml:space="preserve">3, 4, 6–9</w:t>
            </w:r>
          </w:p>
        </w:tc>
      </w:tr>
      <w:tr>
        <w:trPr>
          <w:cantSplit/>
        </w:trPr>
        <w:tc>
          <w:tcPr>
            <w:tcW w:type="dxa" w:w="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b/>
                <w:bCs/>
                <w:color w:val="2B2233"/>
                <w:sz w:val="17"/>
                <w:szCs w:val="17"/>
              </w:rPr>
              <w:t xml:space="preserve">13</w:t>
            </w:r>
          </w:p>
        </w:tc>
        <w:tc>
          <w:tcPr>
            <w:tcW w:type="dxa" w:w="3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Omnicom–IPG merger completed in late 2025 and Omnicom became the largest holding company, ahead of WPP; about 4,000 positions cut worldwide and $750m of savings expected within two years; Big Six share of US ad spending 29.6% in Q1 2024 against 44.6% in 2019 (Advertiser Perceptions); 60% of US senior marketing leaders say they spend less on agencies because of AI (Typeface survey, date not stated); 82% of ANA members have an in-house agency (2023)</w:t>
            </w:r>
          </w:p>
        </w:tc>
        <w:tc>
          <w:tcPr>
            <w:tcW w:type="dxa" w:w="3200"/>
            <w:tcBorders>
              <w:top w:val="single" w:color="D9CFE3" w:sz="4"/>
              <w:left w:val="single" w:color="D9CFE3" w:sz="4"/>
              <w:bottom w:val="single" w:color="D9CFE3" w:sz="4"/>
              <w:right w:val="single" w:color="D9CFE3" w:sz="4"/>
            </w:tcBorders>
            <w:shd w:fill="FFFFFF" w:color="auto" w:val="clear"/>
            <w:tcMar>
              <w:top w:type="dxa" w:w="70"/>
              <w:left w:type="dxa" w:w="100"/>
              <w:bottom w:type="dxa" w:w="70"/>
              <w:right w:type="dxa" w:w="100"/>
            </w:tcMar>
            <w:vAlign w:val="center"/>
          </w:tcPr>
          <w:p>
            <w:pPr>
              <w:keepLines/>
              <w:spacing w:after="0" w:line="240"/>
            </w:pPr>
            <w:hyperlink w:history="1" r:id="rId3vpeooabtybf-ipoohptx">
              <w:r>
                <w:rPr>
                  <w:rStyle w:val="Hyperlink"/>
                  <w:color w:val="1A6FA0"/>
                  <w:sz w:val="17"/>
                  <w:szCs w:val="17"/>
                  <w:u w:val="single"/>
                </w:rPr>
                <w:t xml:space="preserve">FAQ on ad agencies: Consolidation, AI disruption, and what’s changing in 2026</w:t>
              </w:r>
            </w:hyperlink>
            <w:r>
              <w:rPr>
                <w:color w:val="2B2233"/>
                <w:sz w:val="17"/>
                <w:szCs w:val="17"/>
              </w:rPr>
              <w:t xml:space="preserve">. eMarketer, 2026.</w:t>
            </w:r>
          </w:p>
        </w:tc>
        <w:tc>
          <w:tcPr>
            <w:tcW w:type="dxa" w:w="77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b/>
                <w:bCs/>
                <w:color w:val="2B2233"/>
                <w:sz w:val="17"/>
                <w:szCs w:val="17"/>
              </w:rPr>
              <w:t xml:space="preserve">C</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7"/>
                <w:szCs w:val="17"/>
              </w:rPr>
              <w:t xml:space="preserve">2, 6, 9</w:t>
            </w:r>
          </w:p>
        </w:tc>
      </w:tr>
      <w:tr>
        <w:trPr>
          <w:cantSplit/>
        </w:trPr>
        <w:tc>
          <w:tcPr>
            <w:tcW w:type="dxa" w:w="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b/>
                <w:bCs/>
                <w:color w:val="2B2233"/>
                <w:sz w:val="17"/>
                <w:szCs w:val="17"/>
              </w:rPr>
              <w:t xml:space="preserve">14</w:t>
            </w:r>
          </w:p>
        </w:tc>
        <w:tc>
          <w:tcPr>
            <w:tcW w:type="dxa" w:w="3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Reported plan (citing the Wall Street Journal): Meta aims by 2026 to let brands create and target ads with its AI tools, giving only an objective and a price point; tools would generate image backgrounds and versions by location and audience; Meta executives say it is “not designed to kill off traditional ad agencies”</w:t>
            </w:r>
          </w:p>
        </w:tc>
        <w:tc>
          <w:tcPr>
            <w:tcW w:type="dxa" w:w="3200"/>
            <w:tcBorders>
              <w:top w:val="single" w:color="D9CFE3" w:sz="4"/>
              <w:left w:val="single" w:color="D9CFE3" w:sz="4"/>
              <w:bottom w:val="single" w:color="D9CFE3" w:sz="4"/>
              <w:right w:val="single" w:color="D9CFE3" w:sz="4"/>
            </w:tcBorders>
            <w:shd w:fill="F8F5FB" w:color="auto" w:val="clear"/>
            <w:tcMar>
              <w:top w:type="dxa" w:w="70"/>
              <w:left w:type="dxa" w:w="100"/>
              <w:bottom w:type="dxa" w:w="70"/>
              <w:right w:type="dxa" w:w="100"/>
            </w:tcMar>
            <w:vAlign w:val="center"/>
          </w:tcPr>
          <w:p>
            <w:pPr>
              <w:keepLines/>
              <w:spacing w:after="0" w:line="240"/>
            </w:pPr>
            <w:hyperlink w:history="1" r:id="rIduugi4_-jz8o-gy_3rlcbe">
              <w:r>
                <w:rPr>
                  <w:rStyle w:val="Hyperlink"/>
                  <w:color w:val="1A6FA0"/>
                  <w:sz w:val="17"/>
                  <w:szCs w:val="17"/>
                  <w:u w:val="single"/>
                </w:rPr>
                <w:t xml:space="preserve">Meta Plans To Automate All Ad Creation By 2026: Report</w:t>
              </w:r>
            </w:hyperlink>
            <w:r>
              <w:rPr>
                <w:color w:val="2B2233"/>
                <w:sz w:val="17"/>
                <w:szCs w:val="17"/>
              </w:rPr>
              <w:t xml:space="preserve">. MediaPost, 2 Jun 2025.</w:t>
            </w:r>
          </w:p>
        </w:tc>
        <w:tc>
          <w:tcPr>
            <w:tcW w:type="dxa" w:w="77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b/>
                <w:bCs/>
                <w:color w:val="2B2233"/>
                <w:sz w:val="17"/>
                <w:szCs w:val="17"/>
              </w:rPr>
              <w:t xml:space="preserve">C</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7"/>
                <w:szCs w:val="17"/>
              </w:rPr>
              <w:t xml:space="preserve">2, 6, 9</w:t>
            </w:r>
          </w:p>
        </w:tc>
      </w:tr>
    </w:tbl>
    <w:p>
      <w:pPr>
        <w:spacing w:after="160"/>
      </w:pPr>
    </w:p>
    <w:p>
      <w:pPr>
        <w:pStyle w:val="Heading2"/>
        <w:keepNext/>
      </w:pPr>
      <w:r>
        <w:t xml:space="preserve">What the grades mean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400"/>
        <w:gridCol w:w="5626"/>
      </w:tblGrid>
      <w:tr>
        <w:trPr>
          <w:cantSplit/>
          <w:tblHeader/>
        </w:trPr>
        <w:tc>
          <w:tcPr>
            <w:tcW w:type="dxa" w:w="10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center"/>
            </w:pPr>
            <w:r>
              <w:rPr>
                <w:b/>
                <w:bCs/>
                <w:color w:val="FFFFFF"/>
                <w:sz w:val="19"/>
                <w:szCs w:val="19"/>
              </w:rPr>
              <w:t xml:space="preserve">Grade</w:t>
            </w:r>
          </w:p>
        </w:tc>
        <w:tc>
          <w:tcPr>
            <w:tcW w:type="dxa" w:w="24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9"/>
                <w:szCs w:val="19"/>
              </w:rPr>
              <w:t xml:space="preserve">Type</w:t>
            </w:r>
          </w:p>
        </w:tc>
        <w:tc>
          <w:tcPr>
            <w:tcW w:type="dxa" w:w="56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9"/>
                <w:szCs w:val="19"/>
              </w:rPr>
              <w:t xml:space="preserve">Examples and how much weight it gets</w:t>
            </w:r>
          </w:p>
        </w:tc>
      </w:tr>
      <w:tr>
        <w:trPr>
          <w:cantSplit/>
        </w:trPr>
        <w:tc>
          <w:tcPr>
            <w:tcW w:type="dxa" w:w="1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9"/>
                <w:szCs w:val="19"/>
              </w:rPr>
              <w:t xml:space="preserve">A</w:t>
            </w:r>
          </w:p>
        </w:tc>
        <w:tc>
          <w:tcPr>
            <w:tcW w:type="dxa" w:w="24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9"/>
                <w:szCs w:val="19"/>
              </w:rPr>
              <w:t xml:space="preserve">Primary or official</w:t>
            </w:r>
          </w:p>
        </w:tc>
        <w:tc>
          <w:tcPr>
            <w:tcW w:type="dxa" w:w="56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9"/>
                <w:szCs w:val="19"/>
              </w:rPr>
              <w:t xml:space="preserve">The organisation’s own publication: WPP’s 2025 preliminary results [10] and 2026 interim results [1]. Figures can be used directly.</w:t>
            </w:r>
          </w:p>
        </w:tc>
      </w:tr>
      <w:tr>
        <w:trPr>
          <w:cantSplit/>
        </w:trPr>
        <w:tc>
          <w:tcPr>
            <w:tcW w:type="dxa" w:w="1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9"/>
                <w:szCs w:val="19"/>
              </w:rPr>
              <w:t xml:space="preserve">B</w:t>
            </w:r>
          </w:p>
        </w:tc>
        <w:tc>
          <w:tcPr>
            <w:tcW w:type="dxa" w:w="24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b/>
                <w:bCs/>
                <w:color w:val="2B2233"/>
                <w:sz w:val="19"/>
                <w:szCs w:val="19"/>
              </w:rPr>
              <w:t xml:space="preserve">Professional analysis</w:t>
            </w:r>
          </w:p>
        </w:tc>
        <w:tc>
          <w:tcPr>
            <w:tcW w:type="dxa" w:w="56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9"/>
                <w:szCs w:val="19"/>
              </w:rPr>
              <w:t xml:space="preserve">Law-firm, consultancy or regulator commentary. None is used in this project so far.</w:t>
            </w:r>
          </w:p>
        </w:tc>
      </w:tr>
      <w:tr>
        <w:trPr>
          <w:cantSplit/>
        </w:trPr>
        <w:tc>
          <w:tcPr>
            <w:tcW w:type="dxa" w:w="1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9"/>
                <w:szCs w:val="19"/>
              </w:rPr>
              <w:t xml:space="preserve">C</w:t>
            </w:r>
          </w:p>
        </w:tc>
        <w:tc>
          <w:tcPr>
            <w:tcW w:type="dxa" w:w="24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9"/>
                <w:szCs w:val="19"/>
              </w:rPr>
              <w:t xml:space="preserve">Media, trade press or vendor research</w:t>
            </w:r>
          </w:p>
        </w:tc>
        <w:tc>
          <w:tcPr>
            <w:tcW w:type="dxa" w:w="56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9"/>
                <w:szCs w:val="19"/>
              </w:rPr>
              <w:t xml:space="preserve">News and trade articles relaying other people’s figures, and surveys published by software vendors. Used to find facts and signals, then cross-checked. A figure that only one such source gives is not used in the model without a label.</w:t>
            </w:r>
          </w:p>
        </w:tc>
      </w:tr>
    </w:tbl>
    <w:p>
      <w:pPr>
        <w:pStyle w:val="Heading1"/>
        <w:keepNext/>
      </w:pPr>
      <w:r>
        <w:t xml:space="preserve">Conflicts register</w:t>
      </w:r>
    </w:p>
    <w:p>
      <w:pPr>
        <w:keepNext/>
        <w:keepLines/>
        <w:spacing w:after="100" w:before="0" w:line="276"/>
      </w:pPr>
      <w:r>
        <w:rPr>
          <w:color w:val="2B2233"/>
          <w:sz w:val="21"/>
          <w:szCs w:val="21"/>
        </w:rPr>
        <w:t xml:space="preserve">Where sources disagree, the project uses the value in the last column. Items marked “Resolved” are settled by WPP’s own results announcements.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100"/>
        <w:gridCol w:w="1000"/>
        <w:gridCol w:w="3226"/>
      </w:tblGrid>
      <w:tr>
        <w:trPr>
          <w:cantSplit/>
          <w:tblHeader/>
        </w:trPr>
        <w:tc>
          <w:tcPr>
            <w:tcW w:type="dxa" w:w="17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7"/>
                <w:szCs w:val="17"/>
              </w:rPr>
              <w:t xml:space="preserve">Item</w:t>
            </w:r>
          </w:p>
        </w:tc>
        <w:tc>
          <w:tcPr>
            <w:tcW w:type="dxa" w:w="31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7"/>
                <w:szCs w:val="17"/>
              </w:rPr>
              <w:t xml:space="preserve">What the sources say</w:t>
            </w:r>
          </w:p>
        </w:tc>
        <w:tc>
          <w:tcPr>
            <w:tcW w:type="dxa" w:w="10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7"/>
                <w:szCs w:val="17"/>
              </w:rPr>
              <w:t xml:space="preserve">Sources</w:t>
            </w:r>
          </w:p>
        </w:tc>
        <w:tc>
          <w:tcPr>
            <w:tcW w:type="dxa" w:w="32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7"/>
                <w:szCs w:val="17"/>
              </w:rPr>
              <w:t xml:space="preserve">Value used and why</w:t>
            </w:r>
          </w:p>
        </w:tc>
      </w:tr>
      <w:tr>
        <w:trPr>
          <w:cantSplit/>
        </w:trPr>
        <w:tc>
          <w:tcPr>
            <w:tcW w:type="dxa" w:w="1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7"/>
                <w:szCs w:val="17"/>
              </w:rPr>
              <w:t xml:space="preserve">2025 full-year revenue less pass-through costs</w:t>
            </w:r>
          </w:p>
        </w:tc>
        <w:tc>
          <w:tcPr>
            <w:tcW w:type="dxa" w:w="3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Down 10.4% (£10,176m); down 5.4%; “down 5.4% to $13.6bn (£10.1bn)”</w:t>
            </w:r>
          </w:p>
        </w:tc>
        <w:tc>
          <w:tcPr>
            <w:tcW w:type="dxa" w:w="1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7"/>
                <w:szCs w:val="17"/>
              </w:rPr>
              <w:t xml:space="preserve">[10] vs [4][5]</w:t>
            </w:r>
          </w:p>
        </w:tc>
        <w:tc>
          <w:tcPr>
            <w:tcW w:type="dxa" w:w="32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Resolved: £10,176m, down 10.4% reported and 5.4% like for like [10]. Both percentages are right; they use different bases. The $13.6bn in one article matches reported revenue (£13,550m) rather than revenue less pass-through costs.</w:t>
            </w:r>
          </w:p>
        </w:tc>
      </w:tr>
      <w:tr>
        <w:trPr>
          <w:cantSplit/>
        </w:trPr>
        <w:tc>
          <w:tcPr>
            <w:tcW w:type="dxa" w:w="1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b/>
                <w:bCs/>
                <w:color w:val="2B2233"/>
                <w:sz w:val="17"/>
                <w:szCs w:val="17"/>
              </w:rPr>
              <w:t xml:space="preserve">Headcount</w:t>
            </w:r>
          </w:p>
        </w:tc>
        <w:tc>
          <w:tcPr>
            <w:tcW w:type="dxa" w:w="3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97,388 at 30 June 2026 against 104,083 a year earlier; average headcount down 8.4% from 106,000 to 97,000</w:t>
            </w:r>
          </w:p>
        </w:tc>
        <w:tc>
          <w:tcPr>
            <w:tcW w:type="dxa" w:w="1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7"/>
                <w:szCs w:val="17"/>
              </w:rPr>
              <w:t xml:space="preserve">[1] vs [3]</w:t>
            </w:r>
          </w:p>
        </w:tc>
        <w:tc>
          <w:tcPr>
            <w:tcW w:type="dxa" w:w="32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Resolved: both are right but measure different things. The project quotes WPP’s period-end figures [1] (down 6.4%, my arithmetic) and notes the 8.4% as an average-headcount measure [3].</w:t>
            </w:r>
          </w:p>
        </w:tc>
      </w:tr>
      <w:tr>
        <w:trPr>
          <w:cantSplit/>
        </w:trPr>
        <w:tc>
          <w:tcPr>
            <w:tcW w:type="dxa" w:w="1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7"/>
                <w:szCs w:val="17"/>
              </w:rPr>
              <w:t xml:space="preserve">Savings target</w:t>
            </w:r>
          </w:p>
        </w:tc>
        <w:tc>
          <w:tcPr>
            <w:tcW w:type="dxa" w:w="3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£500m gross annualised savings by 2028; “$676m annual cost-cutting plan”</w:t>
            </w:r>
          </w:p>
        </w:tc>
        <w:tc>
          <w:tcPr>
            <w:tcW w:type="dxa" w:w="1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7"/>
                <w:szCs w:val="17"/>
              </w:rPr>
              <w:t xml:space="preserve">[10] vs [4]</w:t>
            </w:r>
          </w:p>
        </w:tc>
        <w:tc>
          <w:tcPr>
            <w:tcW w:type="dxa" w:w="32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Resolved: the same target in two currencies. The project uses £500m [10]. Total cash costs to deliver it are about £400m over two years [10].</w:t>
            </w:r>
          </w:p>
        </w:tc>
      </w:tr>
      <w:tr>
        <w:trPr>
          <w:cantSplit/>
        </w:trPr>
        <w:tc>
          <w:tcPr>
            <w:tcW w:type="dxa" w:w="1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b/>
                <w:bCs/>
                <w:color w:val="2B2233"/>
                <w:sz w:val="17"/>
                <w:szCs w:val="17"/>
              </w:rPr>
              <w:t xml:space="preserve">WPP units reported</w:t>
            </w:r>
          </w:p>
        </w:tc>
        <w:tc>
          <w:tcPr>
            <w:tcW w:type="dxa" w:w="3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Four operating units; three reported lines (Media, Creative including Enterprise Solutions, Production)</w:t>
            </w:r>
          </w:p>
        </w:tc>
        <w:tc>
          <w:tcPr>
            <w:tcW w:type="dxa" w:w="1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center"/>
            </w:pPr>
            <w:r>
              <w:rPr>
                <w:color w:val="2B2233"/>
                <w:sz w:val="17"/>
                <w:szCs w:val="17"/>
              </w:rPr>
              <w:t xml:space="preserve">[10] vs [1]</w:t>
            </w:r>
          </w:p>
        </w:tc>
        <w:tc>
          <w:tcPr>
            <w:tcW w:type="dxa" w:w="32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Resolved: there are four units, but WPP reports Enterprise Solutions inside Creative until 2027 [1]. The project shows three reported lines.</w:t>
            </w:r>
          </w:p>
        </w:tc>
      </w:tr>
      <w:tr>
        <w:trPr>
          <w:cantSplit/>
        </w:trPr>
        <w:tc>
          <w:tcPr>
            <w:tcW w:type="dxa" w:w="1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b/>
                <w:bCs/>
                <w:color w:val="2B2233"/>
                <w:sz w:val="17"/>
                <w:szCs w:val="17"/>
              </w:rPr>
              <w:t xml:space="preserve">Production-time claim</w:t>
            </w:r>
          </w:p>
        </w:tc>
        <w:tc>
          <w:tcPr>
            <w:tcW w:type="dxa" w:w="3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WPP “claiming to cut content production times by up to 70%”</w:t>
            </w:r>
          </w:p>
        </w:tc>
        <w:tc>
          <w:tcPr>
            <w:tcW w:type="dxa" w:w="1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center"/>
            </w:pPr>
            <w:r>
              <w:rPr>
                <w:color w:val="2B2233"/>
                <w:sz w:val="17"/>
                <w:szCs w:val="17"/>
              </w:rPr>
              <w:t xml:space="preserve">[6]</w:t>
            </w:r>
          </w:p>
        </w:tc>
        <w:tc>
          <w:tcPr>
            <w:tcW w:type="dxa" w:w="32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Not settled: only a headline and standfirst are readable, with no named speaker or method. The project treats it as an optimistic scenario, never as a fact.</w:t>
            </w:r>
          </w:p>
        </w:tc>
      </w:tr>
    </w:tbl>
    <w:p>
      <w:pPr>
        <w:pStyle w:val="Heading1"/>
        <w:keepNext/>
      </w:pPr>
      <w:r>
        <w:t xml:space="preserve">Sources excluded, and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526"/>
      </w:tblGrid>
      <w:tr>
        <w:trPr>
          <w:cantSplit/>
          <w:tblHeader/>
        </w:trPr>
        <w:tc>
          <w:tcPr>
            <w:tcW w:type="dxa" w:w="35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7"/>
                <w:szCs w:val="17"/>
              </w:rPr>
              <w:t xml:space="preserve">Source</w:t>
            </w:r>
          </w:p>
        </w:tc>
        <w:tc>
          <w:tcPr>
            <w:tcW w:type="dxa" w:w="55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7"/>
                <w:szCs w:val="17"/>
              </w:rPr>
              <w:t xml:space="preserve">Reason</w:t>
            </w:r>
          </w:p>
        </w:tc>
      </w:tr>
      <w:tr>
        <w:trPr>
          <w:cantSplit/>
        </w:trPr>
        <w:tc>
          <w:tcPr>
            <w:tcW w:type="dxa" w:w="3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Vendor blog posts repeating the Meta “fully automated ads” story</w:t>
            </w:r>
          </w:p>
        </w:tc>
        <w:tc>
          <w:tcPr>
            <w:tcW w:type="dxa" w:w="55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They repeat one Wall Street Journal report without adding facts. One article that cites the report is used instead [14].</w:t>
            </w:r>
          </w:p>
        </w:tc>
      </w:tr>
      <w:tr>
        <w:trPr>
          <w:cantSplit/>
        </w:trPr>
        <w:tc>
          <w:tcPr>
            <w:tcW w:type="dxa" w:w="3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Sites that describe the Forrester survey without a link to the report</w:t>
            </w:r>
          </w:p>
        </w:tc>
        <w:tc>
          <w:tcPr>
            <w:tcW w:type="dxa" w:w="55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The report is not public. The MediaPost article is the best available account [8].</w:t>
            </w:r>
          </w:p>
        </w:tc>
      </w:tr>
      <w:tr>
        <w:trPr>
          <w:cantSplit/>
        </w:trPr>
        <w:tc>
          <w:tcPr>
            <w:tcW w:type="dxa" w:w="3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Share-price and analyst-target pages</w:t>
            </w:r>
          </w:p>
        </w:tc>
        <w:tc>
          <w:tcPr>
            <w:tcW w:type="dxa" w:w="55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Not relevant to a workflow question and not a stable source.</w:t>
            </w:r>
          </w:p>
        </w:tc>
      </w:tr>
    </w:tbl>
    <w:p>
      <w:pPr>
        <w:pStyle w:val="Heading1"/>
        <w:keepNext/>
      </w:pPr>
      <w:r>
        <w:t xml:space="preserve">Still to read before the project is final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3200"/>
        <w:gridCol w:w="2526"/>
      </w:tblGrid>
      <w:tr>
        <w:trPr>
          <w:cantSplit/>
          <w:tblHeader/>
        </w:trPr>
        <w:tc>
          <w:tcPr>
            <w:tcW w:type="dxa" w:w="33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7"/>
                <w:szCs w:val="17"/>
              </w:rPr>
              <w:t xml:space="preserve">Document</w:t>
            </w:r>
          </w:p>
        </w:tc>
        <w:tc>
          <w:tcPr>
            <w:tcW w:type="dxa" w:w="3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7"/>
                <w:szCs w:val="17"/>
              </w:rPr>
              <w:t xml:space="preserve">What it would settle</w:t>
            </w:r>
          </w:p>
        </w:tc>
        <w:tc>
          <w:tcPr>
            <w:tcW w:type="dxa" w:w="25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Next w:val="false"/>
              <w:keepLines/>
              <w:spacing w:after="0" w:line="252"/>
              <w:jc w:val="left"/>
            </w:pPr>
            <w:r>
              <w:rPr>
                <w:b/>
                <w:bCs/>
                <w:color w:val="FFFFFF"/>
                <w:sz w:val="17"/>
                <w:szCs w:val="17"/>
              </w:rPr>
              <w:t xml:space="preserve">Status</w:t>
            </w:r>
          </w:p>
        </w:tc>
      </w:tr>
      <w:tr>
        <w:trPr>
          <w:cantSplit/>
        </w:trPr>
        <w:tc>
          <w:tcPr>
            <w:tcW w:type="dxa" w:w="3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WPP 2025 Annual Report</w:t>
            </w:r>
          </w:p>
        </w:tc>
        <w:tc>
          <w:tcPr>
            <w:tcW w:type="dxa" w:w="3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Full detail on divisions, AI investment and risks, beyond the results announcements</w:t>
            </w:r>
          </w:p>
        </w:tc>
        <w:tc>
          <w:tcPr>
            <w:tcW w:type="dxa" w:w="25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Not yet read</w:t>
            </w:r>
          </w:p>
        </w:tc>
      </w:tr>
      <w:tr>
        <w:trPr>
          <w:cantSplit/>
        </w:trPr>
        <w:tc>
          <w:tcPr>
            <w:tcW w:type="dxa" w:w="3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WPP and Google press release on the $400m partnership</w:t>
            </w:r>
          </w:p>
        </w:tc>
        <w:tc>
          <w:tcPr>
            <w:tcW w:type="dxa" w:w="3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Whether the “up to 70%” claim comes from WPP, Google or a case study</w:t>
            </w:r>
          </w:p>
        </w:tc>
        <w:tc>
          <w:tcPr>
            <w:tcW w:type="dxa" w:w="25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Only a paywalled headline read [6]</w:t>
            </w:r>
          </w:p>
        </w:tc>
      </w:tr>
      <w:tr>
        <w:trPr>
          <w:cantSplit/>
        </w:trPr>
        <w:tc>
          <w:tcPr>
            <w:tcW w:type="dxa" w:w="3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Forrester report “The State of AI Inside US Marketing Agencies 2026”</w:t>
            </w:r>
          </w:p>
        </w:tc>
        <w:tc>
          <w:tcPr>
            <w:tcW w:type="dxa" w:w="3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Confirms the survey figures and sample</w:t>
            </w:r>
          </w:p>
        </w:tc>
        <w:tc>
          <w:tcPr>
            <w:tcW w:type="dxa" w:w="25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Not public; read through MediaPost [8]</w:t>
            </w:r>
          </w:p>
        </w:tc>
      </w:tr>
      <w:tr>
        <w:trPr>
          <w:cantSplit/>
        </w:trPr>
        <w:tc>
          <w:tcPr>
            <w:tcW w:type="dxa" w:w="3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The Drum and Campaign analysis of Elevate28 and WPP Production</w:t>
            </w:r>
          </w:p>
        </w:tc>
        <w:tc>
          <w:tcPr>
            <w:tcW w:type="dxa" w:w="3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A second view of whether Production is a growth engine</w:t>
            </w:r>
          </w:p>
        </w:tc>
        <w:tc>
          <w:tcPr>
            <w:tcW w:type="dxa" w:w="25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Next w:val="false"/>
              <w:keepLines/>
              <w:spacing w:after="0" w:line="252"/>
              <w:jc w:val="left"/>
            </w:pPr>
            <w:r>
              <w:rPr>
                <w:color w:val="2B2233"/>
                <w:sz w:val="17"/>
                <w:szCs w:val="17"/>
              </w:rPr>
              <w:t xml:space="preserve">Not yet read; one is paywalled</w:t>
            </w:r>
          </w:p>
        </w:tc>
      </w:tr>
    </w:tbl>
    <w:p>
      <w:pPr>
        <w:pStyle w:val="Heading1"/>
        <w:keepNext/>
      </w:pPr>
      <w:r>
        <w:t xml:space="preserve">What to check before client use</w:t>
      </w:r>
    </w:p>
    <w:p>
      <w:pPr>
        <w:pStyle w:val="ListParagraph"/>
        <w:keepLines/>
        <w:numPr>
          <w:ilvl w:val="0"/>
          <w:numId w:val="2"/>
        </w:numPr>
        <w:spacing w:after="60" w:line="276"/>
      </w:pPr>
      <w:r>
        <w:rPr>
          <w:color w:val="2B2233"/>
          <w:sz w:val="21"/>
          <w:szCs w:val="21"/>
        </w:rPr>
        <w:t xml:space="preserve">Open the primary documents (A grade) and confirm the figures. The results announcements may be updated or restated.</w:t>
      </w:r>
    </w:p>
    <w:p>
      <w:pPr>
        <w:pStyle w:val="ListParagraph"/>
        <w:keepLines/>
        <w:numPr>
          <w:ilvl w:val="0"/>
          <w:numId w:val="2"/>
        </w:numPr>
        <w:spacing w:after="60" w:line="276"/>
      </w:pPr>
      <w:r>
        <w:rPr>
          <w:color w:val="2B2233"/>
          <w:sz w:val="21"/>
          <w:szCs w:val="21"/>
        </w:rPr>
        <w:t xml:space="preserve">Re-check every statistic from a survey [8][9] against the original report if it becomes available. Both surveys are used only as signals.</w:t>
      </w:r>
    </w:p>
    <w:p>
      <w:pPr>
        <w:pStyle w:val="ListParagraph"/>
        <w:keepLines/>
        <w:numPr>
          <w:ilvl w:val="0"/>
          <w:numId w:val="2"/>
        </w:numPr>
        <w:spacing w:after="60" w:line="276"/>
      </w:pPr>
      <w:r>
        <w:rPr>
          <w:color w:val="2B2233"/>
          <w:sz w:val="21"/>
          <w:szCs w:val="21"/>
        </w:rPr>
        <w:t xml:space="preserve">Treat WPP’s own AI claims, such as the 70% production-time reduction [6], as the company’s positioning until a method is published.</w:t>
      </w:r>
    </w:p>
    <w:p>
      <w:pPr>
        <w:pStyle w:val="ListParagraph"/>
        <w:keepLines/>
        <w:numPr>
          <w:ilvl w:val="0"/>
          <w:numId w:val="2"/>
        </w:numPr>
        <w:spacing w:after="140" w:line="276"/>
      </w:pPr>
      <w:r>
        <w:rPr>
          <w:color w:val="2B2233"/>
          <w:sz w:val="21"/>
          <w:szCs w:val="21"/>
        </w:rPr>
        <w:t xml:space="preserve">Read “illustrative” on every volume, hour and cost in later deliverables. WPP does not publish its internal workflows.</w:t>
      </w:r>
    </w:p>
    <w:sectPr>
      <w:headerReference w:type="default" r:id="rId7"/>
      <w:footerReference w:type="default" r:id="rId8"/>
      <w:pgSz w:w="11906" w:h="16838" w:orient="portrait"/>
      <w:pgMar w:top="1300" w:right="1440" w:bottom="1250" w:left="1440"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FE3" w:sz="6" w:space="4"/>
      </w:pBdr>
      <w:tabs>
        <w:tab w:val="right" w:pos="9026"/>
      </w:tabs>
      <w:spacing w:before="0"/>
    </w:pPr>
    <w:r>
      <w:rPr>
        <w:color w:val="6E6378"/>
        <w:sz w:val="15"/>
        <w:szCs w:val="15"/>
      </w:rPr>
      <w:t xml:space="preserve">Independent portfolio analysis using public information only. Not affiliated with or endorsed by WPP. Model inputs are illustrative.</w:t>
    </w:r>
    <w:r>
      <w:rPr>
        <w:color w:val="6E6378"/>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E3" w:sz="6" w:space="4"/>
      </w:pBdr>
      <w:tabs>
        <w:tab w:val="right" w:pos="9026"/>
      </w:tabs>
      <w:spacing w:after="0"/>
    </w:pPr>
    <w:r>
      <w:rPr>
        <w:color w:val="6E6378"/>
        <w:sz w:val="17"/>
        <w:szCs w:val="17"/>
      </w:rPr>
      <w:t xml:space="preserve">WPP: Where Humans Stay in the Loop</w:t>
    </w:r>
    <w:r>
      <w:rPr>
        <w:color w:val="6E6378"/>
        <w:sz w:val="17"/>
        <w:szCs w:val="17"/>
      </w:rPr>
      <w:t xml:space="preserve">	Deliverable 1 of 13 · Source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6B3F7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2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40"/>
      <w:outlineLvl w:val="0"/>
    </w:pPr>
    <w:rPr>
      <w:rFonts w:ascii="Cambria" w:cs="Cambria" w:eastAsia="Cambria" w:hAnsi="Cambria"/>
      <w:b/>
      <w:bCs/>
      <w:color w:val="483050"/>
      <w:sz w:val="32"/>
      <w:szCs w:val="32"/>
    </w:rPr>
  </w:style>
  <w:style w:type="paragraph" w:styleId="Heading2">
    <w:name w:val="Heading 2"/>
    <w:basedOn w:val="Normal"/>
    <w:next w:val="Normal"/>
    <w:qFormat/>
    <w:pPr>
      <w:spacing w:after="90" w:before="220"/>
      <w:outlineLvl w:val="1"/>
    </w:pPr>
    <w:rPr>
      <w:rFonts w:ascii="Calibri" w:cs="Calibri" w:eastAsia="Calibri" w:hAnsi="Calibri"/>
      <w:b/>
      <w:bCs/>
      <w:color w:val="6B3F7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t5idkmfwml9wiguitmma" Type="http://schemas.openxmlformats.org/officeDocument/2006/relationships/hyperlink" Target="https://www.investegate.co.uk/announcement/rns/wpp--wpp/2026-interim-results/9707289" TargetMode="External"/><Relationship Id="rIdaprudtqjqayakjnkzmtg-" Type="http://schemas.openxmlformats.org/officeDocument/2006/relationships/hyperlink" Target="https://www.campaignlive.com/article/wpp-reports-28-revenue-drop-q2/1966736" TargetMode="External"/><Relationship Id="rIdx6am8blfwadjodtcuph42" Type="http://schemas.openxmlformats.org/officeDocument/2006/relationships/hyperlink" Target="https://www.adweek.com/agencies/wpp-is-on-track-with-turnaround-plan-as-revenue-drops-56-in-first-half-of-2026/" TargetMode="External"/><Relationship Id="rIdilgscm91s27v5ipkqkqzb" Type="http://schemas.openxmlformats.org/officeDocument/2006/relationships/hyperlink" Target="https://www.adweek.com/agencies/cindy-rose-says-wpp-no-longer-a-holdco-as-676m-annual-savings-drive-begins/" TargetMode="External"/><Relationship Id="rIdhgypew7f7vtakreiw1zhi" Type="http://schemas.openxmlformats.org/officeDocument/2006/relationships/hyperlink" Target="https://www.emarketer.com/content/wpp-s-rocky-q4-underscores-ai-disruption-across-agencies" TargetMode="External"/><Relationship Id="rIdk2y4bpepedd8qk3t-xx4p" Type="http://schemas.openxmlformats.org/officeDocument/2006/relationships/hyperlink" Target="https://www.campaignasia.com/article/wpp-bets-on-400-million-google-ai-alliance/505348" TargetMode="External"/><Relationship Id="rIdpfb3pbgga5zet9dyhsixf" Type="http://schemas.openxmlformats.org/officeDocument/2006/relationships/hyperlink" Target="https://www.webpronews.com/wpps-ai-tool-lets-brands-skip-agencies-for-ad-creation/" TargetMode="External"/><Relationship Id="rIdovt37wgsf4v2v52szmw-h" Type="http://schemas.openxmlformats.org/officeDocument/2006/relationships/hyperlink" Target="https://www.mediapost.com/publications/article/416324/" TargetMode="External"/><Relationship Id="rIdz1i6dblqsqijfxg4fovml" Type="http://schemas.openxmlformats.org/officeDocument/2006/relationships/hyperlink" Target="https://cmotech.uk/story/ai-speeds-up-content-production-but-sameness-a-problem" TargetMode="External"/><Relationship Id="rIdyd_akdjyjli1xgwwruwun" Type="http://schemas.openxmlformats.org/officeDocument/2006/relationships/hyperlink" Target="https://www.investegate.co.uk/announcement/rns/wpp--wpp/strategy-update-and-2025-preliminary-results/9447502" TargetMode="External"/><Relationship Id="rIdr4gsqhjherjscbgfvkt5a" Type="http://schemas.openxmlformats.org/officeDocument/2006/relationships/hyperlink" Target="https://www.emarketer.com/content/why-wpp-rebuilding-its-production-model-always-on-marketing" TargetMode="External"/><Relationship Id="rIdcwecpafrtwtcmggn4hikz" Type="http://schemas.openxmlformats.org/officeDocument/2006/relationships/hyperlink" Target="https://www.mediaweek.com.au/wpp-unifies-10000-creatives-into-a-single-global-content-factory-for-the-ai-era" TargetMode="External"/><Relationship Id="rId3vpeooabtybf-ipoohptx" Type="http://schemas.openxmlformats.org/officeDocument/2006/relationships/hyperlink" Target="https://www.emarketer.com/content/faq-on-ad-agencies--consolidation--ai-disruption--what-s-changing-2026" TargetMode="External"/><Relationship Id="rIduugi4_-jz8o-gy_3rlcbe" Type="http://schemas.openxmlformats.org/officeDocument/2006/relationships/hyperlink" Target="https://www.mediapost.com/publications/article/406315/meta-plans-to-automate-all-ad-creation-by-2026-re.html"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Log (Deliverable 1 of 13)</dc:title>
  <dc:creator>Portfolio project</dc:creator>
  <dc:description>WPP: Where Humans Stay in the Loop (portfolio project 2)</dc:description>
  <cp:lastModifiedBy>Un-named</cp:lastModifiedBy>
  <cp:revision>1</cp:revision>
  <dcterms:created xsi:type="dcterms:W3CDTF">2026-10-21T17:31:15.981Z</dcterms:created>
  <dcterms:modified xsi:type="dcterms:W3CDTF">2026-10-21T17:31:15.981Z</dcterms:modified>
</cp:coreProperties>
</file>

<file path=docProps/custom.xml><?xml version="1.0" encoding="utf-8"?>
<Properties xmlns="http://schemas.openxmlformats.org/officeDocument/2006/custom-properties" xmlns:vt="http://schemas.openxmlformats.org/officeDocument/2006/docPropsVTypes"/>
</file>