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8B8E0" w14:textId="77777777" w:rsidR="00E134A7" w:rsidRDefault="003612E0">
      <w:pPr>
        <w:spacing w:after="0" w:line="259" w:lineRule="auto"/>
        <w:ind w:left="150" w:firstLine="0"/>
      </w:pPr>
      <w:r>
        <w:rPr>
          <w:color w:val="1F4E79"/>
          <w:sz w:val="56"/>
        </w:rPr>
        <w:t xml:space="preserve">Indian Stock Market Microstructure </w:t>
      </w:r>
    </w:p>
    <w:p w14:paraId="2DD92997" w14:textId="77777777" w:rsidR="00E134A7" w:rsidRDefault="003612E0">
      <w:pPr>
        <w:spacing w:after="0" w:line="259" w:lineRule="auto"/>
        <w:ind w:left="43" w:firstLine="0"/>
        <w:jc w:val="center"/>
      </w:pPr>
      <w:r>
        <w:rPr>
          <w:color w:val="1F4E79"/>
          <w:sz w:val="56"/>
        </w:rPr>
        <w:t>Analysis</w:t>
      </w:r>
    </w:p>
    <w:p w14:paraId="7F1D60B4" w14:textId="77777777" w:rsidR="00E134A7" w:rsidRDefault="003612E0">
      <w:pPr>
        <w:spacing w:after="1105" w:line="259" w:lineRule="auto"/>
        <w:ind w:left="56" w:firstLine="0"/>
        <w:jc w:val="center"/>
      </w:pPr>
      <w:r>
        <w:rPr>
          <w:color w:val="595959"/>
          <w:sz w:val="28"/>
        </w:rPr>
        <w:t>Research Report</w:t>
      </w:r>
    </w:p>
    <w:p w14:paraId="2513CF98" w14:textId="4E081BD5" w:rsidR="00E134A7" w:rsidRDefault="003612E0">
      <w:pPr>
        <w:spacing w:after="70" w:line="259" w:lineRule="auto"/>
        <w:ind w:left="58"/>
        <w:jc w:val="center"/>
      </w:pPr>
      <w:r>
        <w:rPr>
          <w:color w:val="595959"/>
          <w:sz w:val="22"/>
        </w:rPr>
        <w:t xml:space="preserve">Internship </w:t>
      </w:r>
      <w:r>
        <w:rPr>
          <w:color w:val="595959"/>
          <w:sz w:val="22"/>
        </w:rPr>
        <w:t>Project</w:t>
      </w:r>
    </w:p>
    <w:p w14:paraId="040FAF32" w14:textId="77777777" w:rsidR="00E134A7" w:rsidRDefault="003612E0">
      <w:pPr>
        <w:spacing w:after="70" w:line="259" w:lineRule="auto"/>
        <w:ind w:left="58" w:right="7"/>
        <w:jc w:val="center"/>
      </w:pPr>
      <w:r>
        <w:rPr>
          <w:color w:val="595959"/>
          <w:sz w:val="22"/>
        </w:rPr>
        <w:t>Data Science / Machine Learning Track</w:t>
      </w:r>
    </w:p>
    <w:p w14:paraId="68C0D4BF" w14:textId="2DE0BE58" w:rsidR="00E134A7" w:rsidRDefault="003612E0">
      <w:pPr>
        <w:spacing w:after="70" w:line="259" w:lineRule="auto"/>
        <w:ind w:left="58" w:right="2"/>
        <w:jc w:val="center"/>
      </w:pPr>
      <w:r>
        <w:br w:type="page"/>
      </w:r>
    </w:p>
    <w:p w14:paraId="48AE9D72" w14:textId="77777777" w:rsidR="00E134A7" w:rsidRDefault="003612E0">
      <w:pPr>
        <w:pStyle w:val="Heading1"/>
        <w:numPr>
          <w:ilvl w:val="0"/>
          <w:numId w:val="0"/>
        </w:numPr>
        <w:ind w:left="-5"/>
      </w:pPr>
      <w:r>
        <w:lastRenderedPageBreak/>
        <w:t>Abstract</w:t>
      </w:r>
    </w:p>
    <w:p w14:paraId="6DDAF421" w14:textId="77777777" w:rsidR="00E134A7" w:rsidRDefault="003612E0">
      <w:pPr>
        <w:spacing w:after="0"/>
        <w:ind w:left="-5"/>
      </w:pPr>
      <w:r>
        <w:t>This report presents a research study of Indian equity market behavior using publicly available daily price and volume data for the NIFTY 50 index (or a selected NSE-listed stock/index). Because true tick-level order-book data is impractical to obtain for a beginner-scale project, this study uses daily Open-High-Low-Close-Volume (OHLCV) data as a simplified proxy for market microstructure. The analysis combines exploratory data analysis, statistical hypothesis testing, and unsupervised machine learning (clu</w:t>
      </w:r>
      <w:r>
        <w:t xml:space="preserve">stering) to characterize how return, volatility, and trading volume interact, and to identify distinct, data-driven “market regimes” within the historical price series. A supervised classifier is additionally used to validate the internal consistency of the </w:t>
      </w:r>
    </w:p>
    <w:p w14:paraId="03D48E67" w14:textId="77777777" w:rsidR="00E134A7" w:rsidRDefault="003612E0">
      <w:pPr>
        <w:spacing w:after="450"/>
        <w:ind w:left="-5"/>
      </w:pPr>
      <w:r>
        <w:t>discovered regimes. All findings in this report are descriptive and historical in nature; the study does not propose or evaluate any trading strategy.</w:t>
      </w:r>
    </w:p>
    <w:p w14:paraId="0C67B500" w14:textId="77777777" w:rsidR="00E134A7" w:rsidRDefault="003612E0">
      <w:pPr>
        <w:pStyle w:val="Heading1"/>
        <w:spacing w:after="212"/>
        <w:ind w:left="341" w:hanging="356"/>
      </w:pPr>
      <w:r>
        <w:t>Introduction</w:t>
      </w:r>
    </w:p>
    <w:p w14:paraId="01978198" w14:textId="77777777" w:rsidR="00E134A7" w:rsidRDefault="003612E0">
      <w:pPr>
        <w:spacing w:after="119" w:line="259" w:lineRule="auto"/>
        <w:ind w:left="-5"/>
      </w:pPr>
      <w:r>
        <w:rPr>
          <w:color w:val="1F4E79"/>
          <w:sz w:val="26"/>
        </w:rPr>
        <w:t>1.1 Background</w:t>
      </w:r>
    </w:p>
    <w:p w14:paraId="2C53475D" w14:textId="77777777" w:rsidR="00E134A7" w:rsidRDefault="003612E0">
      <w:pPr>
        <w:spacing w:after="0"/>
        <w:ind w:left="-5"/>
      </w:pPr>
      <w:r>
        <w:t xml:space="preserve">Market microstructure is the branch of financial economics concerned with the process by which investors' latent demands are translated into transactions — prices, quotes, order flow, and trading volume. It seeks to explain why, even absent new fundamental information, prices and trading activity fluctuate at high frequency, and how liquidity </w:t>
      </w:r>
    </w:p>
    <w:p w14:paraId="11E57589" w14:textId="77777777" w:rsidR="00E134A7" w:rsidRDefault="003612E0">
      <w:pPr>
        <w:spacing w:after="150"/>
        <w:ind w:left="-5"/>
      </w:pPr>
      <w:r>
        <w:t>and volatility are related. Traditionally, microstructure research relies on tick-by-tick trade and quote data, which is costly and complex to obtain and process.</w:t>
      </w:r>
    </w:p>
    <w:p w14:paraId="2ADAB0F8" w14:textId="77777777" w:rsidR="00E134A7" w:rsidRDefault="003612E0">
      <w:pPr>
        <w:spacing w:after="0"/>
        <w:ind w:left="-5"/>
      </w:pPr>
      <w:r>
        <w:t xml:space="preserve">At the same time, several of microstructure's central empirical themes are visible even in daily data — most notably the well-documented positive relationship between trading volume and price volatility, and the tendency for volatility to cluster in time (periods of high volatility are followed by more high volatility, and calm periods persist). This </w:t>
      </w:r>
    </w:p>
    <w:p w14:paraId="22C3F206" w14:textId="77777777" w:rsidR="00E134A7" w:rsidRDefault="003612E0">
      <w:pPr>
        <w:spacing w:after="304"/>
        <w:ind w:left="-5"/>
      </w:pPr>
      <w:r>
        <w:t>project treats daily OHLCV data as a tractable, beginner-accessible proxy for studying these themes in the context of the Indian equity market.</w:t>
      </w:r>
    </w:p>
    <w:p w14:paraId="52289CCB" w14:textId="77777777" w:rsidR="00E134A7" w:rsidRDefault="003612E0">
      <w:pPr>
        <w:spacing w:after="119" w:line="259" w:lineRule="auto"/>
        <w:ind w:left="-5"/>
      </w:pPr>
      <w:r>
        <w:rPr>
          <w:color w:val="1F4E79"/>
          <w:sz w:val="26"/>
        </w:rPr>
        <w:t xml:space="preserve">1.2 </w:t>
      </w:r>
      <w:r>
        <w:rPr>
          <w:color w:val="1F4E79"/>
          <w:sz w:val="26"/>
        </w:rPr>
        <w:t>Problem Statement</w:t>
      </w:r>
    </w:p>
    <w:p w14:paraId="7B13FA50" w14:textId="77777777" w:rsidR="00E134A7" w:rsidRDefault="003612E0">
      <w:pPr>
        <w:ind w:left="-5"/>
      </w:pPr>
      <w:r>
        <w:t xml:space="preserve">Retail-accessible research on Indian market behavior rarely goes beyond simple technical-analysis narratives. There is comparatively little beginner-oriented, statistically rigorous, and reproducible analysis that (a) formally tests whether </w:t>
      </w:r>
      <w:proofErr w:type="spellStart"/>
      <w:r>
        <w:t>wellknown</w:t>
      </w:r>
      <w:proofErr w:type="spellEnd"/>
      <w:r>
        <w:t xml:space="preserve"> microstructure relationships (e.g., volume–volatility) hold for Indian indices/ stocks, and (b) attempts to algorithmically discover distinct behavioral regimes in the data, rather than assuming regimes based on calendar periods or news narratives.</w:t>
      </w:r>
    </w:p>
    <w:p w14:paraId="4876BA0F" w14:textId="77777777" w:rsidR="00E134A7" w:rsidRDefault="003612E0">
      <w:pPr>
        <w:spacing w:after="119" w:line="259" w:lineRule="auto"/>
        <w:ind w:left="-5"/>
      </w:pPr>
      <w:r>
        <w:rPr>
          <w:color w:val="1F4E79"/>
          <w:sz w:val="26"/>
        </w:rPr>
        <w:lastRenderedPageBreak/>
        <w:t xml:space="preserve">1.3 </w:t>
      </w:r>
      <w:r>
        <w:rPr>
          <w:color w:val="1F4E79"/>
          <w:sz w:val="26"/>
        </w:rPr>
        <w:t>Objectives</w:t>
      </w:r>
    </w:p>
    <w:p w14:paraId="0DCCB9FA" w14:textId="77777777" w:rsidR="00E134A7" w:rsidRDefault="003612E0">
      <w:pPr>
        <w:ind w:left="730"/>
      </w:pPr>
      <w:r>
        <w:t>Characterize the statistical properties of returns, volatility, and volume for the selected Indian index/stock.</w:t>
      </w:r>
    </w:p>
    <w:p w14:paraId="02076E36" w14:textId="77777777" w:rsidR="00E134A7" w:rsidRDefault="003612E0">
      <w:pPr>
        <w:ind w:left="730"/>
      </w:pPr>
      <w:r>
        <w:t>Formally test the hypothesis that trading volume is associated with the magnitude of price movements.</w:t>
      </w:r>
    </w:p>
    <w:p w14:paraId="721BBE8B" w14:textId="77777777" w:rsidR="00E134A7" w:rsidRDefault="003612E0">
      <w:pPr>
        <w:ind w:left="730"/>
      </w:pPr>
      <w:r>
        <w:t>Engineer a feature set capable of describing each trading day's “behavior” (not just its price level).</w:t>
      </w:r>
    </w:p>
    <w:p w14:paraId="2D69CBCB" w14:textId="77777777" w:rsidR="00E134A7" w:rsidRDefault="003612E0">
      <w:pPr>
        <w:ind w:left="730"/>
      </w:pPr>
      <w:r>
        <w:t>Apply unsupervised clustering (</w:t>
      </w:r>
      <w:proofErr w:type="spellStart"/>
      <w:r>
        <w:t>KMeans</w:t>
      </w:r>
      <w:proofErr w:type="spellEnd"/>
      <w:r>
        <w:t xml:space="preserve"> and Hierarchical Clustering) to discover natural market regimes from these features.</w:t>
      </w:r>
    </w:p>
    <w:p w14:paraId="4EBBE783" w14:textId="77777777" w:rsidR="00E134A7" w:rsidRDefault="003612E0">
      <w:pPr>
        <w:ind w:left="730"/>
      </w:pPr>
      <w:r>
        <w:t>Validate the discovered regimes using a simple supervised classifier and standard evaluation metrics.</w:t>
      </w:r>
    </w:p>
    <w:p w14:paraId="19AD7258" w14:textId="77777777" w:rsidR="00E134A7" w:rsidRDefault="003612E0">
      <w:pPr>
        <w:spacing w:after="304"/>
        <w:ind w:left="730"/>
      </w:pPr>
      <w:r>
        <w:t>Report findings, limitations, and future research directions in a transparent, reproducible manner.</w:t>
      </w:r>
    </w:p>
    <w:p w14:paraId="2E086712" w14:textId="77777777" w:rsidR="00E134A7" w:rsidRDefault="003612E0">
      <w:pPr>
        <w:spacing w:after="119" w:line="259" w:lineRule="auto"/>
        <w:ind w:left="-5"/>
      </w:pPr>
      <w:r>
        <w:rPr>
          <w:color w:val="1F4E79"/>
          <w:sz w:val="26"/>
        </w:rPr>
        <w:t>1.4 Scope and Non-Goals</w:t>
      </w:r>
    </w:p>
    <w:p w14:paraId="1366F3DC" w14:textId="77777777" w:rsidR="00E134A7" w:rsidRDefault="003612E0">
      <w:pPr>
        <w:spacing w:after="450"/>
        <w:ind w:left="-5"/>
      </w:pPr>
      <w:r>
        <w:t xml:space="preserve">This study is explicitly a descriptive/behavioral research project. It does not: (a) forecast future prices or returns, (b) propose or </w:t>
      </w:r>
      <w:proofErr w:type="spellStart"/>
      <w:r>
        <w:t>backtest</w:t>
      </w:r>
      <w:proofErr w:type="spellEnd"/>
      <w:r>
        <w:t xml:space="preserve"> a trading strategy, or (c) make any investment recommendation. Regime labels discovered via clustering describe historical structure only and carry no guarantee of persistence into the future.</w:t>
      </w:r>
    </w:p>
    <w:p w14:paraId="6FA5FBFC" w14:textId="77777777" w:rsidR="00E134A7" w:rsidRDefault="003612E0">
      <w:pPr>
        <w:pStyle w:val="Heading1"/>
        <w:spacing w:after="212"/>
        <w:ind w:left="341" w:hanging="356"/>
      </w:pPr>
      <w:r>
        <w:t>Conceptual and Literature Background</w:t>
      </w:r>
    </w:p>
    <w:p w14:paraId="4DC0F42C" w14:textId="77777777" w:rsidR="00E134A7" w:rsidRDefault="003612E0">
      <w:pPr>
        <w:spacing w:after="119" w:line="259" w:lineRule="auto"/>
        <w:ind w:left="-5"/>
      </w:pPr>
      <w:r>
        <w:rPr>
          <w:color w:val="1F4E79"/>
          <w:sz w:val="26"/>
        </w:rPr>
        <w:t>2.1 Volume–Volatility Relationship</w:t>
      </w:r>
    </w:p>
    <w:p w14:paraId="7E641F1C" w14:textId="77777777" w:rsidR="00E134A7" w:rsidRDefault="003612E0">
      <w:pPr>
        <w:spacing w:after="304"/>
        <w:ind w:left="-5"/>
      </w:pPr>
      <w:r>
        <w:t>A substantial body of finance literature documents a positive relationship between trading volume and the magnitude of price changes. Early theoretical and empirical work (e.g., Clark, 1973; Karpoff, 1987) proposed the “mixture of distributions hypothesis”, under which both returns and volume are jointly driven by the same underlying rate of information arrival — on days with more new information, both price movement and trading activity tend to be larger. This motivates Hypothesis Test 1 in Section 4.</w:t>
      </w:r>
    </w:p>
    <w:p w14:paraId="620A8149" w14:textId="77777777" w:rsidR="00E134A7" w:rsidRDefault="003612E0">
      <w:pPr>
        <w:spacing w:after="119" w:line="259" w:lineRule="auto"/>
        <w:ind w:left="-5"/>
      </w:pPr>
      <w:r>
        <w:rPr>
          <w:color w:val="1F4E79"/>
          <w:sz w:val="26"/>
        </w:rPr>
        <w:t xml:space="preserve">2.2 </w:t>
      </w:r>
      <w:r>
        <w:rPr>
          <w:color w:val="1F4E79"/>
          <w:sz w:val="26"/>
        </w:rPr>
        <w:t>Volatility Clustering and Fat Tails</w:t>
      </w:r>
    </w:p>
    <w:p w14:paraId="480EC122" w14:textId="77777777" w:rsidR="00E134A7" w:rsidRDefault="003612E0">
      <w:pPr>
        <w:spacing w:after="304"/>
        <w:ind w:left="-5"/>
      </w:pPr>
      <w:r>
        <w:t xml:space="preserve">Mandelbrot (1963) and later Engle's ARCH/GARCH family of models formalized the empirical observation that “large changes tend to be followed by large changes, of either sign, and small changes tend to be followed by small changes” — i.e., volatility clustering. Relatedly, asset returns typically exhibit heavier tails than a </w:t>
      </w:r>
      <w:proofErr w:type="gramStart"/>
      <w:r>
        <w:t>Normal</w:t>
      </w:r>
      <w:proofErr w:type="gramEnd"/>
      <w:r>
        <w:t xml:space="preserve"> </w:t>
      </w:r>
      <w:r>
        <w:t xml:space="preserve">distribution (extreme days occur more </w:t>
      </w:r>
      <w:r>
        <w:lastRenderedPageBreak/>
        <w:t>often than a Gaussian model would predict). Both phenomena are examined descriptively in this study's exploratory data analysis (Section 5).</w:t>
      </w:r>
    </w:p>
    <w:p w14:paraId="7914199A" w14:textId="77777777" w:rsidR="00E134A7" w:rsidRDefault="003612E0">
      <w:pPr>
        <w:spacing w:after="119" w:line="259" w:lineRule="auto"/>
        <w:ind w:left="-5"/>
      </w:pPr>
      <w:r>
        <w:rPr>
          <w:color w:val="1F4E79"/>
          <w:sz w:val="26"/>
        </w:rPr>
        <w:t>2.3 Market Regimes and Regime-Switching Models</w:t>
      </w:r>
    </w:p>
    <w:p w14:paraId="13272A80" w14:textId="77777777" w:rsidR="00E134A7" w:rsidRDefault="003612E0">
      <w:pPr>
        <w:spacing w:after="304"/>
        <w:ind w:left="-5"/>
      </w:pPr>
      <w:r>
        <w:t xml:space="preserve">The idea that markets alternate between qualitatively distinct states — e.g., calm/ trending versus turbulent/mean-reverting — underlies regime-switching models such as Hamilton's (1989) Markov-switching model and, in machine learning contexts, clustering-based regime identification. This project uses </w:t>
      </w:r>
      <w:proofErr w:type="spellStart"/>
      <w:r>
        <w:t>KMeans</w:t>
      </w:r>
      <w:proofErr w:type="spellEnd"/>
      <w:r>
        <w:t xml:space="preserve"> and Hierarchical Clustering as an accessible, beginner-appropriate approximation of formal </w:t>
      </w:r>
      <w:proofErr w:type="spellStart"/>
      <w:r>
        <w:t>regimeswitching</w:t>
      </w:r>
      <w:proofErr w:type="spellEnd"/>
      <w:r>
        <w:t xml:space="preserve"> modeling, discussed further as a future extension (Section 8, and see the companion Future Scope notes).</w:t>
      </w:r>
    </w:p>
    <w:p w14:paraId="60962639" w14:textId="77777777" w:rsidR="00E134A7" w:rsidRDefault="003612E0">
      <w:pPr>
        <w:spacing w:after="119" w:line="259" w:lineRule="auto"/>
        <w:ind w:left="-5"/>
      </w:pPr>
      <w:r>
        <w:rPr>
          <w:color w:val="1F4E79"/>
          <w:sz w:val="26"/>
        </w:rPr>
        <w:t>2.4 Positioning of This Study</w:t>
      </w:r>
    </w:p>
    <w:p w14:paraId="7B453B9C" w14:textId="77777777" w:rsidR="00E134A7" w:rsidRDefault="003612E0">
      <w:pPr>
        <w:spacing w:after="433"/>
        <w:ind w:left="-5"/>
      </w:pPr>
      <w:r>
        <w:t xml:space="preserve">This project does not aim to contribute novel financial theory. Its contribution is applied and pedagogical: demonstrating, on real Indian market data, how established microstructure themes can be investigated end-to-end using an accessible, reproducible data science workflow (cleaning </w:t>
      </w:r>
      <w:r>
        <w:rPr>
          <w:rFonts w:ascii="Segoe UI Symbol" w:eastAsia="Segoe UI Symbol" w:hAnsi="Segoe UI Symbol" w:cs="Segoe UI Symbol"/>
        </w:rPr>
        <w:t>→</w:t>
      </w:r>
      <w:r>
        <w:t xml:space="preserve"> EDA </w:t>
      </w:r>
      <w:r>
        <w:rPr>
          <w:rFonts w:ascii="Segoe UI Symbol" w:eastAsia="Segoe UI Symbol" w:hAnsi="Segoe UI Symbol" w:cs="Segoe UI Symbol"/>
        </w:rPr>
        <w:t>→</w:t>
      </w:r>
      <w:r>
        <w:t xml:space="preserve"> feature engineering </w:t>
      </w:r>
      <w:r>
        <w:rPr>
          <w:rFonts w:ascii="Segoe UI Symbol" w:eastAsia="Segoe UI Symbol" w:hAnsi="Segoe UI Symbol" w:cs="Segoe UI Symbol"/>
        </w:rPr>
        <w:t>→</w:t>
      </w:r>
      <w:r>
        <w:t xml:space="preserve"> hypothesis testing </w:t>
      </w:r>
      <w:r>
        <w:rPr>
          <w:rFonts w:ascii="Segoe UI Symbol" w:eastAsia="Segoe UI Symbol" w:hAnsi="Segoe UI Symbol" w:cs="Segoe UI Symbol"/>
        </w:rPr>
        <w:t xml:space="preserve">→ </w:t>
      </w:r>
      <w:r>
        <w:t xml:space="preserve">clustering </w:t>
      </w:r>
      <w:r>
        <w:rPr>
          <w:rFonts w:ascii="Segoe UI Symbol" w:eastAsia="Segoe UI Symbol" w:hAnsi="Segoe UI Symbol" w:cs="Segoe UI Symbol"/>
        </w:rPr>
        <w:t xml:space="preserve">→ </w:t>
      </w:r>
      <w:r>
        <w:t>validation).</w:t>
      </w:r>
    </w:p>
    <w:p w14:paraId="2A0CC6E2" w14:textId="77777777" w:rsidR="00E134A7" w:rsidRDefault="003612E0">
      <w:pPr>
        <w:pStyle w:val="Heading1"/>
        <w:spacing w:after="212"/>
        <w:ind w:left="341" w:hanging="356"/>
      </w:pPr>
      <w:r>
        <w:t>Data and Methodology</w:t>
      </w:r>
    </w:p>
    <w:p w14:paraId="4736A5A4" w14:textId="77777777" w:rsidR="00E134A7" w:rsidRDefault="003612E0">
      <w:pPr>
        <w:spacing w:after="119" w:line="259" w:lineRule="auto"/>
        <w:ind w:left="-5"/>
      </w:pPr>
      <w:r>
        <w:rPr>
          <w:color w:val="1F4E79"/>
          <w:sz w:val="26"/>
        </w:rPr>
        <w:t>3.1 Data Source</w:t>
      </w:r>
    </w:p>
    <w:p w14:paraId="167D60BE" w14:textId="77777777" w:rsidR="00E134A7" w:rsidRDefault="003612E0">
      <w:pPr>
        <w:spacing w:after="1"/>
        <w:ind w:left="-5"/>
      </w:pPr>
      <w:r>
        <w:t xml:space="preserve">Historical daily OHLCV data is sourced from Yahoo Finance via the </w:t>
      </w:r>
      <w:proofErr w:type="spellStart"/>
      <w:r>
        <w:t>yfinance</w:t>
      </w:r>
      <w:proofErr w:type="spellEnd"/>
      <w:r>
        <w:t xml:space="preserve"> Python library. The primary instrument analyzed is the NIFTY 50 index (ticker “^NSEI”), with BANK NIFTY (“^NSEBANK”) and individual NSE-listed stocks (e.g., “RELIANCE.NS”) supported as direct substitutions.</w:t>
      </w:r>
    </w:p>
    <w:tbl>
      <w:tblPr>
        <w:tblStyle w:val="TableGrid"/>
        <w:tblW w:w="9495" w:type="dxa"/>
        <w:tblInd w:w="-75" w:type="dxa"/>
        <w:tblCellMar>
          <w:top w:w="60" w:type="dxa"/>
          <w:left w:w="75" w:type="dxa"/>
          <w:bottom w:w="0" w:type="dxa"/>
          <w:right w:w="115" w:type="dxa"/>
        </w:tblCellMar>
        <w:tblLook w:val="04A0" w:firstRow="1" w:lastRow="0" w:firstColumn="1" w:lastColumn="0" w:noHBand="0" w:noVBand="1"/>
      </w:tblPr>
      <w:tblGrid>
        <w:gridCol w:w="3195"/>
        <w:gridCol w:w="6300"/>
      </w:tblGrid>
      <w:tr w:rsidR="00E134A7" w14:paraId="74D261F9" w14:textId="77777777">
        <w:trPr>
          <w:trHeight w:val="405"/>
        </w:trPr>
        <w:tc>
          <w:tcPr>
            <w:tcW w:w="3195" w:type="dxa"/>
            <w:tcBorders>
              <w:top w:val="single" w:sz="2" w:space="0" w:color="000000"/>
              <w:left w:val="single" w:sz="2" w:space="0" w:color="000000"/>
              <w:bottom w:val="single" w:sz="2" w:space="0" w:color="000000"/>
              <w:right w:val="single" w:sz="2" w:space="0" w:color="000000"/>
            </w:tcBorders>
            <w:shd w:val="clear" w:color="auto" w:fill="1F4E79"/>
          </w:tcPr>
          <w:p w14:paraId="62F51C88" w14:textId="77777777" w:rsidR="00E134A7" w:rsidRDefault="003612E0">
            <w:pPr>
              <w:spacing w:after="0" w:line="259" w:lineRule="auto"/>
              <w:ind w:left="0" w:firstLine="0"/>
            </w:pPr>
            <w:r>
              <w:rPr>
                <w:color w:val="FFFFFF"/>
              </w:rPr>
              <w:t>Field</w:t>
            </w:r>
          </w:p>
        </w:tc>
        <w:tc>
          <w:tcPr>
            <w:tcW w:w="6300" w:type="dxa"/>
            <w:tcBorders>
              <w:top w:val="single" w:sz="2" w:space="0" w:color="000000"/>
              <w:left w:val="single" w:sz="2" w:space="0" w:color="000000"/>
              <w:bottom w:val="single" w:sz="2" w:space="0" w:color="000000"/>
              <w:right w:val="single" w:sz="2" w:space="0" w:color="000000"/>
            </w:tcBorders>
            <w:shd w:val="clear" w:color="auto" w:fill="1F4E79"/>
          </w:tcPr>
          <w:p w14:paraId="7054807E" w14:textId="77777777" w:rsidR="00E134A7" w:rsidRDefault="003612E0">
            <w:pPr>
              <w:spacing w:after="0" w:line="259" w:lineRule="auto"/>
              <w:ind w:left="0" w:firstLine="0"/>
            </w:pPr>
            <w:r>
              <w:rPr>
                <w:color w:val="FFFFFF"/>
              </w:rPr>
              <w:t>Description</w:t>
            </w:r>
          </w:p>
        </w:tc>
      </w:tr>
      <w:tr w:rsidR="00E134A7" w14:paraId="622BBF3E" w14:textId="77777777">
        <w:trPr>
          <w:trHeight w:val="405"/>
        </w:trPr>
        <w:tc>
          <w:tcPr>
            <w:tcW w:w="3195" w:type="dxa"/>
            <w:tcBorders>
              <w:top w:val="single" w:sz="2" w:space="0" w:color="000000"/>
              <w:left w:val="single" w:sz="2" w:space="0" w:color="000000"/>
              <w:bottom w:val="single" w:sz="2" w:space="0" w:color="000000"/>
              <w:right w:val="single" w:sz="2" w:space="0" w:color="000000"/>
            </w:tcBorders>
          </w:tcPr>
          <w:p w14:paraId="46058591" w14:textId="77777777" w:rsidR="00E134A7" w:rsidRDefault="003612E0">
            <w:pPr>
              <w:spacing w:after="0" w:line="259" w:lineRule="auto"/>
              <w:ind w:left="0" w:firstLine="0"/>
            </w:pPr>
            <w:r>
              <w:t>Ticker</w:t>
            </w:r>
          </w:p>
        </w:tc>
        <w:tc>
          <w:tcPr>
            <w:tcW w:w="6300" w:type="dxa"/>
            <w:tcBorders>
              <w:top w:val="single" w:sz="2" w:space="0" w:color="000000"/>
              <w:left w:val="single" w:sz="2" w:space="0" w:color="000000"/>
              <w:bottom w:val="single" w:sz="2" w:space="0" w:color="000000"/>
              <w:right w:val="single" w:sz="2" w:space="0" w:color="000000"/>
            </w:tcBorders>
          </w:tcPr>
          <w:p w14:paraId="5CE1EC1B" w14:textId="77777777" w:rsidR="00E134A7" w:rsidRDefault="003612E0">
            <w:pPr>
              <w:spacing w:after="0" w:line="259" w:lineRule="auto"/>
              <w:ind w:left="0" w:firstLine="0"/>
            </w:pPr>
            <w:r>
              <w:t>^NSEI (NIFTY 50) — configurable</w:t>
            </w:r>
          </w:p>
        </w:tc>
      </w:tr>
      <w:tr w:rsidR="00E134A7" w14:paraId="71E2D3EF" w14:textId="77777777">
        <w:trPr>
          <w:trHeight w:val="690"/>
        </w:trPr>
        <w:tc>
          <w:tcPr>
            <w:tcW w:w="3195" w:type="dxa"/>
            <w:tcBorders>
              <w:top w:val="single" w:sz="2" w:space="0" w:color="000000"/>
              <w:left w:val="single" w:sz="2" w:space="0" w:color="000000"/>
              <w:bottom w:val="single" w:sz="2" w:space="0" w:color="000000"/>
              <w:right w:val="single" w:sz="2" w:space="0" w:color="000000"/>
            </w:tcBorders>
          </w:tcPr>
          <w:p w14:paraId="43549BE5" w14:textId="77777777" w:rsidR="00E134A7" w:rsidRDefault="003612E0">
            <w:pPr>
              <w:spacing w:after="0" w:line="259" w:lineRule="auto"/>
              <w:ind w:left="0" w:firstLine="0"/>
            </w:pPr>
            <w:r>
              <w:t>Period</w:t>
            </w:r>
          </w:p>
        </w:tc>
        <w:tc>
          <w:tcPr>
            <w:tcW w:w="6300" w:type="dxa"/>
            <w:tcBorders>
              <w:top w:val="single" w:sz="2" w:space="0" w:color="000000"/>
              <w:left w:val="single" w:sz="2" w:space="0" w:color="000000"/>
              <w:bottom w:val="single" w:sz="2" w:space="0" w:color="000000"/>
              <w:right w:val="single" w:sz="2" w:space="0" w:color="000000"/>
            </w:tcBorders>
          </w:tcPr>
          <w:p w14:paraId="1FED6906" w14:textId="77777777" w:rsidR="00E134A7" w:rsidRDefault="003612E0">
            <w:pPr>
              <w:spacing w:after="0" w:line="259" w:lineRule="auto"/>
              <w:ind w:left="0" w:firstLine="0"/>
            </w:pPr>
            <w:r>
              <w:t>[START_DATE] to [END_DATE] — fill in after running the notebook</w:t>
            </w:r>
          </w:p>
        </w:tc>
      </w:tr>
      <w:tr w:rsidR="00E134A7" w14:paraId="61B4EE35" w14:textId="77777777">
        <w:trPr>
          <w:trHeight w:val="405"/>
        </w:trPr>
        <w:tc>
          <w:tcPr>
            <w:tcW w:w="3195" w:type="dxa"/>
            <w:tcBorders>
              <w:top w:val="single" w:sz="2" w:space="0" w:color="000000"/>
              <w:left w:val="single" w:sz="2" w:space="0" w:color="000000"/>
              <w:bottom w:val="single" w:sz="2" w:space="0" w:color="000000"/>
              <w:right w:val="single" w:sz="2" w:space="0" w:color="000000"/>
            </w:tcBorders>
          </w:tcPr>
          <w:p w14:paraId="25E95FFA" w14:textId="77777777" w:rsidR="00E134A7" w:rsidRDefault="003612E0">
            <w:pPr>
              <w:spacing w:after="0" w:line="259" w:lineRule="auto"/>
              <w:ind w:left="0" w:firstLine="0"/>
            </w:pPr>
            <w:r>
              <w:t>Frequency</w:t>
            </w:r>
          </w:p>
        </w:tc>
        <w:tc>
          <w:tcPr>
            <w:tcW w:w="6300" w:type="dxa"/>
            <w:tcBorders>
              <w:top w:val="single" w:sz="2" w:space="0" w:color="000000"/>
              <w:left w:val="single" w:sz="2" w:space="0" w:color="000000"/>
              <w:bottom w:val="single" w:sz="2" w:space="0" w:color="000000"/>
              <w:right w:val="single" w:sz="2" w:space="0" w:color="000000"/>
            </w:tcBorders>
          </w:tcPr>
          <w:p w14:paraId="0513BFE2" w14:textId="77777777" w:rsidR="00E134A7" w:rsidRDefault="003612E0">
            <w:pPr>
              <w:spacing w:after="0" w:line="259" w:lineRule="auto"/>
              <w:ind w:left="0" w:firstLine="0"/>
            </w:pPr>
            <w:r>
              <w:t>Daily</w:t>
            </w:r>
          </w:p>
        </w:tc>
      </w:tr>
      <w:tr w:rsidR="00E134A7" w14:paraId="0B6F0142" w14:textId="77777777">
        <w:trPr>
          <w:trHeight w:val="405"/>
        </w:trPr>
        <w:tc>
          <w:tcPr>
            <w:tcW w:w="3195" w:type="dxa"/>
            <w:tcBorders>
              <w:top w:val="single" w:sz="2" w:space="0" w:color="000000"/>
              <w:left w:val="single" w:sz="2" w:space="0" w:color="000000"/>
              <w:bottom w:val="single" w:sz="2" w:space="0" w:color="000000"/>
              <w:right w:val="single" w:sz="2" w:space="0" w:color="000000"/>
            </w:tcBorders>
          </w:tcPr>
          <w:p w14:paraId="75234E6D" w14:textId="77777777" w:rsidR="00E134A7" w:rsidRDefault="003612E0">
            <w:pPr>
              <w:spacing w:after="0" w:line="259" w:lineRule="auto"/>
              <w:ind w:left="0" w:firstLine="0"/>
            </w:pPr>
            <w:r>
              <w:t>Fields</w:t>
            </w:r>
          </w:p>
        </w:tc>
        <w:tc>
          <w:tcPr>
            <w:tcW w:w="6300" w:type="dxa"/>
            <w:tcBorders>
              <w:top w:val="single" w:sz="2" w:space="0" w:color="000000"/>
              <w:left w:val="single" w:sz="2" w:space="0" w:color="000000"/>
              <w:bottom w:val="single" w:sz="2" w:space="0" w:color="000000"/>
              <w:right w:val="single" w:sz="2" w:space="0" w:color="000000"/>
            </w:tcBorders>
          </w:tcPr>
          <w:p w14:paraId="6684B05E" w14:textId="77777777" w:rsidR="00E134A7" w:rsidRDefault="003612E0">
            <w:pPr>
              <w:spacing w:after="0" w:line="259" w:lineRule="auto"/>
              <w:ind w:left="0" w:firstLine="0"/>
            </w:pPr>
            <w:r>
              <w:t>Open, High, Low, Close, Adj Close, Volume</w:t>
            </w:r>
          </w:p>
        </w:tc>
      </w:tr>
    </w:tbl>
    <w:p w14:paraId="3C900529" w14:textId="77777777" w:rsidR="00E134A7" w:rsidRDefault="003612E0">
      <w:pPr>
        <w:spacing w:after="119" w:line="259" w:lineRule="auto"/>
        <w:ind w:left="-5"/>
      </w:pPr>
      <w:r>
        <w:rPr>
          <w:color w:val="1F4E79"/>
          <w:sz w:val="26"/>
        </w:rPr>
        <w:t>3.2 Data Preparation</w:t>
      </w:r>
    </w:p>
    <w:p w14:paraId="7C22DAF8" w14:textId="77777777" w:rsidR="00E134A7" w:rsidRDefault="003612E0">
      <w:pPr>
        <w:ind w:left="-5"/>
      </w:pPr>
      <w:r>
        <w:t xml:space="preserve">Raw data is inspected for shape, data types, missing values, and duplicate rows. </w:t>
      </w:r>
    </w:p>
    <w:p w14:paraId="60375D91" w14:textId="77777777" w:rsidR="00E134A7" w:rsidRDefault="003612E0">
      <w:pPr>
        <w:spacing w:after="304"/>
        <w:ind w:left="-5"/>
      </w:pPr>
      <w:r>
        <w:t xml:space="preserve">Missing values are handled via forward-fill (carrying the last known value forward), which respects the temporal ordering of the data and avoids introducing lookahead bias. Rows </w:t>
      </w:r>
      <w:r>
        <w:lastRenderedPageBreak/>
        <w:t>violating basic price logic (e.g., High lower than Low) are treated as data errors and removed. All cleaning decisions are documented in the companion analysis notebook.</w:t>
      </w:r>
    </w:p>
    <w:p w14:paraId="470D7F15" w14:textId="77777777" w:rsidR="00E134A7" w:rsidRDefault="003612E0">
      <w:pPr>
        <w:spacing w:after="119" w:line="259" w:lineRule="auto"/>
        <w:ind w:left="-5"/>
      </w:pPr>
      <w:r>
        <w:rPr>
          <w:color w:val="1F4E79"/>
          <w:sz w:val="26"/>
        </w:rPr>
        <w:t>3.3 Feature Engineering</w:t>
      </w:r>
    </w:p>
    <w:p w14:paraId="6BD128AF" w14:textId="77777777" w:rsidR="00E134A7" w:rsidRDefault="003612E0">
      <w:pPr>
        <w:spacing w:after="150"/>
        <w:ind w:left="-5"/>
      </w:pPr>
      <w:r>
        <w:t>The following behavioral features are engineered from the cleaned OHLCV data for use in clustering and hypothesis testing:</w:t>
      </w:r>
    </w:p>
    <w:p w14:paraId="5212BC88" w14:textId="77777777" w:rsidR="00E134A7" w:rsidRDefault="003612E0">
      <w:pPr>
        <w:ind w:left="730"/>
      </w:pPr>
      <w:r>
        <w:t>Daily Return and Log Return — percentage/logarithmic day-over-day price change.</w:t>
      </w:r>
    </w:p>
    <w:p w14:paraId="33D78A18" w14:textId="77777777" w:rsidR="00E134A7" w:rsidRDefault="003612E0">
      <w:pPr>
        <w:ind w:left="730"/>
      </w:pPr>
      <w:r>
        <w:t>Price Range and Price Range (%) — intraday High–Low spread, in absolute and normalized terms.</w:t>
      </w:r>
    </w:p>
    <w:p w14:paraId="6ED988A4" w14:textId="77777777" w:rsidR="00E134A7" w:rsidRDefault="003612E0">
      <w:pPr>
        <w:ind w:left="730"/>
      </w:pPr>
      <w:r>
        <w:t>Rolling Mean and Rolling Std (20-day) — short-term trend and price dispersion.</w:t>
      </w:r>
    </w:p>
    <w:p w14:paraId="2A5BF82F" w14:textId="77777777" w:rsidR="00E134A7" w:rsidRDefault="003612E0">
      <w:pPr>
        <w:ind w:left="730"/>
      </w:pPr>
      <w:r>
        <w:t>Rolling Volatility (21-day) — standard deviation of daily returns over approximately one trading month.</w:t>
      </w:r>
    </w:p>
    <w:p w14:paraId="254CFF9D" w14:textId="77777777" w:rsidR="00E134A7" w:rsidRDefault="003612E0">
      <w:pPr>
        <w:ind w:left="730"/>
      </w:pPr>
      <w:r>
        <w:t>Moving Averages (20-day, 50-day) — trend-following smoothing of price.</w:t>
      </w:r>
    </w:p>
    <w:p w14:paraId="15F6EA07" w14:textId="77777777" w:rsidR="00E134A7" w:rsidRDefault="003612E0">
      <w:pPr>
        <w:ind w:left="730"/>
      </w:pPr>
      <w:r>
        <w:t xml:space="preserve">Lag Features — prior 1–3 days' returns and prior day's volume, to capture </w:t>
      </w:r>
      <w:proofErr w:type="spellStart"/>
      <w:r>
        <w:t>shortterm</w:t>
      </w:r>
      <w:proofErr w:type="spellEnd"/>
      <w:r>
        <w:t xml:space="preserve"> memory.</w:t>
      </w:r>
    </w:p>
    <w:p w14:paraId="3C7CC6AA" w14:textId="77777777" w:rsidR="00E134A7" w:rsidRDefault="003612E0">
      <w:pPr>
        <w:spacing w:after="304"/>
        <w:ind w:left="730"/>
      </w:pPr>
      <w:r>
        <w:t>RSI (14-day) — Relative Strength Index, a bounded momentum indicator.</w:t>
      </w:r>
    </w:p>
    <w:p w14:paraId="19DE4379" w14:textId="77777777" w:rsidR="00E134A7" w:rsidRDefault="003612E0">
      <w:pPr>
        <w:spacing w:after="119" w:line="259" w:lineRule="auto"/>
        <w:ind w:left="-5"/>
      </w:pPr>
      <w:r>
        <w:rPr>
          <w:color w:val="1F4E79"/>
          <w:sz w:val="26"/>
        </w:rPr>
        <w:t>3.4 Statistical Hypothesis Testing</w:t>
      </w:r>
    </w:p>
    <w:p w14:paraId="7ECF3904" w14:textId="77777777" w:rsidR="00E134A7" w:rsidRDefault="003612E0">
      <w:pPr>
        <w:spacing w:after="150"/>
        <w:ind w:left="-5"/>
      </w:pPr>
      <w:r>
        <w:t>Three complementary tests examine the volume–volatility relationship described in Section 2.1:</w:t>
      </w:r>
    </w:p>
    <w:p w14:paraId="6ECB5A44" w14:textId="77777777" w:rsidR="00E134A7" w:rsidRDefault="003612E0">
      <w:pPr>
        <w:ind w:left="730"/>
      </w:pPr>
      <w:r>
        <w:t>Independent two-sample T-test (Welch's) comparing mean absolute return between high- and low-volume days (split at the median).</w:t>
      </w:r>
    </w:p>
    <w:p w14:paraId="0A52E0D0" w14:textId="77777777" w:rsidR="00E134A7" w:rsidRDefault="003612E0">
      <w:pPr>
        <w:ind w:left="730"/>
      </w:pPr>
      <w:r>
        <w:t>One-way ANOVA comparing mean absolute return across three volume tertile groups (Low / Medium / High).</w:t>
      </w:r>
    </w:p>
    <w:p w14:paraId="288733A7" w14:textId="77777777" w:rsidR="00E134A7" w:rsidRDefault="003612E0">
      <w:pPr>
        <w:spacing w:after="304"/>
        <w:ind w:left="730"/>
      </w:pPr>
      <w:r>
        <w:t>Pearson correlation (with significance test) between volume and absolute return.</w:t>
      </w:r>
    </w:p>
    <w:p w14:paraId="65D547F6" w14:textId="77777777" w:rsidR="00E134A7" w:rsidRDefault="003612E0">
      <w:pPr>
        <w:spacing w:after="119" w:line="259" w:lineRule="auto"/>
        <w:ind w:left="-5"/>
      </w:pPr>
      <w:r>
        <w:rPr>
          <w:color w:val="1F4E79"/>
          <w:sz w:val="26"/>
        </w:rPr>
        <w:t>3.5 Clustering Methodology</w:t>
      </w:r>
    </w:p>
    <w:p w14:paraId="42368E58" w14:textId="77777777" w:rsidR="00E134A7" w:rsidRDefault="003612E0">
      <w:pPr>
        <w:spacing w:after="0"/>
        <w:ind w:left="-5"/>
      </w:pPr>
      <w:r>
        <w:t xml:space="preserve">Engineered features are standardized (zero mean, unit variance) prior to clustering, since </w:t>
      </w:r>
      <w:proofErr w:type="spellStart"/>
      <w:r>
        <w:t>KMeans</w:t>
      </w:r>
      <w:proofErr w:type="spellEnd"/>
      <w:r>
        <w:t xml:space="preserve"> and Hierarchical Clustering are distance-based and otherwise would be dominated by large-scale features. The number of clusters (K) is chosen using the Elbow Method (inertia vs. K) together with the Silhouette Score, evaluated over K = 2 to </w:t>
      </w:r>
    </w:p>
    <w:p w14:paraId="41FFA7FA" w14:textId="77777777" w:rsidR="00E134A7" w:rsidRDefault="003612E0">
      <w:pPr>
        <w:spacing w:after="304"/>
        <w:ind w:left="-5"/>
      </w:pPr>
      <w:r>
        <w:t xml:space="preserve">10. </w:t>
      </w:r>
      <w:proofErr w:type="spellStart"/>
      <w:r>
        <w:t>KMeans</w:t>
      </w:r>
      <w:proofErr w:type="spellEnd"/>
      <w:r>
        <w:t xml:space="preserve"> (with multiple random initializations) and Agglomerative Hierarchical </w:t>
      </w:r>
      <w:r>
        <w:t xml:space="preserve">Clustering (Ward linkage) are both fit at the chosen K, and their assignments are </w:t>
      </w:r>
      <w:proofErr w:type="spellStart"/>
      <w:r>
        <w:t>crosstabulated</w:t>
      </w:r>
      <w:proofErr w:type="spellEnd"/>
      <w:r>
        <w:t xml:space="preserve"> to assess agreement between methods.</w:t>
      </w:r>
    </w:p>
    <w:p w14:paraId="07DBEBC7" w14:textId="77777777" w:rsidR="00E134A7" w:rsidRDefault="003612E0">
      <w:pPr>
        <w:spacing w:after="119" w:line="259" w:lineRule="auto"/>
        <w:ind w:left="-5"/>
      </w:pPr>
      <w:r>
        <w:rPr>
          <w:color w:val="1F4E79"/>
          <w:sz w:val="26"/>
        </w:rPr>
        <w:lastRenderedPageBreak/>
        <w:t>3.6 Supervised Validation and Evaluation</w:t>
      </w:r>
    </w:p>
    <w:p w14:paraId="1AF0EF7C" w14:textId="77777777" w:rsidR="00E134A7" w:rsidRDefault="003612E0">
      <w:pPr>
        <w:spacing w:after="450"/>
        <w:ind w:left="-5"/>
      </w:pPr>
      <w:r>
        <w:t xml:space="preserve">A Logistic Regression model and a depth-limited Decision Tree are trained to predict a day's cluster label from that same day's features, using a chronological (non-shuffled) train/test split to respect the time-ordered nature of the data. This step validates that discovered regimes have learnable, consistent boundaries in feature space; it is explicitly not a forecasting exercise. Evaluation uses accuracy, per-class precision/ recall/F1 (via </w:t>
      </w:r>
      <w:proofErr w:type="spellStart"/>
      <w:r>
        <w:t>classification_report</w:t>
      </w:r>
      <w:proofErr w:type="spellEnd"/>
      <w:r>
        <w:t>), and a confusion matrix.</w:t>
      </w:r>
    </w:p>
    <w:p w14:paraId="282038BF" w14:textId="77777777" w:rsidR="00E134A7" w:rsidRDefault="003612E0">
      <w:pPr>
        <w:pStyle w:val="Heading1"/>
        <w:ind w:left="341" w:hanging="356"/>
      </w:pPr>
      <w:r>
        <w:t>Hypotheses</w:t>
      </w:r>
    </w:p>
    <w:p w14:paraId="772DC2E9" w14:textId="77777777" w:rsidR="00E134A7" w:rsidRDefault="003612E0">
      <w:pPr>
        <w:spacing w:after="74" w:line="259" w:lineRule="auto"/>
        <w:ind w:left="-5"/>
      </w:pPr>
      <w:r>
        <w:rPr>
          <w:color w:val="1F4D78"/>
        </w:rPr>
        <w:t>H1 (T-test)</w:t>
      </w:r>
    </w:p>
    <w:p w14:paraId="319B6872" w14:textId="77777777" w:rsidR="00E134A7" w:rsidRDefault="003612E0">
      <w:pPr>
        <w:spacing w:after="180"/>
        <w:ind w:left="-5"/>
      </w:pPr>
      <w:r>
        <w:t>H₀: Mean absolute daily return is equal for high-volume and low-volume days. H₁: Mean absolute daily return differs between the two groups.</w:t>
      </w:r>
    </w:p>
    <w:p w14:paraId="3202A45F" w14:textId="77777777" w:rsidR="00E134A7" w:rsidRDefault="003612E0">
      <w:pPr>
        <w:spacing w:after="74" w:line="259" w:lineRule="auto"/>
        <w:ind w:left="-5"/>
      </w:pPr>
      <w:r>
        <w:rPr>
          <w:color w:val="1F4D78"/>
        </w:rPr>
        <w:t>H2 (ANOVA)</w:t>
      </w:r>
    </w:p>
    <w:p w14:paraId="2A68AAE0" w14:textId="77777777" w:rsidR="00E134A7" w:rsidRDefault="003612E0">
      <w:pPr>
        <w:spacing w:after="180"/>
        <w:ind w:left="-5"/>
      </w:pPr>
      <w:r>
        <w:t>H₀: Mean absolute daily return is equal across Low/Medium/High volume tertiles. H₁: At least one tertile's mean differs from the others.</w:t>
      </w:r>
    </w:p>
    <w:p w14:paraId="0C702F77" w14:textId="77777777" w:rsidR="00E134A7" w:rsidRDefault="003612E0">
      <w:pPr>
        <w:spacing w:after="74" w:line="259" w:lineRule="auto"/>
        <w:ind w:left="-5"/>
      </w:pPr>
      <w:r>
        <w:rPr>
          <w:color w:val="1F4D78"/>
        </w:rPr>
        <w:t>H3 (Correlation Significance)</w:t>
      </w:r>
    </w:p>
    <w:p w14:paraId="46D9A4C6" w14:textId="77777777" w:rsidR="00E134A7" w:rsidRDefault="003612E0">
      <w:pPr>
        <w:spacing w:after="150"/>
        <w:ind w:left="-5"/>
      </w:pPr>
      <w:r>
        <w:t>H₀: The true Pearson correlation between volume and absolute return is zero. H₁: The true correlation is non-zero.</w:t>
      </w:r>
    </w:p>
    <w:p w14:paraId="269310C7" w14:textId="77777777" w:rsidR="00E134A7" w:rsidRDefault="003612E0">
      <w:pPr>
        <w:spacing w:after="449"/>
        <w:ind w:left="-5"/>
      </w:pPr>
      <w:r>
        <w:t xml:space="preserve">Significance is assessed at the conventional α = 0.05 </w:t>
      </w:r>
      <w:r>
        <w:t>threshold throughout.</w:t>
      </w:r>
    </w:p>
    <w:p w14:paraId="72F77BC1" w14:textId="77777777" w:rsidR="00E134A7" w:rsidRDefault="003612E0">
      <w:pPr>
        <w:pStyle w:val="Heading1"/>
        <w:ind w:left="341" w:hanging="356"/>
      </w:pPr>
      <w:r>
        <w:t>Results (Template)</w:t>
      </w:r>
    </w:p>
    <w:p w14:paraId="1B5396AC" w14:textId="77777777" w:rsidR="00E134A7" w:rsidRDefault="003612E0">
      <w:pPr>
        <w:spacing w:after="1"/>
        <w:ind w:left="-5"/>
      </w:pPr>
      <w:r>
        <w:t>Results below are presented as a template to be completed with actual output once the accompanying notebook is executed on live data (this report was authored without live internet access to Yahoo Finance).</w:t>
      </w:r>
    </w:p>
    <w:tbl>
      <w:tblPr>
        <w:tblStyle w:val="TableGrid"/>
        <w:tblW w:w="9480" w:type="dxa"/>
        <w:tblInd w:w="-75" w:type="dxa"/>
        <w:tblCellMar>
          <w:top w:w="60" w:type="dxa"/>
          <w:left w:w="75" w:type="dxa"/>
          <w:bottom w:w="0" w:type="dxa"/>
          <w:right w:w="108" w:type="dxa"/>
        </w:tblCellMar>
        <w:tblLook w:val="04A0" w:firstRow="1" w:lastRow="0" w:firstColumn="1" w:lastColumn="0" w:noHBand="0" w:noVBand="1"/>
      </w:tblPr>
      <w:tblGrid>
        <w:gridCol w:w="3000"/>
        <w:gridCol w:w="1995"/>
        <w:gridCol w:w="1995"/>
        <w:gridCol w:w="2490"/>
      </w:tblGrid>
      <w:tr w:rsidR="00E134A7" w14:paraId="2FBCDE2A" w14:textId="77777777">
        <w:trPr>
          <w:trHeight w:val="405"/>
        </w:trPr>
        <w:tc>
          <w:tcPr>
            <w:tcW w:w="3000" w:type="dxa"/>
            <w:tcBorders>
              <w:top w:val="single" w:sz="2" w:space="0" w:color="000000"/>
              <w:left w:val="single" w:sz="2" w:space="0" w:color="000000"/>
              <w:bottom w:val="single" w:sz="2" w:space="0" w:color="000000"/>
              <w:right w:val="single" w:sz="2" w:space="0" w:color="000000"/>
            </w:tcBorders>
            <w:shd w:val="clear" w:color="auto" w:fill="1F4E79"/>
          </w:tcPr>
          <w:p w14:paraId="70C80C30" w14:textId="77777777" w:rsidR="00E134A7" w:rsidRDefault="003612E0">
            <w:pPr>
              <w:spacing w:after="0" w:line="259" w:lineRule="auto"/>
              <w:ind w:left="0" w:firstLine="0"/>
            </w:pPr>
            <w:r>
              <w:rPr>
                <w:color w:val="FFFFFF"/>
              </w:rPr>
              <w:t>Test</w:t>
            </w:r>
          </w:p>
        </w:tc>
        <w:tc>
          <w:tcPr>
            <w:tcW w:w="1995" w:type="dxa"/>
            <w:tcBorders>
              <w:top w:val="single" w:sz="2" w:space="0" w:color="000000"/>
              <w:left w:val="single" w:sz="2" w:space="0" w:color="000000"/>
              <w:bottom w:val="single" w:sz="2" w:space="0" w:color="000000"/>
              <w:right w:val="single" w:sz="2" w:space="0" w:color="000000"/>
            </w:tcBorders>
            <w:shd w:val="clear" w:color="auto" w:fill="1F4E79"/>
          </w:tcPr>
          <w:p w14:paraId="4588871F" w14:textId="77777777" w:rsidR="00E134A7" w:rsidRDefault="003612E0">
            <w:pPr>
              <w:spacing w:after="0" w:line="259" w:lineRule="auto"/>
              <w:ind w:left="0" w:firstLine="0"/>
            </w:pPr>
            <w:r>
              <w:rPr>
                <w:color w:val="FFFFFF"/>
              </w:rPr>
              <w:t>Statistic</w:t>
            </w:r>
          </w:p>
        </w:tc>
        <w:tc>
          <w:tcPr>
            <w:tcW w:w="1995" w:type="dxa"/>
            <w:tcBorders>
              <w:top w:val="single" w:sz="2" w:space="0" w:color="000000"/>
              <w:left w:val="single" w:sz="2" w:space="0" w:color="000000"/>
              <w:bottom w:val="single" w:sz="2" w:space="0" w:color="000000"/>
              <w:right w:val="single" w:sz="2" w:space="0" w:color="000000"/>
            </w:tcBorders>
            <w:shd w:val="clear" w:color="auto" w:fill="1F4E79"/>
          </w:tcPr>
          <w:p w14:paraId="21B48981" w14:textId="77777777" w:rsidR="00E134A7" w:rsidRDefault="003612E0">
            <w:pPr>
              <w:spacing w:after="0" w:line="259" w:lineRule="auto"/>
              <w:ind w:left="0" w:firstLine="0"/>
            </w:pPr>
            <w:r>
              <w:rPr>
                <w:color w:val="FFFFFF"/>
              </w:rPr>
              <w:t>p-value</w:t>
            </w:r>
          </w:p>
        </w:tc>
        <w:tc>
          <w:tcPr>
            <w:tcW w:w="2490" w:type="dxa"/>
            <w:tcBorders>
              <w:top w:val="single" w:sz="2" w:space="0" w:color="000000"/>
              <w:left w:val="single" w:sz="2" w:space="0" w:color="000000"/>
              <w:bottom w:val="single" w:sz="2" w:space="0" w:color="000000"/>
              <w:right w:val="single" w:sz="2" w:space="0" w:color="000000"/>
            </w:tcBorders>
            <w:shd w:val="clear" w:color="auto" w:fill="1F4E79"/>
          </w:tcPr>
          <w:p w14:paraId="260BDA27" w14:textId="77777777" w:rsidR="00E134A7" w:rsidRDefault="003612E0">
            <w:pPr>
              <w:spacing w:after="0" w:line="259" w:lineRule="auto"/>
              <w:ind w:left="0" w:firstLine="0"/>
            </w:pPr>
            <w:r>
              <w:rPr>
                <w:color w:val="FFFFFF"/>
              </w:rPr>
              <w:t>Conclusion</w:t>
            </w:r>
          </w:p>
        </w:tc>
      </w:tr>
      <w:tr w:rsidR="00E134A7" w14:paraId="5E8AB098" w14:textId="77777777">
        <w:trPr>
          <w:trHeight w:val="690"/>
        </w:trPr>
        <w:tc>
          <w:tcPr>
            <w:tcW w:w="3000" w:type="dxa"/>
            <w:tcBorders>
              <w:top w:val="single" w:sz="2" w:space="0" w:color="000000"/>
              <w:left w:val="single" w:sz="2" w:space="0" w:color="000000"/>
              <w:bottom w:val="single" w:sz="2" w:space="0" w:color="000000"/>
              <w:right w:val="single" w:sz="2" w:space="0" w:color="000000"/>
            </w:tcBorders>
          </w:tcPr>
          <w:p w14:paraId="7BA3BC7C" w14:textId="77777777" w:rsidR="00E134A7" w:rsidRDefault="003612E0">
            <w:pPr>
              <w:spacing w:after="0" w:line="259" w:lineRule="auto"/>
              <w:ind w:left="0" w:firstLine="0"/>
            </w:pPr>
            <w:r>
              <w:t>T-test (volume groups)</w:t>
            </w:r>
          </w:p>
        </w:tc>
        <w:tc>
          <w:tcPr>
            <w:tcW w:w="1995" w:type="dxa"/>
            <w:tcBorders>
              <w:top w:val="single" w:sz="2" w:space="0" w:color="000000"/>
              <w:left w:val="single" w:sz="2" w:space="0" w:color="000000"/>
              <w:bottom w:val="single" w:sz="2" w:space="0" w:color="000000"/>
              <w:right w:val="single" w:sz="2" w:space="0" w:color="000000"/>
            </w:tcBorders>
          </w:tcPr>
          <w:p w14:paraId="5382C8F9" w14:textId="77777777" w:rsidR="00E134A7" w:rsidRDefault="003612E0">
            <w:pPr>
              <w:spacing w:after="0" w:line="259" w:lineRule="auto"/>
              <w:ind w:left="0" w:firstLine="0"/>
            </w:pPr>
            <w:r>
              <w:t>[t = ...]</w:t>
            </w:r>
          </w:p>
        </w:tc>
        <w:tc>
          <w:tcPr>
            <w:tcW w:w="1995" w:type="dxa"/>
            <w:tcBorders>
              <w:top w:val="single" w:sz="2" w:space="0" w:color="000000"/>
              <w:left w:val="single" w:sz="2" w:space="0" w:color="000000"/>
              <w:bottom w:val="single" w:sz="2" w:space="0" w:color="000000"/>
              <w:right w:val="single" w:sz="2" w:space="0" w:color="000000"/>
            </w:tcBorders>
          </w:tcPr>
          <w:p w14:paraId="5B64CFE6" w14:textId="77777777" w:rsidR="00E134A7" w:rsidRDefault="003612E0">
            <w:pPr>
              <w:spacing w:after="0" w:line="259" w:lineRule="auto"/>
              <w:ind w:left="0" w:firstLine="0"/>
            </w:pPr>
            <w:r>
              <w:t>[p = ...]</w:t>
            </w:r>
          </w:p>
        </w:tc>
        <w:tc>
          <w:tcPr>
            <w:tcW w:w="2490" w:type="dxa"/>
            <w:tcBorders>
              <w:top w:val="single" w:sz="2" w:space="0" w:color="000000"/>
              <w:left w:val="single" w:sz="2" w:space="0" w:color="000000"/>
              <w:bottom w:val="single" w:sz="2" w:space="0" w:color="000000"/>
              <w:right w:val="single" w:sz="2" w:space="0" w:color="000000"/>
            </w:tcBorders>
          </w:tcPr>
          <w:p w14:paraId="4588836B" w14:textId="77777777" w:rsidR="00E134A7" w:rsidRDefault="003612E0">
            <w:pPr>
              <w:spacing w:after="0" w:line="259" w:lineRule="auto"/>
              <w:ind w:left="0" w:firstLine="0"/>
            </w:pPr>
            <w:r>
              <w:t xml:space="preserve">[Reject / Fail to reject </w:t>
            </w:r>
          </w:p>
          <w:p w14:paraId="21268A0C" w14:textId="77777777" w:rsidR="00E134A7" w:rsidRDefault="003612E0">
            <w:pPr>
              <w:spacing w:after="0" w:line="259" w:lineRule="auto"/>
              <w:ind w:left="0" w:firstLine="0"/>
            </w:pPr>
            <w:r>
              <w:t>H₀]</w:t>
            </w:r>
          </w:p>
        </w:tc>
      </w:tr>
      <w:tr w:rsidR="00E134A7" w14:paraId="5E009492" w14:textId="77777777">
        <w:trPr>
          <w:trHeight w:val="690"/>
        </w:trPr>
        <w:tc>
          <w:tcPr>
            <w:tcW w:w="3000" w:type="dxa"/>
            <w:tcBorders>
              <w:top w:val="single" w:sz="2" w:space="0" w:color="000000"/>
              <w:left w:val="single" w:sz="2" w:space="0" w:color="000000"/>
              <w:bottom w:val="single" w:sz="2" w:space="0" w:color="000000"/>
              <w:right w:val="single" w:sz="2" w:space="0" w:color="000000"/>
            </w:tcBorders>
          </w:tcPr>
          <w:p w14:paraId="09A5A6F1" w14:textId="77777777" w:rsidR="00E134A7" w:rsidRDefault="003612E0">
            <w:pPr>
              <w:spacing w:after="0" w:line="259" w:lineRule="auto"/>
              <w:ind w:left="0" w:firstLine="0"/>
            </w:pPr>
            <w:r>
              <w:t>ANOVA (volume tertiles)</w:t>
            </w:r>
          </w:p>
        </w:tc>
        <w:tc>
          <w:tcPr>
            <w:tcW w:w="1995" w:type="dxa"/>
            <w:tcBorders>
              <w:top w:val="single" w:sz="2" w:space="0" w:color="000000"/>
              <w:left w:val="single" w:sz="2" w:space="0" w:color="000000"/>
              <w:bottom w:val="single" w:sz="2" w:space="0" w:color="000000"/>
              <w:right w:val="single" w:sz="2" w:space="0" w:color="000000"/>
            </w:tcBorders>
          </w:tcPr>
          <w:p w14:paraId="3302185C" w14:textId="77777777" w:rsidR="00E134A7" w:rsidRDefault="003612E0">
            <w:pPr>
              <w:spacing w:after="0" w:line="259" w:lineRule="auto"/>
              <w:ind w:left="0" w:firstLine="0"/>
            </w:pPr>
            <w:r>
              <w:t>[F = ...]</w:t>
            </w:r>
          </w:p>
        </w:tc>
        <w:tc>
          <w:tcPr>
            <w:tcW w:w="1995" w:type="dxa"/>
            <w:tcBorders>
              <w:top w:val="single" w:sz="2" w:space="0" w:color="000000"/>
              <w:left w:val="single" w:sz="2" w:space="0" w:color="000000"/>
              <w:bottom w:val="single" w:sz="2" w:space="0" w:color="000000"/>
              <w:right w:val="single" w:sz="2" w:space="0" w:color="000000"/>
            </w:tcBorders>
          </w:tcPr>
          <w:p w14:paraId="726D4CB9" w14:textId="77777777" w:rsidR="00E134A7" w:rsidRDefault="003612E0">
            <w:pPr>
              <w:spacing w:after="0" w:line="259" w:lineRule="auto"/>
              <w:ind w:left="0" w:firstLine="0"/>
            </w:pPr>
            <w:r>
              <w:t>[p = ...]</w:t>
            </w:r>
          </w:p>
        </w:tc>
        <w:tc>
          <w:tcPr>
            <w:tcW w:w="2490" w:type="dxa"/>
            <w:tcBorders>
              <w:top w:val="single" w:sz="2" w:space="0" w:color="000000"/>
              <w:left w:val="single" w:sz="2" w:space="0" w:color="000000"/>
              <w:bottom w:val="single" w:sz="2" w:space="0" w:color="000000"/>
              <w:right w:val="single" w:sz="2" w:space="0" w:color="000000"/>
            </w:tcBorders>
          </w:tcPr>
          <w:p w14:paraId="66254419" w14:textId="77777777" w:rsidR="00E134A7" w:rsidRDefault="003612E0">
            <w:pPr>
              <w:spacing w:after="0" w:line="259" w:lineRule="auto"/>
              <w:ind w:left="0" w:firstLine="0"/>
            </w:pPr>
            <w:r>
              <w:t xml:space="preserve">[Reject / Fail to reject </w:t>
            </w:r>
          </w:p>
          <w:p w14:paraId="3EB26CB1" w14:textId="77777777" w:rsidR="00E134A7" w:rsidRDefault="003612E0">
            <w:pPr>
              <w:spacing w:after="0" w:line="259" w:lineRule="auto"/>
              <w:ind w:left="0" w:firstLine="0"/>
            </w:pPr>
            <w:r>
              <w:t>H₀]</w:t>
            </w:r>
          </w:p>
        </w:tc>
      </w:tr>
      <w:tr w:rsidR="00E134A7" w14:paraId="1843B83D" w14:textId="77777777">
        <w:trPr>
          <w:trHeight w:val="690"/>
        </w:trPr>
        <w:tc>
          <w:tcPr>
            <w:tcW w:w="3000" w:type="dxa"/>
            <w:tcBorders>
              <w:top w:val="single" w:sz="2" w:space="0" w:color="000000"/>
              <w:left w:val="single" w:sz="2" w:space="0" w:color="000000"/>
              <w:bottom w:val="single" w:sz="2" w:space="0" w:color="000000"/>
              <w:right w:val="single" w:sz="2" w:space="0" w:color="000000"/>
            </w:tcBorders>
          </w:tcPr>
          <w:p w14:paraId="57508FD0" w14:textId="77777777" w:rsidR="00E134A7" w:rsidRDefault="003612E0">
            <w:pPr>
              <w:spacing w:after="0" w:line="259" w:lineRule="auto"/>
              <w:ind w:left="0" w:firstLine="0"/>
            </w:pPr>
            <w:r>
              <w:t>Pearson correlation</w:t>
            </w:r>
          </w:p>
        </w:tc>
        <w:tc>
          <w:tcPr>
            <w:tcW w:w="1995" w:type="dxa"/>
            <w:tcBorders>
              <w:top w:val="single" w:sz="2" w:space="0" w:color="000000"/>
              <w:left w:val="single" w:sz="2" w:space="0" w:color="000000"/>
              <w:bottom w:val="single" w:sz="2" w:space="0" w:color="000000"/>
              <w:right w:val="single" w:sz="2" w:space="0" w:color="000000"/>
            </w:tcBorders>
          </w:tcPr>
          <w:p w14:paraId="48A9F22F" w14:textId="77777777" w:rsidR="00E134A7" w:rsidRDefault="003612E0">
            <w:pPr>
              <w:spacing w:after="0" w:line="259" w:lineRule="auto"/>
              <w:ind w:left="0" w:firstLine="0"/>
            </w:pPr>
            <w:r>
              <w:t>[r = ...]</w:t>
            </w:r>
          </w:p>
        </w:tc>
        <w:tc>
          <w:tcPr>
            <w:tcW w:w="1995" w:type="dxa"/>
            <w:tcBorders>
              <w:top w:val="single" w:sz="2" w:space="0" w:color="000000"/>
              <w:left w:val="single" w:sz="2" w:space="0" w:color="000000"/>
              <w:bottom w:val="single" w:sz="2" w:space="0" w:color="000000"/>
              <w:right w:val="single" w:sz="2" w:space="0" w:color="000000"/>
            </w:tcBorders>
          </w:tcPr>
          <w:p w14:paraId="3ABCC3D3" w14:textId="77777777" w:rsidR="00E134A7" w:rsidRDefault="003612E0">
            <w:pPr>
              <w:spacing w:after="0" w:line="259" w:lineRule="auto"/>
              <w:ind w:left="0" w:firstLine="0"/>
            </w:pPr>
            <w:r>
              <w:t>[p = ...]</w:t>
            </w:r>
          </w:p>
        </w:tc>
        <w:tc>
          <w:tcPr>
            <w:tcW w:w="2490" w:type="dxa"/>
            <w:tcBorders>
              <w:top w:val="single" w:sz="2" w:space="0" w:color="000000"/>
              <w:left w:val="single" w:sz="2" w:space="0" w:color="000000"/>
              <w:bottom w:val="single" w:sz="2" w:space="0" w:color="000000"/>
              <w:right w:val="single" w:sz="2" w:space="0" w:color="000000"/>
            </w:tcBorders>
          </w:tcPr>
          <w:p w14:paraId="76B14BD1" w14:textId="77777777" w:rsidR="00E134A7" w:rsidRDefault="003612E0">
            <w:pPr>
              <w:spacing w:after="0" w:line="259" w:lineRule="auto"/>
              <w:ind w:left="0" w:firstLine="0"/>
            </w:pPr>
            <w:r>
              <w:t xml:space="preserve">[Reject / Fail to reject </w:t>
            </w:r>
          </w:p>
          <w:p w14:paraId="0AB68CC9" w14:textId="77777777" w:rsidR="00E134A7" w:rsidRDefault="003612E0">
            <w:pPr>
              <w:spacing w:after="0" w:line="259" w:lineRule="auto"/>
              <w:ind w:left="0" w:firstLine="0"/>
            </w:pPr>
            <w:r>
              <w:t>H₀]</w:t>
            </w:r>
          </w:p>
        </w:tc>
      </w:tr>
    </w:tbl>
    <w:p w14:paraId="78FFBEFE" w14:textId="77777777" w:rsidR="00E134A7" w:rsidRDefault="003612E0">
      <w:pPr>
        <w:spacing w:after="150"/>
        <w:ind w:left="-5"/>
      </w:pPr>
      <w:r>
        <w:lastRenderedPageBreak/>
        <w:t xml:space="preserve">Clustering: optimal K = [K], silhouette score = [value]. </w:t>
      </w:r>
      <w:proofErr w:type="spellStart"/>
      <w:r>
        <w:t>KMeans</w:t>
      </w:r>
      <w:proofErr w:type="spellEnd"/>
      <w:r>
        <w:t>/Hierarchical agreement: [strong/moderate/weak] (see crosstab in notebook). Regime profiles: [summarize each cluster's characteristic volatility/return/RSI levels].</w:t>
      </w:r>
    </w:p>
    <w:p w14:paraId="064F1761" w14:textId="77777777" w:rsidR="00E134A7" w:rsidRDefault="003612E0">
      <w:pPr>
        <w:spacing w:after="450"/>
        <w:ind w:left="-5"/>
      </w:pPr>
      <w:r>
        <w:t>Supervised validation: Decision Tree test accuracy = [X]%, macro-F1 = [value]. Top features by importance: [list].</w:t>
      </w:r>
    </w:p>
    <w:p w14:paraId="23409684" w14:textId="77777777" w:rsidR="00E134A7" w:rsidRDefault="003612E0">
      <w:pPr>
        <w:pStyle w:val="Heading1"/>
        <w:ind w:left="341" w:hanging="356"/>
      </w:pPr>
      <w:r>
        <w:t>Discussion</w:t>
      </w:r>
    </w:p>
    <w:p w14:paraId="7FDB1B38" w14:textId="77777777" w:rsidR="00E134A7" w:rsidRDefault="003612E0">
      <w:pPr>
        <w:spacing w:after="450"/>
        <w:ind w:left="-5"/>
      </w:pPr>
      <w:r>
        <w:t>[To be completed with live results.] Discuss whether the volume–volatility relationship found matches the literature reviewed in Section 2.1; whether volatility clustering/fat tails were visually and statistically evident; how many distinct regimes emerged and whether their characteristics align with intuitive market conditions (e.g., a clearly “calm” regime and a clearly “turbulent” regime); and whether the supervised classifier's high validation accuracy supports treating the regimes as internally consist</w:t>
      </w:r>
      <w:r>
        <w:t>ent.</w:t>
      </w:r>
    </w:p>
    <w:p w14:paraId="13B0284F" w14:textId="77777777" w:rsidR="00E134A7" w:rsidRDefault="003612E0">
      <w:pPr>
        <w:pStyle w:val="Heading1"/>
        <w:ind w:left="341" w:hanging="356"/>
      </w:pPr>
      <w:r>
        <w:t>Limitations</w:t>
      </w:r>
    </w:p>
    <w:p w14:paraId="68072701" w14:textId="77777777" w:rsidR="00E134A7" w:rsidRDefault="003612E0">
      <w:pPr>
        <w:ind w:left="730"/>
      </w:pPr>
      <w:r>
        <w:t>Daily OHLCV data is a simplified proxy for true tick/order-book microstructure; findings should not be generalized to intraday microstructure phenomena (e.g., bid-ask spread dynamics).</w:t>
      </w:r>
    </w:p>
    <w:p w14:paraId="75703610" w14:textId="77777777" w:rsidR="00E134A7" w:rsidRDefault="003612E0">
      <w:pPr>
        <w:ind w:left="730"/>
      </w:pPr>
      <w:r>
        <w:t>Clustering describes historical structure only; regimes are not guaranteed to persist or recur in the same form.</w:t>
      </w:r>
    </w:p>
    <w:p w14:paraId="6CD708CF" w14:textId="77777777" w:rsidR="00E134A7" w:rsidRDefault="003612E0">
      <w:pPr>
        <w:ind w:left="730"/>
      </w:pPr>
      <w:r>
        <w:t>The supervised learning step validates same-day feature-to-regime consistency, not forecasting ability.</w:t>
      </w:r>
    </w:p>
    <w:p w14:paraId="1079D6ED" w14:textId="77777777" w:rsidR="00E134A7" w:rsidRDefault="003612E0">
      <w:pPr>
        <w:ind w:left="730"/>
      </w:pPr>
      <w:r>
        <w:t>Findings are specific to the analyzed ticker and date range and may not generalize across instruments or periods without re-running the analysis.</w:t>
      </w:r>
    </w:p>
    <w:p w14:paraId="2D3700F7" w14:textId="77777777" w:rsidR="00E134A7" w:rsidRDefault="003612E0">
      <w:pPr>
        <w:spacing w:after="450"/>
        <w:ind w:left="730"/>
      </w:pPr>
      <w:r>
        <w:t>Standard statistical tests (T-test, ANOVA, Pearson correlation) assume certain distributional properties (e.g., independence, approximate normality of test statistics under the CLT for large samples) that were not exhaustively verified beyond the fat-tail check in EDA.</w:t>
      </w:r>
    </w:p>
    <w:p w14:paraId="322CC66B" w14:textId="77777777" w:rsidR="00E134A7" w:rsidRDefault="003612E0">
      <w:pPr>
        <w:pStyle w:val="Heading1"/>
        <w:ind w:left="341" w:hanging="356"/>
      </w:pPr>
      <w:r>
        <w:t>Conclusion</w:t>
      </w:r>
    </w:p>
    <w:p w14:paraId="7AC4C3AB" w14:textId="77777777" w:rsidR="00E134A7" w:rsidRDefault="003612E0">
      <w:pPr>
        <w:spacing w:after="450"/>
        <w:ind w:left="-5"/>
      </w:pPr>
      <w:r>
        <w:t xml:space="preserve">This study demonstrates a complete, reproducible workflow for investigating market microstructure themes in Indian equity data using only publicly available daily data and standard open-source tooling. Once executed on live data, it is expected to provide empirical, Indian-market-specific evidence on the volume–volatility relationship and to </w:t>
      </w:r>
      <w:r>
        <w:t xml:space="preserve">yield a small </w:t>
      </w:r>
      <w:r>
        <w:lastRenderedPageBreak/>
        <w:t>number of interpretable, statistically distinguishable market regimes. The accompanying Jupyter notebook, final report, and insights document provide the full technical implementation, complete results, and a synthesis of practical takeaways, respectively.</w:t>
      </w:r>
    </w:p>
    <w:p w14:paraId="69937E4A" w14:textId="77777777" w:rsidR="00E134A7" w:rsidRDefault="003612E0">
      <w:pPr>
        <w:pStyle w:val="Heading1"/>
        <w:numPr>
          <w:ilvl w:val="0"/>
          <w:numId w:val="0"/>
        </w:numPr>
        <w:ind w:left="-5"/>
      </w:pPr>
      <w:r>
        <w:t>References</w:t>
      </w:r>
    </w:p>
    <w:p w14:paraId="5A60D0CC" w14:textId="77777777" w:rsidR="00E134A7" w:rsidRDefault="003612E0">
      <w:pPr>
        <w:ind w:left="730"/>
      </w:pPr>
      <w:r>
        <w:t xml:space="preserve">Clark, P. K. (1973). A Subordinated Stochastic Process Model with Finite Variance for Speculative Prices. </w:t>
      </w:r>
      <w:proofErr w:type="spellStart"/>
      <w:r>
        <w:t>Econometrica</w:t>
      </w:r>
      <w:proofErr w:type="spellEnd"/>
      <w:r>
        <w:t>, 41(1), 135–155.</w:t>
      </w:r>
    </w:p>
    <w:p w14:paraId="4F36FBDF" w14:textId="77777777" w:rsidR="00E134A7" w:rsidRDefault="003612E0">
      <w:pPr>
        <w:ind w:left="730"/>
      </w:pPr>
      <w:r>
        <w:t>Karpoff, J. M. (1987). The Relation Between Price Changes and Trading Volume: A Survey. Journal of Financial and Quantitative Analysis, 22(1), 109–126.</w:t>
      </w:r>
    </w:p>
    <w:p w14:paraId="0B698B15" w14:textId="77777777" w:rsidR="00E134A7" w:rsidRDefault="003612E0">
      <w:pPr>
        <w:ind w:left="730"/>
      </w:pPr>
      <w:r>
        <w:t>Mandelbrot, B. (1963). The Variation of Certain Speculative Prices. The Journal of Business, 36(4), 394–419.</w:t>
      </w:r>
    </w:p>
    <w:p w14:paraId="6B095BC6" w14:textId="77777777" w:rsidR="00E134A7" w:rsidRDefault="003612E0">
      <w:pPr>
        <w:spacing w:after="1"/>
        <w:ind w:left="730"/>
      </w:pPr>
      <w:r>
        <w:t xml:space="preserve">Engle, R. F. (1982). Autoregressive Conditional Heteroscedasticity with </w:t>
      </w:r>
    </w:p>
    <w:p w14:paraId="6112AF24" w14:textId="77777777" w:rsidR="00E134A7" w:rsidRDefault="003612E0">
      <w:pPr>
        <w:ind w:left="730"/>
      </w:pPr>
      <w:r>
        <w:t xml:space="preserve">Estimates of the Variance of United Kingdom Inflation. </w:t>
      </w:r>
      <w:proofErr w:type="spellStart"/>
      <w:r>
        <w:t>Econometrica</w:t>
      </w:r>
      <w:proofErr w:type="spellEnd"/>
      <w:r>
        <w:t>, 50(4), 987–1007.</w:t>
      </w:r>
    </w:p>
    <w:p w14:paraId="24D5EDCB" w14:textId="77777777" w:rsidR="00E134A7" w:rsidRDefault="003612E0">
      <w:pPr>
        <w:spacing w:after="1"/>
        <w:ind w:left="730"/>
      </w:pPr>
      <w:r>
        <w:t xml:space="preserve">Hamilton, J. D. (1989). A New Approach to the Economic Analysis of </w:t>
      </w:r>
    </w:p>
    <w:p w14:paraId="3E1045EF" w14:textId="77777777" w:rsidR="00E134A7" w:rsidRDefault="003612E0">
      <w:pPr>
        <w:ind w:left="730"/>
      </w:pPr>
      <w:r>
        <w:t xml:space="preserve">Nonstationary Time Series and the Business Cycle. </w:t>
      </w:r>
      <w:proofErr w:type="spellStart"/>
      <w:r>
        <w:t>Econometrica</w:t>
      </w:r>
      <w:proofErr w:type="spellEnd"/>
      <w:r>
        <w:t>, 57(2), 357– 384.</w:t>
      </w:r>
    </w:p>
    <w:p w14:paraId="1157BCB7" w14:textId="77777777" w:rsidR="00E134A7" w:rsidRDefault="003612E0">
      <w:pPr>
        <w:ind w:left="730"/>
      </w:pPr>
      <w:r>
        <w:t>O'Hara, M. (1995). Market Microstructure Theory. Blackwell Publishers.</w:t>
      </w:r>
    </w:p>
    <w:sectPr w:rsidR="00E134A7">
      <w:headerReference w:type="even" r:id="rId7"/>
      <w:headerReference w:type="default" r:id="rId8"/>
      <w:footerReference w:type="even" r:id="rId9"/>
      <w:footerReference w:type="default" r:id="rId10"/>
      <w:headerReference w:type="first" r:id="rId11"/>
      <w:footerReference w:type="first" r:id="rId12"/>
      <w:pgSz w:w="12240" w:h="15840"/>
      <w:pgMar w:top="1455" w:right="1508" w:bottom="1504" w:left="1440" w:header="990" w:footer="9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58947" w14:textId="77777777" w:rsidR="003612E0" w:rsidRDefault="003612E0">
      <w:pPr>
        <w:spacing w:after="0" w:line="240" w:lineRule="auto"/>
      </w:pPr>
      <w:r>
        <w:separator/>
      </w:r>
    </w:p>
  </w:endnote>
  <w:endnote w:type="continuationSeparator" w:id="0">
    <w:p w14:paraId="14A8FDB9" w14:textId="77777777" w:rsidR="003612E0" w:rsidRDefault="00361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7C736" w14:textId="77777777" w:rsidR="00E134A7" w:rsidRDefault="003612E0">
    <w:pPr>
      <w:spacing w:after="0" w:line="259" w:lineRule="auto"/>
      <w:ind w:left="-1440" w:right="10732" w:firstLine="0"/>
    </w:pPr>
    <w:r>
      <w:rPr>
        <w:noProof/>
        <w:sz w:val="22"/>
      </w:rPr>
      <mc:AlternateContent>
        <mc:Choice Requires="wpg">
          <w:drawing>
            <wp:anchor distT="0" distB="0" distL="114300" distR="114300" simplePos="0" relativeHeight="251664384" behindDoc="0" locked="0" layoutInCell="1" allowOverlap="1" wp14:anchorId="7ED74237" wp14:editId="2314449F">
              <wp:simplePos x="0" y="0"/>
              <wp:positionH relativeFrom="page">
                <wp:posOffset>628650</wp:posOffset>
              </wp:positionH>
              <wp:positionV relativeFrom="page">
                <wp:posOffset>9144000</wp:posOffset>
              </wp:positionV>
              <wp:extent cx="285750" cy="285750"/>
              <wp:effectExtent l="0" t="0" r="0" b="0"/>
              <wp:wrapSquare wrapText="bothSides"/>
              <wp:docPr id="8377" name="Group 8377"/>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8634" name="Shape 8634"/>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8635" name="Shape 8635"/>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377" style="width:22.5pt;height:22.5pt;position:absolute;mso-position-horizontal-relative:page;mso-position-horizontal:absolute;margin-left:49.5pt;mso-position-vertical-relative:page;margin-top:720pt;" coordsize="2857,2857">
              <v:shape id="Shape 8636" style="position:absolute;width:95;height:2857;left:2762;top:0;" coordsize="9525,285750" path="m0,0l9525,0l9525,285750l0,285750l0,0">
                <v:stroke weight="0pt" endcap="flat" joinstyle="miter" miterlimit="10" on="false" color="#000000" opacity="0"/>
                <v:fill on="true" color="#888888"/>
              </v:shape>
              <v:shape id="Shape 8637"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65408" behindDoc="0" locked="0" layoutInCell="1" allowOverlap="1" wp14:anchorId="5B995F5A" wp14:editId="25EBE680">
              <wp:simplePos x="0" y="0"/>
              <wp:positionH relativeFrom="page">
                <wp:posOffset>6858000</wp:posOffset>
              </wp:positionH>
              <wp:positionV relativeFrom="page">
                <wp:posOffset>9144000</wp:posOffset>
              </wp:positionV>
              <wp:extent cx="285750" cy="285750"/>
              <wp:effectExtent l="0" t="0" r="0" b="0"/>
              <wp:wrapSquare wrapText="bothSides"/>
              <wp:docPr id="8380" name="Group 8380"/>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8638" name="Shape 8638"/>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8639" name="Shape 8639"/>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380" style="width:22.5pt;height:22.5pt;position:absolute;mso-position-horizontal-relative:page;mso-position-horizontal:absolute;margin-left:540pt;mso-position-vertical-relative:page;margin-top:720pt;" coordsize="2857,2857">
              <v:shape id="Shape 8640" style="position:absolute;width:95;height:2857;left:0;top:0;" coordsize="9525,285750" path="m0,0l9525,0l9525,285750l0,285750l0,0">
                <v:stroke weight="0pt" endcap="flat" joinstyle="miter" miterlimit="10" on="false" color="#000000" opacity="0"/>
                <v:fill on="true" color="#888888"/>
              </v:shape>
              <v:shape id="Shape 8641"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2E4E2" w14:textId="77777777" w:rsidR="00E134A7" w:rsidRDefault="003612E0">
    <w:pPr>
      <w:spacing w:after="0" w:line="259" w:lineRule="auto"/>
      <w:ind w:left="-1440" w:right="10732" w:firstLine="0"/>
    </w:pPr>
    <w:r>
      <w:rPr>
        <w:noProof/>
        <w:sz w:val="22"/>
      </w:rPr>
      <mc:AlternateContent>
        <mc:Choice Requires="wpg">
          <w:drawing>
            <wp:anchor distT="0" distB="0" distL="114300" distR="114300" simplePos="0" relativeHeight="251666432" behindDoc="0" locked="0" layoutInCell="1" allowOverlap="1" wp14:anchorId="65F67811" wp14:editId="3B690D87">
              <wp:simplePos x="0" y="0"/>
              <wp:positionH relativeFrom="page">
                <wp:posOffset>628650</wp:posOffset>
              </wp:positionH>
              <wp:positionV relativeFrom="page">
                <wp:posOffset>9144000</wp:posOffset>
              </wp:positionV>
              <wp:extent cx="285750" cy="285750"/>
              <wp:effectExtent l="0" t="0" r="0" b="0"/>
              <wp:wrapSquare wrapText="bothSides"/>
              <wp:docPr id="8357" name="Group 8357"/>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8626" name="Shape 8626"/>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8627" name="Shape 8627"/>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357" style="width:22.5pt;height:22.5pt;position:absolute;mso-position-horizontal-relative:page;mso-position-horizontal:absolute;margin-left:49.5pt;mso-position-vertical-relative:page;margin-top:720pt;" coordsize="2857,2857">
              <v:shape id="Shape 8628" style="position:absolute;width:95;height:2857;left:2762;top:0;" coordsize="9525,285750" path="m0,0l9525,0l9525,285750l0,285750l0,0">
                <v:stroke weight="0pt" endcap="flat" joinstyle="miter" miterlimit="10" on="false" color="#000000" opacity="0"/>
                <v:fill on="true" color="#888888"/>
              </v:shape>
              <v:shape id="Shape 8629"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67456" behindDoc="0" locked="0" layoutInCell="1" allowOverlap="1" wp14:anchorId="4838B65B" wp14:editId="42B89162">
              <wp:simplePos x="0" y="0"/>
              <wp:positionH relativeFrom="page">
                <wp:posOffset>6858000</wp:posOffset>
              </wp:positionH>
              <wp:positionV relativeFrom="page">
                <wp:posOffset>9144000</wp:posOffset>
              </wp:positionV>
              <wp:extent cx="285750" cy="285750"/>
              <wp:effectExtent l="0" t="0" r="0" b="0"/>
              <wp:wrapSquare wrapText="bothSides"/>
              <wp:docPr id="8360" name="Group 8360"/>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8630" name="Shape 8630"/>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8631" name="Shape 8631"/>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360" style="width:22.5pt;height:22.5pt;position:absolute;mso-position-horizontal-relative:page;mso-position-horizontal:absolute;margin-left:540pt;mso-position-vertical-relative:page;margin-top:720pt;" coordsize="2857,2857">
              <v:shape id="Shape 8632" style="position:absolute;width:95;height:2857;left:0;top:0;" coordsize="9525,285750" path="m0,0l9525,0l9525,285750l0,285750l0,0">
                <v:stroke weight="0pt" endcap="flat" joinstyle="miter" miterlimit="10" on="false" color="#000000" opacity="0"/>
                <v:fill on="true" color="#888888"/>
              </v:shape>
              <v:shape id="Shape 8633"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87663" w14:textId="77777777" w:rsidR="00E134A7" w:rsidRDefault="003612E0">
    <w:pPr>
      <w:spacing w:after="0" w:line="259" w:lineRule="auto"/>
      <w:ind w:left="-1440" w:right="10732" w:firstLine="0"/>
    </w:pPr>
    <w:r>
      <w:rPr>
        <w:noProof/>
        <w:sz w:val="22"/>
      </w:rPr>
      <mc:AlternateContent>
        <mc:Choice Requires="wpg">
          <w:drawing>
            <wp:anchor distT="0" distB="0" distL="114300" distR="114300" simplePos="0" relativeHeight="251668480" behindDoc="0" locked="0" layoutInCell="1" allowOverlap="1" wp14:anchorId="779D12D0" wp14:editId="5FE7B52A">
              <wp:simplePos x="0" y="0"/>
              <wp:positionH relativeFrom="page">
                <wp:posOffset>628650</wp:posOffset>
              </wp:positionH>
              <wp:positionV relativeFrom="page">
                <wp:posOffset>9144000</wp:posOffset>
              </wp:positionV>
              <wp:extent cx="285750" cy="285750"/>
              <wp:effectExtent l="0" t="0" r="0" b="0"/>
              <wp:wrapSquare wrapText="bothSides"/>
              <wp:docPr id="8337" name="Group 8337"/>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8618" name="Shape 8618"/>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8619" name="Shape 8619"/>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337" style="width:22.5pt;height:22.5pt;position:absolute;mso-position-horizontal-relative:page;mso-position-horizontal:absolute;margin-left:49.5pt;mso-position-vertical-relative:page;margin-top:720pt;" coordsize="2857,2857">
              <v:shape id="Shape 8620" style="position:absolute;width:95;height:2857;left:2762;top:0;" coordsize="9525,285750" path="m0,0l9525,0l9525,285750l0,285750l0,0">
                <v:stroke weight="0pt" endcap="flat" joinstyle="miter" miterlimit="10" on="false" color="#000000" opacity="0"/>
                <v:fill on="true" color="#888888"/>
              </v:shape>
              <v:shape id="Shape 8621"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69504" behindDoc="0" locked="0" layoutInCell="1" allowOverlap="1" wp14:anchorId="571DF2FC" wp14:editId="32FF8883">
              <wp:simplePos x="0" y="0"/>
              <wp:positionH relativeFrom="page">
                <wp:posOffset>6858000</wp:posOffset>
              </wp:positionH>
              <wp:positionV relativeFrom="page">
                <wp:posOffset>9144000</wp:posOffset>
              </wp:positionV>
              <wp:extent cx="285750" cy="285750"/>
              <wp:effectExtent l="0" t="0" r="0" b="0"/>
              <wp:wrapSquare wrapText="bothSides"/>
              <wp:docPr id="8340" name="Group 8340"/>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8622" name="Shape 8622"/>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8623" name="Shape 8623"/>
                      <wps:cNvSpPr/>
                      <wps:spPr>
                        <a:xfrm>
                          <a:off x="0" y="0"/>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340" style="width:22.5pt;height:22.5pt;position:absolute;mso-position-horizontal-relative:page;mso-position-horizontal:absolute;margin-left:540pt;mso-position-vertical-relative:page;margin-top:720pt;" coordsize="2857,2857">
              <v:shape id="Shape 8624" style="position:absolute;width:95;height:2857;left:0;top:0;" coordsize="9525,285750" path="m0,0l9525,0l9525,285750l0,285750l0,0">
                <v:stroke weight="0pt" endcap="flat" joinstyle="miter" miterlimit="10" on="false" color="#000000" opacity="0"/>
                <v:fill on="true" color="#888888"/>
              </v:shape>
              <v:shape id="Shape 8625" style="position:absolute;width:2857;height:95;left:0;top:0;" coordsize="285750,9525" path="m0,0l285750,0l285750,9525l0,9525l0,0">
                <v:stroke weight="0pt" endcap="flat" joinstyle="miter" miterlimit="10" on="false" color="#000000" opacity="0"/>
                <v:fill on="true" color="#888888"/>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59333" w14:textId="77777777" w:rsidR="003612E0" w:rsidRDefault="003612E0">
      <w:pPr>
        <w:spacing w:after="0" w:line="240" w:lineRule="auto"/>
      </w:pPr>
      <w:r>
        <w:separator/>
      </w:r>
    </w:p>
  </w:footnote>
  <w:footnote w:type="continuationSeparator" w:id="0">
    <w:p w14:paraId="38605703" w14:textId="77777777" w:rsidR="003612E0" w:rsidRDefault="003612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02C93" w14:textId="77777777" w:rsidR="00E134A7" w:rsidRDefault="003612E0">
    <w:pPr>
      <w:spacing w:after="0" w:line="259" w:lineRule="auto"/>
      <w:ind w:left="-1440" w:right="10732" w:firstLine="0"/>
    </w:pPr>
    <w:r>
      <w:rPr>
        <w:noProof/>
        <w:sz w:val="22"/>
      </w:rPr>
      <mc:AlternateContent>
        <mc:Choice Requires="wpg">
          <w:drawing>
            <wp:anchor distT="0" distB="0" distL="114300" distR="114300" simplePos="0" relativeHeight="251658240" behindDoc="0" locked="0" layoutInCell="1" allowOverlap="1" wp14:anchorId="11E37BFD" wp14:editId="5F184EA2">
              <wp:simplePos x="0" y="0"/>
              <wp:positionH relativeFrom="page">
                <wp:posOffset>628650</wp:posOffset>
              </wp:positionH>
              <wp:positionV relativeFrom="page">
                <wp:posOffset>628650</wp:posOffset>
              </wp:positionV>
              <wp:extent cx="285750" cy="285750"/>
              <wp:effectExtent l="0" t="0" r="0" b="0"/>
              <wp:wrapSquare wrapText="bothSides"/>
              <wp:docPr id="8367" name="Group 8367"/>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8610" name="Shape 8610"/>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8611" name="Shape 8611"/>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367" style="width:22.5pt;height:22.5pt;position:absolute;mso-position-horizontal-relative:page;mso-position-horizontal:absolute;margin-left:49.5pt;mso-position-vertical-relative:page;margin-top:49.5pt;" coordsize="2857,2857">
              <v:shape id="Shape 8612" style="position:absolute;width:95;height:2857;left:2762;top:0;" coordsize="9525,285750" path="m0,0l9525,0l9525,285750l0,285750l0,0">
                <v:stroke weight="0pt" endcap="flat" joinstyle="miter" miterlimit="10" on="false" color="#000000" opacity="0"/>
                <v:fill on="true" color="#888888"/>
              </v:shape>
              <v:shape id="Shape 8613"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428D7FC2" wp14:editId="496B0653">
              <wp:simplePos x="0" y="0"/>
              <wp:positionH relativeFrom="page">
                <wp:posOffset>6858000</wp:posOffset>
              </wp:positionH>
              <wp:positionV relativeFrom="page">
                <wp:posOffset>628650</wp:posOffset>
              </wp:positionV>
              <wp:extent cx="285750" cy="285750"/>
              <wp:effectExtent l="0" t="0" r="0" b="0"/>
              <wp:wrapSquare wrapText="bothSides"/>
              <wp:docPr id="8370" name="Group 8370"/>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8614" name="Shape 8614"/>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8615" name="Shape 8615"/>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370" style="width:22.5pt;height:22.5pt;position:absolute;mso-position-horizontal-relative:page;mso-position-horizontal:absolute;margin-left:540pt;mso-position-vertical-relative:page;margin-top:49.5pt;" coordsize="2857,2857">
              <v:shape id="Shape 8616" style="position:absolute;width:95;height:2857;left:0;top:0;" coordsize="9525,285750" path="m0,0l9525,0l9525,285750l0,285750l0,0">
                <v:stroke weight="0pt" endcap="flat" joinstyle="miter" miterlimit="10" on="false" color="#000000" opacity="0"/>
                <v:fill on="true" color="#888888"/>
              </v:shape>
              <v:shape id="Shape 8617"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07DB" w14:textId="77777777" w:rsidR="00E134A7" w:rsidRDefault="003612E0">
    <w:pPr>
      <w:spacing w:after="0" w:line="259" w:lineRule="auto"/>
      <w:ind w:left="-1440" w:right="10732" w:firstLine="0"/>
    </w:pPr>
    <w:r>
      <w:rPr>
        <w:noProof/>
        <w:sz w:val="22"/>
      </w:rPr>
      <mc:AlternateContent>
        <mc:Choice Requires="wpg">
          <w:drawing>
            <wp:anchor distT="0" distB="0" distL="114300" distR="114300" simplePos="0" relativeHeight="251660288" behindDoc="0" locked="0" layoutInCell="1" allowOverlap="1" wp14:anchorId="29DE779E" wp14:editId="569FBD97">
              <wp:simplePos x="0" y="0"/>
              <wp:positionH relativeFrom="page">
                <wp:posOffset>628650</wp:posOffset>
              </wp:positionH>
              <wp:positionV relativeFrom="page">
                <wp:posOffset>628650</wp:posOffset>
              </wp:positionV>
              <wp:extent cx="285750" cy="285750"/>
              <wp:effectExtent l="0" t="0" r="0" b="0"/>
              <wp:wrapSquare wrapText="bothSides"/>
              <wp:docPr id="8347" name="Group 8347"/>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8602" name="Shape 8602"/>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8603" name="Shape 8603"/>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347" style="width:22.5pt;height:22.5pt;position:absolute;mso-position-horizontal-relative:page;mso-position-horizontal:absolute;margin-left:49.5pt;mso-position-vertical-relative:page;margin-top:49.5pt;" coordsize="2857,2857">
              <v:shape id="Shape 8604" style="position:absolute;width:95;height:2857;left:2762;top:0;" coordsize="9525,285750" path="m0,0l9525,0l9525,285750l0,285750l0,0">
                <v:stroke weight="0pt" endcap="flat" joinstyle="miter" miterlimit="10" on="false" color="#000000" opacity="0"/>
                <v:fill on="true" color="#888888"/>
              </v:shape>
              <v:shape id="Shape 8605"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61312" behindDoc="0" locked="0" layoutInCell="1" allowOverlap="1" wp14:anchorId="493937DA" wp14:editId="3320728C">
              <wp:simplePos x="0" y="0"/>
              <wp:positionH relativeFrom="page">
                <wp:posOffset>6858000</wp:posOffset>
              </wp:positionH>
              <wp:positionV relativeFrom="page">
                <wp:posOffset>628650</wp:posOffset>
              </wp:positionV>
              <wp:extent cx="285750" cy="285750"/>
              <wp:effectExtent l="0" t="0" r="0" b="0"/>
              <wp:wrapSquare wrapText="bothSides"/>
              <wp:docPr id="8350" name="Group 8350"/>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8606" name="Shape 8606"/>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8607" name="Shape 8607"/>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350" style="width:22.5pt;height:22.5pt;position:absolute;mso-position-horizontal-relative:page;mso-position-horizontal:absolute;margin-left:540pt;mso-position-vertical-relative:page;margin-top:49.5pt;" coordsize="2857,2857">
              <v:shape id="Shape 8608" style="position:absolute;width:95;height:2857;left:0;top:0;" coordsize="9525,285750" path="m0,0l9525,0l9525,285750l0,285750l0,0">
                <v:stroke weight="0pt" endcap="flat" joinstyle="miter" miterlimit="10" on="false" color="#000000" opacity="0"/>
                <v:fill on="true" color="#888888"/>
              </v:shape>
              <v:shape id="Shape 8609"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DF3EA" w14:textId="77777777" w:rsidR="00E134A7" w:rsidRDefault="003612E0">
    <w:pPr>
      <w:spacing w:after="0" w:line="259" w:lineRule="auto"/>
      <w:ind w:left="-1440" w:right="10732" w:firstLine="0"/>
    </w:pPr>
    <w:r>
      <w:rPr>
        <w:noProof/>
        <w:sz w:val="22"/>
      </w:rPr>
      <mc:AlternateContent>
        <mc:Choice Requires="wpg">
          <w:drawing>
            <wp:anchor distT="0" distB="0" distL="114300" distR="114300" simplePos="0" relativeHeight="251662336" behindDoc="0" locked="0" layoutInCell="1" allowOverlap="1" wp14:anchorId="3DAE2BA7" wp14:editId="5DCD7158">
              <wp:simplePos x="0" y="0"/>
              <wp:positionH relativeFrom="page">
                <wp:posOffset>628650</wp:posOffset>
              </wp:positionH>
              <wp:positionV relativeFrom="page">
                <wp:posOffset>628650</wp:posOffset>
              </wp:positionV>
              <wp:extent cx="285750" cy="285750"/>
              <wp:effectExtent l="0" t="0" r="0" b="0"/>
              <wp:wrapSquare wrapText="bothSides"/>
              <wp:docPr id="8327" name="Group 8327"/>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8594" name="Shape 8594"/>
                      <wps:cNvSpPr/>
                      <wps:spPr>
                        <a:xfrm>
                          <a:off x="276225"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8595" name="Shape 8595"/>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327" style="width:22.5pt;height:22.5pt;position:absolute;mso-position-horizontal-relative:page;mso-position-horizontal:absolute;margin-left:49.5pt;mso-position-vertical-relative:page;margin-top:49.5pt;" coordsize="2857,2857">
              <v:shape id="Shape 8596" style="position:absolute;width:95;height:2857;left:2762;top:0;" coordsize="9525,285750" path="m0,0l9525,0l9525,285750l0,285750l0,0">
                <v:stroke weight="0pt" endcap="flat" joinstyle="miter" miterlimit="10" on="false" color="#000000" opacity="0"/>
                <v:fill on="true" color="#888888"/>
              </v:shape>
              <v:shape id="Shape 8597"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63360" behindDoc="0" locked="0" layoutInCell="1" allowOverlap="1" wp14:anchorId="2D822858" wp14:editId="7552769B">
              <wp:simplePos x="0" y="0"/>
              <wp:positionH relativeFrom="page">
                <wp:posOffset>6858000</wp:posOffset>
              </wp:positionH>
              <wp:positionV relativeFrom="page">
                <wp:posOffset>628650</wp:posOffset>
              </wp:positionV>
              <wp:extent cx="285750" cy="285750"/>
              <wp:effectExtent l="0" t="0" r="0" b="0"/>
              <wp:wrapSquare wrapText="bothSides"/>
              <wp:docPr id="8330" name="Group 8330"/>
              <wp:cNvGraphicFramePr/>
              <a:graphic xmlns:a="http://schemas.openxmlformats.org/drawingml/2006/main">
                <a:graphicData uri="http://schemas.microsoft.com/office/word/2010/wordprocessingGroup">
                  <wpg:wgp>
                    <wpg:cNvGrpSpPr/>
                    <wpg:grpSpPr>
                      <a:xfrm>
                        <a:off x="0" y="0"/>
                        <a:ext cx="285750" cy="285750"/>
                        <a:chOff x="0" y="0"/>
                        <a:chExt cx="285750" cy="285750"/>
                      </a:xfrm>
                    </wpg:grpSpPr>
                    <wps:wsp>
                      <wps:cNvPr id="8598" name="Shape 8598"/>
                      <wps:cNvSpPr/>
                      <wps:spPr>
                        <a:xfrm>
                          <a:off x="0" y="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8599" name="Shape 8599"/>
                      <wps:cNvSpPr/>
                      <wps:spPr>
                        <a:xfrm>
                          <a:off x="0" y="276225"/>
                          <a:ext cx="285750" cy="9525"/>
                        </a:xfrm>
                        <a:custGeom>
                          <a:avLst/>
                          <a:gdLst/>
                          <a:ahLst/>
                          <a:cxnLst/>
                          <a:rect l="0" t="0" r="0" b="0"/>
                          <a:pathLst>
                            <a:path w="285750" h="9525">
                              <a:moveTo>
                                <a:pt x="0" y="0"/>
                              </a:moveTo>
                              <a:lnTo>
                                <a:pt x="285750" y="0"/>
                              </a:lnTo>
                              <a:lnTo>
                                <a:pt x="28575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8330" style="width:22.5pt;height:22.5pt;position:absolute;mso-position-horizontal-relative:page;mso-position-horizontal:absolute;margin-left:540pt;mso-position-vertical-relative:page;margin-top:49.5pt;" coordsize="2857,2857">
              <v:shape id="Shape 8600" style="position:absolute;width:95;height:2857;left:0;top:0;" coordsize="9525,285750" path="m0,0l9525,0l9525,285750l0,285750l0,0">
                <v:stroke weight="0pt" endcap="flat" joinstyle="miter" miterlimit="10" on="false" color="#000000" opacity="0"/>
                <v:fill on="true" color="#888888"/>
              </v:shape>
              <v:shape id="Shape 8601" style="position:absolute;width:2857;height:95;left:0;top:2762;" coordsize="285750,9525" path="m0,0l285750,0l285750,9525l0,9525l0,0">
                <v:stroke weight="0pt" endcap="flat" joinstyle="miter" miterlimit="10" on="false" color="#000000" opacity="0"/>
                <v:fill on="true" color="#888888"/>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61AB9"/>
    <w:multiLevelType w:val="hybridMultilevel"/>
    <w:tmpl w:val="3196D1D4"/>
    <w:lvl w:ilvl="0" w:tplc="58182994">
      <w:start w:val="1"/>
      <w:numFmt w:val="decimal"/>
      <w:pStyle w:val="Heading1"/>
      <w:lvlText w:val="%1."/>
      <w:lvlJc w:val="left"/>
      <w:pPr>
        <w:ind w:left="0"/>
      </w:pPr>
      <w:rPr>
        <w:rFonts w:ascii="Calibri" w:eastAsia="Calibri" w:hAnsi="Calibri" w:cs="Calibri"/>
        <w:b w:val="0"/>
        <w:i w:val="0"/>
        <w:strike w:val="0"/>
        <w:dstrike w:val="0"/>
        <w:color w:val="1F4E79"/>
        <w:sz w:val="32"/>
        <w:szCs w:val="32"/>
        <w:u w:val="none" w:color="000000"/>
        <w:bdr w:val="none" w:sz="0" w:space="0" w:color="auto"/>
        <w:shd w:val="clear" w:color="auto" w:fill="auto"/>
        <w:vertAlign w:val="baseline"/>
      </w:rPr>
    </w:lvl>
    <w:lvl w:ilvl="1" w:tplc="7E98FABC">
      <w:start w:val="1"/>
      <w:numFmt w:val="lowerLetter"/>
      <w:lvlText w:val="%2"/>
      <w:lvlJc w:val="left"/>
      <w:pPr>
        <w:ind w:left="1080"/>
      </w:pPr>
      <w:rPr>
        <w:rFonts w:ascii="Calibri" w:eastAsia="Calibri" w:hAnsi="Calibri" w:cs="Calibri"/>
        <w:b w:val="0"/>
        <w:i w:val="0"/>
        <w:strike w:val="0"/>
        <w:dstrike w:val="0"/>
        <w:color w:val="1F4E79"/>
        <w:sz w:val="32"/>
        <w:szCs w:val="32"/>
        <w:u w:val="none" w:color="000000"/>
        <w:bdr w:val="none" w:sz="0" w:space="0" w:color="auto"/>
        <w:shd w:val="clear" w:color="auto" w:fill="auto"/>
        <w:vertAlign w:val="baseline"/>
      </w:rPr>
    </w:lvl>
    <w:lvl w:ilvl="2" w:tplc="A35C83C4">
      <w:start w:val="1"/>
      <w:numFmt w:val="lowerRoman"/>
      <w:lvlText w:val="%3"/>
      <w:lvlJc w:val="left"/>
      <w:pPr>
        <w:ind w:left="1800"/>
      </w:pPr>
      <w:rPr>
        <w:rFonts w:ascii="Calibri" w:eastAsia="Calibri" w:hAnsi="Calibri" w:cs="Calibri"/>
        <w:b w:val="0"/>
        <w:i w:val="0"/>
        <w:strike w:val="0"/>
        <w:dstrike w:val="0"/>
        <w:color w:val="1F4E79"/>
        <w:sz w:val="32"/>
        <w:szCs w:val="32"/>
        <w:u w:val="none" w:color="000000"/>
        <w:bdr w:val="none" w:sz="0" w:space="0" w:color="auto"/>
        <w:shd w:val="clear" w:color="auto" w:fill="auto"/>
        <w:vertAlign w:val="baseline"/>
      </w:rPr>
    </w:lvl>
    <w:lvl w:ilvl="3" w:tplc="7DEE8B9C">
      <w:start w:val="1"/>
      <w:numFmt w:val="decimal"/>
      <w:lvlText w:val="%4"/>
      <w:lvlJc w:val="left"/>
      <w:pPr>
        <w:ind w:left="2520"/>
      </w:pPr>
      <w:rPr>
        <w:rFonts w:ascii="Calibri" w:eastAsia="Calibri" w:hAnsi="Calibri" w:cs="Calibri"/>
        <w:b w:val="0"/>
        <w:i w:val="0"/>
        <w:strike w:val="0"/>
        <w:dstrike w:val="0"/>
        <w:color w:val="1F4E79"/>
        <w:sz w:val="32"/>
        <w:szCs w:val="32"/>
        <w:u w:val="none" w:color="000000"/>
        <w:bdr w:val="none" w:sz="0" w:space="0" w:color="auto"/>
        <w:shd w:val="clear" w:color="auto" w:fill="auto"/>
        <w:vertAlign w:val="baseline"/>
      </w:rPr>
    </w:lvl>
    <w:lvl w:ilvl="4" w:tplc="40323506">
      <w:start w:val="1"/>
      <w:numFmt w:val="lowerLetter"/>
      <w:lvlText w:val="%5"/>
      <w:lvlJc w:val="left"/>
      <w:pPr>
        <w:ind w:left="3240"/>
      </w:pPr>
      <w:rPr>
        <w:rFonts w:ascii="Calibri" w:eastAsia="Calibri" w:hAnsi="Calibri" w:cs="Calibri"/>
        <w:b w:val="0"/>
        <w:i w:val="0"/>
        <w:strike w:val="0"/>
        <w:dstrike w:val="0"/>
        <w:color w:val="1F4E79"/>
        <w:sz w:val="32"/>
        <w:szCs w:val="32"/>
        <w:u w:val="none" w:color="000000"/>
        <w:bdr w:val="none" w:sz="0" w:space="0" w:color="auto"/>
        <w:shd w:val="clear" w:color="auto" w:fill="auto"/>
        <w:vertAlign w:val="baseline"/>
      </w:rPr>
    </w:lvl>
    <w:lvl w:ilvl="5" w:tplc="7A2A0822">
      <w:start w:val="1"/>
      <w:numFmt w:val="lowerRoman"/>
      <w:lvlText w:val="%6"/>
      <w:lvlJc w:val="left"/>
      <w:pPr>
        <w:ind w:left="3960"/>
      </w:pPr>
      <w:rPr>
        <w:rFonts w:ascii="Calibri" w:eastAsia="Calibri" w:hAnsi="Calibri" w:cs="Calibri"/>
        <w:b w:val="0"/>
        <w:i w:val="0"/>
        <w:strike w:val="0"/>
        <w:dstrike w:val="0"/>
        <w:color w:val="1F4E79"/>
        <w:sz w:val="32"/>
        <w:szCs w:val="32"/>
        <w:u w:val="none" w:color="000000"/>
        <w:bdr w:val="none" w:sz="0" w:space="0" w:color="auto"/>
        <w:shd w:val="clear" w:color="auto" w:fill="auto"/>
        <w:vertAlign w:val="baseline"/>
      </w:rPr>
    </w:lvl>
    <w:lvl w:ilvl="6" w:tplc="6056386C">
      <w:start w:val="1"/>
      <w:numFmt w:val="decimal"/>
      <w:lvlText w:val="%7"/>
      <w:lvlJc w:val="left"/>
      <w:pPr>
        <w:ind w:left="4680"/>
      </w:pPr>
      <w:rPr>
        <w:rFonts w:ascii="Calibri" w:eastAsia="Calibri" w:hAnsi="Calibri" w:cs="Calibri"/>
        <w:b w:val="0"/>
        <w:i w:val="0"/>
        <w:strike w:val="0"/>
        <w:dstrike w:val="0"/>
        <w:color w:val="1F4E79"/>
        <w:sz w:val="32"/>
        <w:szCs w:val="32"/>
        <w:u w:val="none" w:color="000000"/>
        <w:bdr w:val="none" w:sz="0" w:space="0" w:color="auto"/>
        <w:shd w:val="clear" w:color="auto" w:fill="auto"/>
        <w:vertAlign w:val="baseline"/>
      </w:rPr>
    </w:lvl>
    <w:lvl w:ilvl="7" w:tplc="0AAA6036">
      <w:start w:val="1"/>
      <w:numFmt w:val="lowerLetter"/>
      <w:lvlText w:val="%8"/>
      <w:lvlJc w:val="left"/>
      <w:pPr>
        <w:ind w:left="5400"/>
      </w:pPr>
      <w:rPr>
        <w:rFonts w:ascii="Calibri" w:eastAsia="Calibri" w:hAnsi="Calibri" w:cs="Calibri"/>
        <w:b w:val="0"/>
        <w:i w:val="0"/>
        <w:strike w:val="0"/>
        <w:dstrike w:val="0"/>
        <w:color w:val="1F4E79"/>
        <w:sz w:val="32"/>
        <w:szCs w:val="32"/>
        <w:u w:val="none" w:color="000000"/>
        <w:bdr w:val="none" w:sz="0" w:space="0" w:color="auto"/>
        <w:shd w:val="clear" w:color="auto" w:fill="auto"/>
        <w:vertAlign w:val="baseline"/>
      </w:rPr>
    </w:lvl>
    <w:lvl w:ilvl="8" w:tplc="7B7490F2">
      <w:start w:val="1"/>
      <w:numFmt w:val="lowerRoman"/>
      <w:lvlText w:val="%9"/>
      <w:lvlJc w:val="left"/>
      <w:pPr>
        <w:ind w:left="6120"/>
      </w:pPr>
      <w:rPr>
        <w:rFonts w:ascii="Calibri" w:eastAsia="Calibri" w:hAnsi="Calibri" w:cs="Calibri"/>
        <w:b w:val="0"/>
        <w:i w:val="0"/>
        <w:strike w:val="0"/>
        <w:dstrike w:val="0"/>
        <w:color w:val="1F4E79"/>
        <w:sz w:val="32"/>
        <w:szCs w:val="32"/>
        <w:u w:val="none" w:color="000000"/>
        <w:bdr w:val="none" w:sz="0" w:space="0" w:color="auto"/>
        <w:shd w:val="clear" w:color="auto" w:fill="auto"/>
        <w:vertAlign w:val="baseline"/>
      </w:rPr>
    </w:lvl>
  </w:abstractNum>
  <w:num w:numId="1" w16cid:durableId="96370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7"/>
    <w:rsid w:val="003612E0"/>
    <w:rsid w:val="00AA6A16"/>
    <w:rsid w:val="00AD3F57"/>
    <w:rsid w:val="00E13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724F6"/>
  <w15:docId w15:val="{0D6F0258-28DB-49C2-A0D5-2DEBBFFB0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0" w:line="258"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104" w:line="259" w:lineRule="auto"/>
      <w:ind w:left="10" w:hanging="10"/>
      <w:outlineLvl w:val="0"/>
    </w:pPr>
    <w:rPr>
      <w:rFonts w:ascii="Calibri" w:eastAsia="Calibri" w:hAnsi="Calibri" w:cs="Calibri"/>
      <w:color w:val="1F4E79"/>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1F4E79"/>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1957</Words>
  <Characters>11156</Characters>
  <Application>Microsoft Office Word</Application>
  <DocSecurity>0</DocSecurity>
  <Lines>92</Lines>
  <Paragraphs>26</Paragraphs>
  <ScaleCrop>false</ScaleCrop>
  <Company/>
  <LinksUpToDate>false</LinksUpToDate>
  <CharactersWithSpaces>13087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Asane</dc:creator>
  <cp:keywords/>
  <cp:lastModifiedBy>Aditi Asane</cp:lastModifiedBy>
  <cp:revision>2</cp:revision>
  <dcterms:created xsi:type="dcterms:W3CDTF">2026-07-30T10:15:00Z</dcterms:created>
  <dcterms:modified xsi:type="dcterms:W3CDTF">2026-07-30T10:15:00Z</dcterms:modified>
</cp:coreProperties>
</file>