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1102D" w14:textId="77777777" w:rsidR="007A5F33" w:rsidRDefault="009B7E5B">
      <w:pPr>
        <w:spacing w:after="0" w:line="259" w:lineRule="auto"/>
        <w:ind w:left="150" w:firstLine="0"/>
      </w:pPr>
      <w:r>
        <w:rPr>
          <w:color w:val="1F4E79"/>
          <w:sz w:val="56"/>
        </w:rPr>
        <w:t xml:space="preserve">Indian Stock Market Microstructure </w:t>
      </w:r>
    </w:p>
    <w:p w14:paraId="65F66BB5" w14:textId="77777777" w:rsidR="007A5F33" w:rsidRDefault="009B7E5B">
      <w:pPr>
        <w:spacing w:after="0" w:line="259" w:lineRule="auto"/>
        <w:ind w:left="0" w:right="8" w:firstLine="0"/>
        <w:jc w:val="center"/>
      </w:pPr>
      <w:r>
        <w:rPr>
          <w:color w:val="1F4E79"/>
          <w:sz w:val="56"/>
        </w:rPr>
        <w:t>Analysis</w:t>
      </w:r>
    </w:p>
    <w:p w14:paraId="398EE508" w14:textId="77777777" w:rsidR="007A5F33" w:rsidRDefault="009B7E5B">
      <w:pPr>
        <w:spacing w:after="1105" w:line="259" w:lineRule="auto"/>
        <w:ind w:left="0" w:right="10" w:firstLine="0"/>
        <w:jc w:val="center"/>
      </w:pPr>
      <w:r>
        <w:rPr>
          <w:color w:val="595959"/>
          <w:sz w:val="28"/>
        </w:rPr>
        <w:t>Insights Document</w:t>
      </w:r>
    </w:p>
    <w:p w14:paraId="39F53B6C" w14:textId="77777777" w:rsidR="007A5F33" w:rsidRDefault="009B7E5B">
      <w:pPr>
        <w:spacing w:after="70" w:line="259" w:lineRule="auto"/>
        <w:ind w:left="25" w:right="11"/>
        <w:jc w:val="center"/>
      </w:pPr>
      <w:r>
        <w:rPr>
          <w:color w:val="595959"/>
          <w:sz w:val="22"/>
        </w:rPr>
        <w:t>Key Findings &amp; Interpretation Summary</w:t>
      </w:r>
    </w:p>
    <w:p w14:paraId="0FF57E12" w14:textId="6B0CF7E2" w:rsidR="007A5F33" w:rsidRDefault="009B7E5B" w:rsidP="00370B68">
      <w:pPr>
        <w:spacing w:after="70" w:line="259" w:lineRule="auto"/>
      </w:pPr>
      <w:r>
        <w:br w:type="page"/>
      </w:r>
    </w:p>
    <w:p w14:paraId="57F2383A" w14:textId="77777777" w:rsidR="007A5F33" w:rsidRDefault="009B7E5B">
      <w:pPr>
        <w:pStyle w:val="Heading1"/>
        <w:ind w:left="-5"/>
      </w:pPr>
      <w:r>
        <w:lastRenderedPageBreak/>
        <w:t>Purpose of This Document</w:t>
      </w:r>
    </w:p>
    <w:p w14:paraId="0263F20D" w14:textId="77777777" w:rsidR="007A5F33" w:rsidRDefault="009B7E5B">
      <w:pPr>
        <w:spacing w:after="440"/>
        <w:ind w:right="41"/>
      </w:pPr>
      <w:r>
        <w:t>This document distills the full analysis (notebook, research report, final report) into the findings that matter most — written for a reader who wants the conclusions and their implications without the full technical methodology. Every bracketed [...] placeholder should be replaced with your actual results once the notebook is run on live data.</w:t>
      </w:r>
    </w:p>
    <w:p w14:paraId="4F497C31" w14:textId="77777777" w:rsidR="007A5F33" w:rsidRDefault="009B7E5B">
      <w:pPr>
        <w:pStyle w:val="Heading1"/>
        <w:spacing w:after="0"/>
        <w:ind w:left="-5"/>
      </w:pPr>
      <w:r>
        <w:t>1. Executive Snapshot</w:t>
      </w:r>
    </w:p>
    <w:tbl>
      <w:tblPr>
        <w:tblStyle w:val="TableGrid"/>
        <w:tblW w:w="9495" w:type="dxa"/>
        <w:tblInd w:w="-75" w:type="dxa"/>
        <w:tblCellMar>
          <w:top w:w="60" w:type="dxa"/>
          <w:left w:w="7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00"/>
        <w:gridCol w:w="5295"/>
      </w:tblGrid>
      <w:tr w:rsidR="007A5F33" w14:paraId="2C28B6C2" w14:textId="77777777">
        <w:trPr>
          <w:trHeight w:val="405"/>
        </w:trPr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1F4E79"/>
          </w:tcPr>
          <w:p w14:paraId="512E48BB" w14:textId="77777777" w:rsidR="007A5F33" w:rsidRDefault="009B7E5B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>Metric</w:t>
            </w:r>
          </w:p>
        </w:tc>
        <w:tc>
          <w:tcPr>
            <w:tcW w:w="5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1F4E79"/>
          </w:tcPr>
          <w:p w14:paraId="77A9121C" w14:textId="77777777" w:rsidR="007A5F33" w:rsidRDefault="009B7E5B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>Value</w:t>
            </w:r>
          </w:p>
        </w:tc>
      </w:tr>
      <w:tr w:rsidR="007A5F33" w14:paraId="51E86A44" w14:textId="77777777">
        <w:trPr>
          <w:trHeight w:val="405"/>
        </w:trPr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F7EA3F" w14:textId="77777777" w:rsidR="007A5F33" w:rsidRDefault="009B7E5B">
            <w:pPr>
              <w:spacing w:after="0" w:line="259" w:lineRule="auto"/>
              <w:ind w:left="0" w:firstLine="0"/>
            </w:pPr>
            <w:r>
              <w:t>Instrument analyzed</w:t>
            </w:r>
          </w:p>
        </w:tc>
        <w:tc>
          <w:tcPr>
            <w:tcW w:w="5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E24E73" w14:textId="77777777" w:rsidR="007A5F33" w:rsidRDefault="009B7E5B">
            <w:pPr>
              <w:spacing w:after="0" w:line="259" w:lineRule="auto"/>
              <w:ind w:left="0" w:firstLine="0"/>
            </w:pPr>
            <w:r>
              <w:t>[TICKER, e.g., NIFTY 50 (^NSEI)]</w:t>
            </w:r>
          </w:p>
        </w:tc>
      </w:tr>
      <w:tr w:rsidR="007A5F33" w14:paraId="63A72209" w14:textId="77777777">
        <w:trPr>
          <w:trHeight w:val="405"/>
        </w:trPr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41A066" w14:textId="77777777" w:rsidR="007A5F33" w:rsidRDefault="009B7E5B">
            <w:pPr>
              <w:spacing w:after="0" w:line="259" w:lineRule="auto"/>
              <w:ind w:left="0" w:firstLine="0"/>
            </w:pPr>
            <w:r>
              <w:t>Period covered</w:t>
            </w:r>
          </w:p>
        </w:tc>
        <w:tc>
          <w:tcPr>
            <w:tcW w:w="5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B33FE5" w14:textId="77777777" w:rsidR="007A5F33" w:rsidRDefault="009B7E5B">
            <w:pPr>
              <w:spacing w:after="0" w:line="259" w:lineRule="auto"/>
              <w:ind w:left="0" w:firstLine="0"/>
            </w:pPr>
            <w:r>
              <w:t>[START_DATE] to [END_DATE]</w:t>
            </w:r>
          </w:p>
        </w:tc>
      </w:tr>
      <w:tr w:rsidR="007A5F33" w14:paraId="2C9667E6" w14:textId="77777777">
        <w:trPr>
          <w:trHeight w:val="405"/>
        </w:trPr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D1980D" w14:textId="77777777" w:rsidR="007A5F33" w:rsidRDefault="009B7E5B">
            <w:pPr>
              <w:spacing w:after="0" w:line="259" w:lineRule="auto"/>
              <w:ind w:left="0" w:firstLine="0"/>
            </w:pPr>
            <w:r>
              <w:t>Trading days analyzed</w:t>
            </w:r>
          </w:p>
        </w:tc>
        <w:tc>
          <w:tcPr>
            <w:tcW w:w="5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C2E9F7" w14:textId="77777777" w:rsidR="007A5F33" w:rsidRDefault="009B7E5B">
            <w:pPr>
              <w:spacing w:after="0" w:line="259" w:lineRule="auto"/>
              <w:ind w:left="0" w:firstLine="0"/>
            </w:pPr>
            <w:r>
              <w:t>[N]</w:t>
            </w:r>
          </w:p>
        </w:tc>
      </w:tr>
      <w:tr w:rsidR="007A5F33" w14:paraId="2B565045" w14:textId="77777777">
        <w:trPr>
          <w:trHeight w:val="405"/>
        </w:trPr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1C9AC1" w14:textId="77777777" w:rsidR="007A5F33" w:rsidRDefault="009B7E5B">
            <w:pPr>
              <w:spacing w:after="0" w:line="259" w:lineRule="auto"/>
              <w:ind w:left="0" w:firstLine="0"/>
            </w:pPr>
            <w:r>
              <w:t>Volume–volatility relationship</w:t>
            </w:r>
          </w:p>
        </w:tc>
        <w:tc>
          <w:tcPr>
            <w:tcW w:w="5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699A6E" w14:textId="77777777" w:rsidR="007A5F33" w:rsidRDefault="009B7E5B">
            <w:pPr>
              <w:spacing w:after="0" w:line="259" w:lineRule="auto"/>
              <w:ind w:left="0" w:firstLine="0"/>
            </w:pPr>
            <w:r>
              <w:t>[Significant / Not significant], p = [value]</w:t>
            </w:r>
          </w:p>
        </w:tc>
      </w:tr>
      <w:tr w:rsidR="007A5F33" w14:paraId="559B3184" w14:textId="77777777">
        <w:trPr>
          <w:trHeight w:val="405"/>
        </w:trPr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522688" w14:textId="77777777" w:rsidR="007A5F33" w:rsidRDefault="009B7E5B">
            <w:pPr>
              <w:spacing w:after="0" w:line="259" w:lineRule="auto"/>
              <w:ind w:left="0" w:firstLine="0"/>
            </w:pPr>
            <w:r>
              <w:t>Number of market regimes found</w:t>
            </w:r>
          </w:p>
        </w:tc>
        <w:tc>
          <w:tcPr>
            <w:tcW w:w="5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9D037A" w14:textId="77777777" w:rsidR="007A5F33" w:rsidRDefault="009B7E5B">
            <w:pPr>
              <w:spacing w:after="0" w:line="259" w:lineRule="auto"/>
              <w:ind w:left="0" w:firstLine="0"/>
            </w:pPr>
            <w:r>
              <w:t>[K]</w:t>
            </w:r>
          </w:p>
        </w:tc>
      </w:tr>
      <w:tr w:rsidR="007A5F33" w14:paraId="7F406CB7" w14:textId="77777777">
        <w:trPr>
          <w:trHeight w:val="405"/>
        </w:trPr>
        <w:tc>
          <w:tcPr>
            <w:tcW w:w="4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C778C2" w14:textId="77777777" w:rsidR="007A5F33" w:rsidRDefault="009B7E5B">
            <w:pPr>
              <w:spacing w:after="0" w:line="259" w:lineRule="auto"/>
              <w:ind w:left="0" w:firstLine="0"/>
            </w:pPr>
            <w:r>
              <w:t>Regime classifier validation accuracy</w:t>
            </w:r>
          </w:p>
        </w:tc>
        <w:tc>
          <w:tcPr>
            <w:tcW w:w="5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708238" w14:textId="77777777" w:rsidR="007A5F33" w:rsidRDefault="009B7E5B">
            <w:pPr>
              <w:spacing w:after="0" w:line="259" w:lineRule="auto"/>
              <w:ind w:left="0" w:firstLine="0"/>
            </w:pPr>
            <w:r>
              <w:t>[X]%</w:t>
            </w:r>
          </w:p>
        </w:tc>
      </w:tr>
    </w:tbl>
    <w:p w14:paraId="6597A888" w14:textId="77777777" w:rsidR="007A5F33" w:rsidRDefault="009B7E5B">
      <w:pPr>
        <w:pStyle w:val="Heading1"/>
        <w:ind w:left="-5"/>
      </w:pPr>
      <w:r>
        <w:t>2. Key Insight #1 — Return &amp; Volatility Behavior</w:t>
      </w:r>
    </w:p>
    <w:p w14:paraId="06295395" w14:textId="77777777" w:rsidR="007A5F33" w:rsidRDefault="009B7E5B">
      <w:pPr>
        <w:ind w:left="715" w:right="41"/>
      </w:pPr>
      <w:r>
        <w:t>Daily returns clustered tightly around 0%, but with noticeably “fat tails” — extreme up/down days occurred more often than a simple bell-curve model would predict.</w:t>
      </w:r>
    </w:p>
    <w:p w14:paraId="7A783D5D" w14:textId="77777777" w:rsidR="007A5F33" w:rsidRDefault="009B7E5B">
      <w:pPr>
        <w:ind w:left="715" w:right="41"/>
      </w:pPr>
      <w:r>
        <w:t>Volatility was not constant over time: calm and turbulent periods each tended to persist in stretches (“volatility clustering”), rather than large moves being randomly scattered day to day.</w:t>
      </w:r>
    </w:p>
    <w:p w14:paraId="71D70880" w14:textId="77777777" w:rsidR="007A5F33" w:rsidRDefault="009B7E5B">
      <w:pPr>
        <w:spacing w:after="440"/>
        <w:ind w:left="715" w:right="41"/>
      </w:pPr>
      <w:r>
        <w:t>[Add specific figures once available, e.g.: “the most volatile 21-day window reached X% annualized volatility, roughly Y× the typical level.”]</w:t>
      </w:r>
    </w:p>
    <w:p w14:paraId="616E101B" w14:textId="77777777" w:rsidR="007A5F33" w:rsidRDefault="009B7E5B">
      <w:pPr>
        <w:pStyle w:val="Heading1"/>
        <w:ind w:left="-5"/>
      </w:pPr>
      <w:r>
        <w:t xml:space="preserve">2. Key Insight </w:t>
      </w:r>
      <w:r>
        <w:t>#2 — Volume and Price Movement</w:t>
      </w:r>
    </w:p>
    <w:p w14:paraId="566CD484" w14:textId="77777777" w:rsidR="007A5F33" w:rsidRDefault="009B7E5B">
      <w:pPr>
        <w:spacing w:after="458"/>
        <w:ind w:left="715" w:right="41"/>
      </w:pPr>
      <w:r>
        <w:t xml:space="preserve">[State the T-test/ANOVA/correlation results in plain language, e.g.: “High-volume days showed a statistically significant tendency toward larger price swings than low-volume days (p = [value]).” OR “In this dataset, the volume–volatility relationship was not statistically significant — a legitimate and useful null result.”] Practical takeaway: [note whether the effect, even if statistically significant, was </w:t>
      </w:r>
      <w:r>
        <w:t>large enough to be practically meaningful — statistical significance and practical importance are not the same thing].</w:t>
      </w:r>
    </w:p>
    <w:p w14:paraId="2821BDB2" w14:textId="77777777" w:rsidR="007A5F33" w:rsidRDefault="009B7E5B">
      <w:pPr>
        <w:pStyle w:val="Heading1"/>
        <w:ind w:left="-5"/>
      </w:pPr>
      <w:r>
        <w:lastRenderedPageBreak/>
        <w:t>3. Key Insight #3 — Market Regimes</w:t>
      </w:r>
    </w:p>
    <w:p w14:paraId="3177252A" w14:textId="77777777" w:rsidR="007A5F33" w:rsidRDefault="009B7E5B">
      <w:pPr>
        <w:spacing w:after="0"/>
        <w:ind w:right="41"/>
      </w:pPr>
      <w:r>
        <w:t>Unsupervised clustering (</w:t>
      </w:r>
      <w:proofErr w:type="spellStart"/>
      <w:r>
        <w:t>KMeans</w:t>
      </w:r>
      <w:proofErr w:type="spellEnd"/>
      <w:r>
        <w:t xml:space="preserve"> + Hierarchical Clustering) identified [K] distinct market regimes based on volatility, price range, trend, and momentum features:</w:t>
      </w:r>
    </w:p>
    <w:tbl>
      <w:tblPr>
        <w:tblStyle w:val="TableGrid"/>
        <w:tblW w:w="9480" w:type="dxa"/>
        <w:tblInd w:w="-75" w:type="dxa"/>
        <w:tblCellMar>
          <w:top w:w="60" w:type="dxa"/>
          <w:left w:w="75" w:type="dxa"/>
          <w:bottom w:w="0" w:type="dxa"/>
          <w:right w:w="112" w:type="dxa"/>
        </w:tblCellMar>
        <w:tblLook w:val="04A0" w:firstRow="1" w:lastRow="0" w:firstColumn="1" w:lastColumn="0" w:noHBand="0" w:noVBand="1"/>
      </w:tblPr>
      <w:tblGrid>
        <w:gridCol w:w="2790"/>
        <w:gridCol w:w="4695"/>
        <w:gridCol w:w="1995"/>
      </w:tblGrid>
      <w:tr w:rsidR="007A5F33" w14:paraId="2CAAE518" w14:textId="77777777">
        <w:trPr>
          <w:trHeight w:val="690"/>
        </w:trPr>
        <w:tc>
          <w:tcPr>
            <w:tcW w:w="2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1F4E79"/>
          </w:tcPr>
          <w:p w14:paraId="42D98B62" w14:textId="77777777" w:rsidR="007A5F33" w:rsidRDefault="009B7E5B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>Regime</w:t>
            </w:r>
          </w:p>
        </w:tc>
        <w:tc>
          <w:tcPr>
            <w:tcW w:w="4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1F4E79"/>
          </w:tcPr>
          <w:p w14:paraId="2EC50140" w14:textId="77777777" w:rsidR="007A5F33" w:rsidRDefault="009B7E5B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>Typical Behavior</w:t>
            </w:r>
          </w:p>
        </w:tc>
        <w:tc>
          <w:tcPr>
            <w:tcW w:w="1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1F4E79"/>
          </w:tcPr>
          <w:p w14:paraId="56CDB523" w14:textId="77777777" w:rsidR="007A5F33" w:rsidRDefault="009B7E5B">
            <w:pPr>
              <w:spacing w:after="0" w:line="259" w:lineRule="auto"/>
              <w:ind w:left="0" w:right="38" w:firstLine="0"/>
              <w:jc w:val="both"/>
            </w:pPr>
            <w:r>
              <w:rPr>
                <w:color w:val="FFFFFF"/>
              </w:rPr>
              <w:t>Approx. Share of Days</w:t>
            </w:r>
          </w:p>
        </w:tc>
      </w:tr>
      <w:tr w:rsidR="007A5F33" w14:paraId="2959A4CD" w14:textId="77777777">
        <w:trPr>
          <w:trHeight w:val="690"/>
        </w:trPr>
        <w:tc>
          <w:tcPr>
            <w:tcW w:w="2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239A58" w14:textId="77777777" w:rsidR="007A5F33" w:rsidRDefault="009B7E5B">
            <w:pPr>
              <w:spacing w:after="0" w:line="259" w:lineRule="auto"/>
              <w:ind w:left="0" w:firstLine="0"/>
            </w:pPr>
            <w:r>
              <w:t>[Regime 0 — e.g., “Calm/</w:t>
            </w:r>
          </w:p>
          <w:p w14:paraId="77E4E686" w14:textId="77777777" w:rsidR="007A5F33" w:rsidRDefault="009B7E5B">
            <w:pPr>
              <w:spacing w:after="0" w:line="259" w:lineRule="auto"/>
              <w:ind w:left="0" w:firstLine="0"/>
            </w:pPr>
            <w:r>
              <w:t>Trending”]</w:t>
            </w:r>
          </w:p>
        </w:tc>
        <w:tc>
          <w:tcPr>
            <w:tcW w:w="4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CAA9A" w14:textId="77777777" w:rsidR="007A5F33" w:rsidRDefault="009B7E5B">
            <w:pPr>
              <w:spacing w:after="0" w:line="259" w:lineRule="auto"/>
              <w:ind w:left="0" w:firstLine="0"/>
            </w:pPr>
            <w:r>
              <w:t>[low volatility, small price range, steady moving averages]</w:t>
            </w:r>
          </w:p>
        </w:tc>
        <w:tc>
          <w:tcPr>
            <w:tcW w:w="1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D99C9B" w14:textId="77777777" w:rsidR="007A5F33" w:rsidRDefault="009B7E5B">
            <w:pPr>
              <w:spacing w:after="0" w:line="259" w:lineRule="auto"/>
              <w:ind w:left="0" w:firstLine="0"/>
            </w:pPr>
            <w:r>
              <w:t>[X%]</w:t>
            </w:r>
          </w:p>
        </w:tc>
      </w:tr>
      <w:tr w:rsidR="007A5F33" w14:paraId="14983B35" w14:textId="77777777">
        <w:trPr>
          <w:trHeight w:val="690"/>
        </w:trPr>
        <w:tc>
          <w:tcPr>
            <w:tcW w:w="2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1412AE" w14:textId="77777777" w:rsidR="007A5F33" w:rsidRDefault="009B7E5B">
            <w:pPr>
              <w:spacing w:after="0" w:line="259" w:lineRule="auto"/>
              <w:ind w:left="0" w:firstLine="0"/>
            </w:pPr>
            <w:r>
              <w:t xml:space="preserve">[Regime 1 — e.g., </w:t>
            </w:r>
          </w:p>
          <w:p w14:paraId="701D7E9D" w14:textId="77777777" w:rsidR="007A5F33" w:rsidRDefault="009B7E5B">
            <w:pPr>
              <w:spacing w:after="0" w:line="259" w:lineRule="auto"/>
              <w:ind w:left="0" w:firstLine="0"/>
            </w:pPr>
            <w:r>
              <w:t>“Turbulent”]</w:t>
            </w:r>
          </w:p>
        </w:tc>
        <w:tc>
          <w:tcPr>
            <w:tcW w:w="4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8F5255" w14:textId="77777777" w:rsidR="007A5F33" w:rsidRDefault="009B7E5B">
            <w:pPr>
              <w:spacing w:after="0" w:line="259" w:lineRule="auto"/>
              <w:ind w:left="0" w:firstLine="0"/>
            </w:pPr>
            <w:r>
              <w:t>[high volatility, wide price range, RSI near extremes]</w:t>
            </w:r>
          </w:p>
        </w:tc>
        <w:tc>
          <w:tcPr>
            <w:tcW w:w="1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56661D" w14:textId="77777777" w:rsidR="007A5F33" w:rsidRDefault="009B7E5B">
            <w:pPr>
              <w:spacing w:after="0" w:line="259" w:lineRule="auto"/>
              <w:ind w:left="0" w:firstLine="0"/>
            </w:pPr>
            <w:r>
              <w:t>[X%]</w:t>
            </w:r>
          </w:p>
        </w:tc>
      </w:tr>
      <w:tr w:rsidR="007A5F33" w14:paraId="252D709D" w14:textId="77777777">
        <w:trPr>
          <w:trHeight w:val="405"/>
        </w:trPr>
        <w:tc>
          <w:tcPr>
            <w:tcW w:w="2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241D79" w14:textId="77777777" w:rsidR="007A5F33" w:rsidRDefault="009B7E5B">
            <w:pPr>
              <w:spacing w:after="0" w:line="259" w:lineRule="auto"/>
              <w:ind w:left="0" w:firstLine="0"/>
            </w:pPr>
            <w:r>
              <w:t>[Regime 2, if applicable]</w:t>
            </w:r>
          </w:p>
        </w:tc>
        <w:tc>
          <w:tcPr>
            <w:tcW w:w="4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8B6DCC" w14:textId="77777777" w:rsidR="007A5F33" w:rsidRDefault="009B7E5B">
            <w:pPr>
              <w:spacing w:after="0" w:line="259" w:lineRule="auto"/>
              <w:ind w:left="0" w:firstLine="0"/>
            </w:pPr>
            <w:r>
              <w:t>[...]</w:t>
            </w:r>
          </w:p>
        </w:tc>
        <w:tc>
          <w:tcPr>
            <w:tcW w:w="1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FFDF7C" w14:textId="77777777" w:rsidR="007A5F33" w:rsidRDefault="009B7E5B">
            <w:pPr>
              <w:spacing w:after="0" w:line="259" w:lineRule="auto"/>
              <w:ind w:left="0" w:firstLine="0"/>
            </w:pPr>
            <w:r>
              <w:t>[X%]</w:t>
            </w:r>
          </w:p>
        </w:tc>
      </w:tr>
    </w:tbl>
    <w:p w14:paraId="5B460555" w14:textId="77777777" w:rsidR="007A5F33" w:rsidRDefault="009B7E5B">
      <w:pPr>
        <w:spacing w:after="440"/>
        <w:ind w:left="715" w:right="41"/>
      </w:pPr>
      <w:proofErr w:type="spellStart"/>
      <w:r>
        <w:t>KMeans</w:t>
      </w:r>
      <w:proofErr w:type="spellEnd"/>
      <w:r>
        <w:t xml:space="preserve"> and Hierarchical Clustering showed [strong / moderate / weak] agreement, which [supports / partially supports / does not strongly support] treating these regimes as robust, method-independent structure.</w:t>
      </w:r>
    </w:p>
    <w:p w14:paraId="284786F7" w14:textId="77777777" w:rsidR="007A5F33" w:rsidRDefault="009B7E5B">
      <w:pPr>
        <w:pStyle w:val="Heading1"/>
        <w:ind w:left="-5"/>
      </w:pPr>
      <w:r>
        <w:t>4. Key Insight #4 — Regime Predictability (Same-Day, Not Future)</w:t>
      </w:r>
    </w:p>
    <w:p w14:paraId="5B117996" w14:textId="77777777" w:rsidR="007A5F33" w:rsidRDefault="009B7E5B">
      <w:pPr>
        <w:ind w:left="715" w:right="41"/>
      </w:pPr>
      <w:r>
        <w:t>A simple classifier (Decision Tree / Logistic Regression) correctly reproduced regime labels from same-day features with [X]% accuracy.</w:t>
      </w:r>
    </w:p>
    <w:p w14:paraId="487250C0" w14:textId="77777777" w:rsidR="007A5F33" w:rsidRDefault="009B7E5B">
      <w:pPr>
        <w:ind w:left="715" w:right="41"/>
      </w:pPr>
      <w:r>
        <w:t>This confirms the regimes have clean, learnable boundaries in feature space — they are not arbitrary or overlapping groupings.</w:t>
      </w:r>
    </w:p>
    <w:p w14:paraId="6490A6BF" w14:textId="77777777" w:rsidR="007A5F33" w:rsidRDefault="009B7E5B">
      <w:pPr>
        <w:spacing w:after="440"/>
        <w:ind w:left="715" w:right="41"/>
      </w:pPr>
      <w:r>
        <w:t>Important: this is a structure-validation result, not a forecasting claim. It does not mean tomorrow's regime can be predicted from today's data.</w:t>
      </w:r>
    </w:p>
    <w:p w14:paraId="1C59D4CA" w14:textId="77777777" w:rsidR="007A5F33" w:rsidRDefault="009B7E5B">
      <w:pPr>
        <w:pStyle w:val="Heading1"/>
        <w:ind w:left="-5"/>
      </w:pPr>
      <w:r>
        <w:t>5. What This Means (Practically)</w:t>
      </w:r>
    </w:p>
    <w:p w14:paraId="3D451656" w14:textId="77777777" w:rsidR="007A5F33" w:rsidRDefault="009B7E5B">
      <w:pPr>
        <w:ind w:left="715" w:right="41"/>
      </w:pPr>
      <w:r>
        <w:t>The Indian market instrument analyzed shows [describe overall character — e.g., generally trending with periodic turbulence] over the studied period.</w:t>
      </w:r>
    </w:p>
    <w:p w14:paraId="1E76A9A0" w14:textId="77777777" w:rsidR="007A5F33" w:rsidRDefault="009B7E5B">
      <w:pPr>
        <w:ind w:left="715" w:right="41"/>
      </w:pPr>
      <w:r>
        <w:t>Distinct, statistically-grounded regimes exist and can be identified purely from price/volume data — useful context for risk framing (e.g., recognizing when conditions have historically resembled a turbulent regime).</w:t>
      </w:r>
    </w:p>
    <w:p w14:paraId="4956246F" w14:textId="77777777" w:rsidR="007A5F33" w:rsidRDefault="009B7E5B">
      <w:pPr>
        <w:ind w:left="715" w:right="41"/>
      </w:pPr>
      <w:r>
        <w:t>These findings are descriptive of the past and should not be used as investment advice or a trading signal.</w:t>
      </w:r>
    </w:p>
    <w:p w14:paraId="08C090D7" w14:textId="77777777" w:rsidR="007A5F33" w:rsidRDefault="009B7E5B">
      <w:pPr>
        <w:pStyle w:val="Heading1"/>
        <w:ind w:left="-5"/>
      </w:pPr>
      <w:r>
        <w:t>6. Limitations to Keep in Mind</w:t>
      </w:r>
    </w:p>
    <w:p w14:paraId="5E814BC4" w14:textId="77777777" w:rsidR="007A5F33" w:rsidRDefault="009B7E5B">
      <w:pPr>
        <w:ind w:left="715" w:right="41"/>
      </w:pPr>
      <w:r>
        <w:t>Based on daily data, not true tick-level microstructure.</w:t>
      </w:r>
    </w:p>
    <w:p w14:paraId="214478DE" w14:textId="77777777" w:rsidR="007A5F33" w:rsidRDefault="009B7E5B">
      <w:pPr>
        <w:ind w:left="715" w:right="41"/>
      </w:pPr>
      <w:r>
        <w:lastRenderedPageBreak/>
        <w:t>Regimes reflect historical structure and may shift going forward.</w:t>
      </w:r>
    </w:p>
    <w:p w14:paraId="5ADDAE3E" w14:textId="77777777" w:rsidR="007A5F33" w:rsidRDefault="009B7E5B">
      <w:pPr>
        <w:spacing w:after="440"/>
        <w:ind w:left="715" w:right="41"/>
      </w:pPr>
      <w:r>
        <w:t>Specific to the analyzed ticker and date range.</w:t>
      </w:r>
    </w:p>
    <w:p w14:paraId="05727950" w14:textId="77777777" w:rsidR="007A5F33" w:rsidRDefault="009B7E5B">
      <w:pPr>
        <w:pStyle w:val="Heading1"/>
        <w:ind w:left="-5"/>
      </w:pPr>
      <w:r>
        <w:t>7. Suggested Next Steps</w:t>
      </w:r>
    </w:p>
    <w:p w14:paraId="13A49E0C" w14:textId="77777777" w:rsidR="007A5F33" w:rsidRDefault="009B7E5B">
      <w:pPr>
        <w:ind w:left="715" w:right="41"/>
      </w:pPr>
      <w:r>
        <w:t>Repeat this analysis on additional Indian indices/stocks to check how consistent these regimes are market-wide.</w:t>
      </w:r>
    </w:p>
    <w:p w14:paraId="2D4FFDBD" w14:textId="77777777" w:rsidR="007A5F33" w:rsidRDefault="009B7E5B">
      <w:pPr>
        <w:ind w:left="715" w:right="41"/>
      </w:pPr>
      <w:r>
        <w:t>Test whether regimes persist day-to-day (transition analysis) as a genuine forecasting extension.</w:t>
      </w:r>
    </w:p>
    <w:p w14:paraId="70C60B28" w14:textId="77777777" w:rsidR="007A5F33" w:rsidRDefault="009B7E5B">
      <w:pPr>
        <w:ind w:left="715" w:right="41"/>
      </w:pPr>
      <w:r>
        <w:t>Consider a Hidden Markov Model for a more formal probabilistic treatment of regime-switching.</w:t>
      </w:r>
    </w:p>
    <w:sectPr w:rsidR="007A5F3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55" w:right="1457" w:bottom="1744" w:left="1440" w:header="990" w:footer="9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4F66F" w14:textId="77777777" w:rsidR="009B7E5B" w:rsidRDefault="009B7E5B">
      <w:pPr>
        <w:spacing w:after="0" w:line="240" w:lineRule="auto"/>
      </w:pPr>
      <w:r>
        <w:separator/>
      </w:r>
    </w:p>
  </w:endnote>
  <w:endnote w:type="continuationSeparator" w:id="0">
    <w:p w14:paraId="45C6AC45" w14:textId="77777777" w:rsidR="009B7E5B" w:rsidRDefault="009B7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E6AC6" w14:textId="77777777" w:rsidR="007A5F33" w:rsidRDefault="009B7E5B">
    <w:pPr>
      <w:spacing w:after="0" w:line="259" w:lineRule="auto"/>
      <w:ind w:left="-1440" w:right="1078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68D161C" wp14:editId="5D960E0E">
              <wp:simplePos x="0" y="0"/>
              <wp:positionH relativeFrom="page">
                <wp:posOffset>628650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Square wrapText="bothSides"/>
              <wp:docPr id="4434" name="Group 44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4612" name="Shape 461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13" name="Shape 461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34" style="width:22.5pt;height:22.5pt;position:absolute;mso-position-horizontal-relative:page;mso-position-horizontal:absolute;margin-left:49.5pt;mso-position-vertical-relative:page;margin-top:720pt;" coordsize="2857,2857">
              <v:shape id="Shape 461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461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0A61FC7" wp14:editId="601DF653">
              <wp:simplePos x="0" y="0"/>
              <wp:positionH relativeFrom="page">
                <wp:posOffset>6858000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Square wrapText="bothSides"/>
              <wp:docPr id="4437" name="Group 44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4616" name="Shape 461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17" name="Shape 461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37" style="width:22.5pt;height:22.5pt;position:absolute;mso-position-horizontal-relative:page;mso-position-horizontal:absolute;margin-left:540pt;mso-position-vertical-relative:page;margin-top:720pt;" coordsize="2857,2857">
              <v:shape id="Shape 461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461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A3F85" w14:textId="77777777" w:rsidR="007A5F33" w:rsidRDefault="009B7E5B">
    <w:pPr>
      <w:spacing w:after="0" w:line="259" w:lineRule="auto"/>
      <w:ind w:left="-1440" w:right="1078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87FB09B" wp14:editId="55A71E12">
              <wp:simplePos x="0" y="0"/>
              <wp:positionH relativeFrom="page">
                <wp:posOffset>628650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Square wrapText="bothSides"/>
              <wp:docPr id="4414" name="Group 44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4604" name="Shape 460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05" name="Shape 460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14" style="width:22.5pt;height:22.5pt;position:absolute;mso-position-horizontal-relative:page;mso-position-horizontal:absolute;margin-left:49.5pt;mso-position-vertical-relative:page;margin-top:720pt;" coordsize="2857,2857">
              <v:shape id="Shape 460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460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7398ACF" wp14:editId="458EDAC0">
              <wp:simplePos x="0" y="0"/>
              <wp:positionH relativeFrom="page">
                <wp:posOffset>6858000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Square wrapText="bothSides"/>
              <wp:docPr id="4417" name="Group 44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4608" name="Shape 460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09" name="Shape 460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17" style="width:22.5pt;height:22.5pt;position:absolute;mso-position-horizontal-relative:page;mso-position-horizontal:absolute;margin-left:540pt;mso-position-vertical-relative:page;margin-top:720pt;" coordsize="2857,2857">
              <v:shape id="Shape 461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461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52333" w14:textId="77777777" w:rsidR="007A5F33" w:rsidRDefault="009B7E5B">
    <w:pPr>
      <w:spacing w:after="0" w:line="259" w:lineRule="auto"/>
      <w:ind w:left="-1440" w:right="1078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022FB613" wp14:editId="7B68B34B">
              <wp:simplePos x="0" y="0"/>
              <wp:positionH relativeFrom="page">
                <wp:posOffset>628650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Square wrapText="bothSides"/>
              <wp:docPr id="4394" name="Group 43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4596" name="Shape 459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97" name="Shape 459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94" style="width:22.5pt;height:22.5pt;position:absolute;mso-position-horizontal-relative:page;mso-position-horizontal:absolute;margin-left:49.5pt;mso-position-vertical-relative:page;margin-top:720pt;" coordsize="2857,2857">
              <v:shape id="Shape 459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459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7AB32D85" wp14:editId="46E64007">
              <wp:simplePos x="0" y="0"/>
              <wp:positionH relativeFrom="page">
                <wp:posOffset>6858000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Square wrapText="bothSides"/>
              <wp:docPr id="4397" name="Group 43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4600" name="Shape 460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01" name="Shape 460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97" style="width:22.5pt;height:22.5pt;position:absolute;mso-position-horizontal-relative:page;mso-position-horizontal:absolute;margin-left:540pt;mso-position-vertical-relative:page;margin-top:720pt;" coordsize="2857,2857">
              <v:shape id="Shape 460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460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648DA" w14:textId="77777777" w:rsidR="009B7E5B" w:rsidRDefault="009B7E5B">
      <w:pPr>
        <w:spacing w:after="0" w:line="240" w:lineRule="auto"/>
      </w:pPr>
      <w:r>
        <w:separator/>
      </w:r>
    </w:p>
  </w:footnote>
  <w:footnote w:type="continuationSeparator" w:id="0">
    <w:p w14:paraId="6DB8F88F" w14:textId="77777777" w:rsidR="009B7E5B" w:rsidRDefault="009B7E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2B84D" w14:textId="77777777" w:rsidR="007A5F33" w:rsidRDefault="009B7E5B">
    <w:pPr>
      <w:spacing w:after="0" w:line="259" w:lineRule="auto"/>
      <w:ind w:left="-1440" w:right="1078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7193EE3" wp14:editId="2E8E5E29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4424" name="Group 44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4588" name="Shape 458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89" name="Shape 458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24" style="width:22.5pt;height:22.5pt;position:absolute;mso-position-horizontal-relative:page;mso-position-horizontal:absolute;margin-left:49.5pt;mso-position-vertical-relative:page;margin-top:49.5pt;" coordsize="2857,2857">
              <v:shape id="Shape 459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459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6BF209D" wp14:editId="0D52F916">
              <wp:simplePos x="0" y="0"/>
              <wp:positionH relativeFrom="page">
                <wp:posOffset>6858000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4427" name="Group 44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4592" name="Shape 459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93" name="Shape 459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27" style="width:22.5pt;height:22.5pt;position:absolute;mso-position-horizontal-relative:page;mso-position-horizontal:absolute;margin-left:540pt;mso-position-vertical-relative:page;margin-top:49.5pt;" coordsize="2857,2857">
              <v:shape id="Shape 459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459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2B00" w14:textId="77777777" w:rsidR="007A5F33" w:rsidRDefault="009B7E5B">
    <w:pPr>
      <w:spacing w:after="0" w:line="259" w:lineRule="auto"/>
      <w:ind w:left="-1440" w:right="1078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32A707F" wp14:editId="4E2A981F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4404" name="Group 44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4580" name="Shape 458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81" name="Shape 458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04" style="width:22.5pt;height:22.5pt;position:absolute;mso-position-horizontal-relative:page;mso-position-horizontal:absolute;margin-left:49.5pt;mso-position-vertical-relative:page;margin-top:49.5pt;" coordsize="2857,2857">
              <v:shape id="Shape 458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458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31AAAE3" wp14:editId="411AA733">
              <wp:simplePos x="0" y="0"/>
              <wp:positionH relativeFrom="page">
                <wp:posOffset>6858000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4407" name="Group 44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4584" name="Shape 458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85" name="Shape 458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07" style="width:22.5pt;height:22.5pt;position:absolute;mso-position-horizontal-relative:page;mso-position-horizontal:absolute;margin-left:540pt;mso-position-vertical-relative:page;margin-top:49.5pt;" coordsize="2857,2857">
              <v:shape id="Shape 458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458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FDEDB" w14:textId="77777777" w:rsidR="007A5F33" w:rsidRDefault="009B7E5B">
    <w:pPr>
      <w:spacing w:after="0" w:line="259" w:lineRule="auto"/>
      <w:ind w:left="-1440" w:right="1078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46AD065" wp14:editId="60C96198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4384" name="Group 43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4572" name="Shape 457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73" name="Shape 457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84" style="width:22.5pt;height:22.5pt;position:absolute;mso-position-horizontal-relative:page;mso-position-horizontal:absolute;margin-left:49.5pt;mso-position-vertical-relative:page;margin-top:49.5pt;" coordsize="2857,2857">
              <v:shape id="Shape 457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457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8B1F92F" wp14:editId="4EB1484E">
              <wp:simplePos x="0" y="0"/>
              <wp:positionH relativeFrom="page">
                <wp:posOffset>6858000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4387" name="Group 43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4576" name="Shape 457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77" name="Shape 457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87" style="width:22.5pt;height:22.5pt;position:absolute;mso-position-horizontal-relative:page;mso-position-horizontal:absolute;margin-left:540pt;mso-position-vertical-relative:page;margin-top:49.5pt;" coordsize="2857,2857">
              <v:shape id="Shape 457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457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F33"/>
    <w:rsid w:val="0026716C"/>
    <w:rsid w:val="00370B68"/>
    <w:rsid w:val="007A5F33"/>
    <w:rsid w:val="009B7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C681A"/>
  <w15:docId w15:val="{EFC3C325-BF85-4861-9344-59AE938C0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1" w:line="267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4" w:line="259" w:lineRule="auto"/>
      <w:ind w:left="10" w:hanging="10"/>
      <w:outlineLvl w:val="0"/>
    </w:pPr>
    <w:rPr>
      <w:rFonts w:ascii="Calibri" w:eastAsia="Calibri" w:hAnsi="Calibri" w:cs="Calibri"/>
      <w:color w:val="1F4E79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1F4E79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613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Asane</dc:creator>
  <cp:keywords/>
  <cp:lastModifiedBy>Aditi Asane</cp:lastModifiedBy>
  <cp:revision>2</cp:revision>
  <dcterms:created xsi:type="dcterms:W3CDTF">2026-07-30T09:34:00Z</dcterms:created>
  <dcterms:modified xsi:type="dcterms:W3CDTF">2026-07-30T09:34:00Z</dcterms:modified>
</cp:coreProperties>
</file>