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0D94" w:rsidRDefault="009963DC">
      <w:pPr>
        <w:jc w:val="center"/>
        <w:rPr>
          <w:rFonts w:hint="eastAsia"/>
        </w:rPr>
      </w:pPr>
      <w:r>
        <w:rPr>
          <w:b/>
          <w:sz w:val="30"/>
        </w:rPr>
        <w:t>SYMBIOSIS INSTITUTE OF BUSINESS MANAGEMENT, NAGPUR</w:t>
      </w:r>
    </w:p>
    <w:p w:rsidR="005E0D94" w:rsidRDefault="009963DC">
      <w:pPr>
        <w:jc w:val="center"/>
        <w:rPr>
          <w:rFonts w:hint="eastAsia"/>
        </w:rPr>
      </w:pPr>
      <w:r>
        <w:rPr>
          <w:b/>
          <w:sz w:val="24"/>
        </w:rPr>
        <w:t>DATA ANALYSIS USING PYTHON</w:t>
      </w:r>
    </w:p>
    <w:p w:rsidR="005E0D94" w:rsidRDefault="005E0D94">
      <w:pPr>
        <w:rPr>
          <w:rFonts w:hint="eastAsia"/>
        </w:rPr>
      </w:pPr>
    </w:p>
    <w:p w:rsidR="005E0D94" w:rsidRDefault="009963DC">
      <w:pPr>
        <w:jc w:val="center"/>
        <w:rPr>
          <w:rFonts w:hint="eastAsia"/>
        </w:rPr>
      </w:pPr>
      <w:r>
        <w:rPr>
          <w:b/>
          <w:sz w:val="44"/>
        </w:rPr>
        <w:t>TIME SERIES SALES FORECASTING</w:t>
      </w:r>
    </w:p>
    <w:p w:rsidR="005E0D94" w:rsidRDefault="009963DC">
      <w:pPr>
        <w:jc w:val="center"/>
        <w:rPr>
          <w:rFonts w:hint="eastAsia"/>
        </w:rPr>
      </w:pPr>
      <w:r>
        <w:rPr>
          <w:i/>
          <w:sz w:val="28"/>
        </w:rPr>
        <w:t>Walmart Weekly Sales Analysis Using Python</w:t>
      </w:r>
    </w:p>
    <w:p w:rsidR="005E0D94" w:rsidRDefault="005E0D94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5E0D94">
        <w:trPr>
          <w:jc w:val="center"/>
        </w:trPr>
        <w:tc>
          <w:tcPr>
            <w:tcW w:w="3168" w:type="dxa"/>
            <w:shd w:val="clear" w:color="auto" w:fill="D9EAF7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b/>
                <w:sz w:val="18"/>
              </w:rPr>
              <w:t>Particular</w:t>
            </w:r>
          </w:p>
        </w:tc>
        <w:tc>
          <w:tcPr>
            <w:tcW w:w="6192" w:type="dxa"/>
            <w:shd w:val="clear" w:color="auto" w:fill="D9EAF7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b/>
                <w:sz w:val="18"/>
              </w:rPr>
              <w:t>Details</w:t>
            </w:r>
          </w:p>
        </w:tc>
      </w:tr>
      <w:tr w:rsidR="005E0D94">
        <w:trPr>
          <w:jc w:val="center"/>
        </w:trPr>
        <w:tc>
          <w:tcPr>
            <w:tcW w:w="3168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Programme</w:t>
            </w:r>
          </w:p>
        </w:tc>
        <w:tc>
          <w:tcPr>
            <w:tcW w:w="6192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MBA</w:t>
            </w:r>
          </w:p>
        </w:tc>
      </w:tr>
      <w:tr w:rsidR="005E0D94">
        <w:trPr>
          <w:jc w:val="center"/>
        </w:trPr>
        <w:tc>
          <w:tcPr>
            <w:tcW w:w="3168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Semester &amp; Batch</w:t>
            </w:r>
          </w:p>
        </w:tc>
        <w:tc>
          <w:tcPr>
            <w:tcW w:w="6192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Sem 1 | 202</w:t>
            </w:r>
            <w:r w:rsidR="007743BE">
              <w:rPr>
                <w:sz w:val="18"/>
              </w:rPr>
              <w:t>6</w:t>
            </w:r>
            <w:r>
              <w:rPr>
                <w:sz w:val="18"/>
              </w:rPr>
              <w:t>–2028</w:t>
            </w:r>
          </w:p>
        </w:tc>
      </w:tr>
      <w:tr w:rsidR="005E0D94">
        <w:trPr>
          <w:jc w:val="center"/>
        </w:trPr>
        <w:tc>
          <w:tcPr>
            <w:tcW w:w="3168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Course</w:t>
            </w:r>
          </w:p>
        </w:tc>
        <w:tc>
          <w:tcPr>
            <w:tcW w:w="6192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 xml:space="preserve">Data Analysis Using </w:t>
            </w:r>
            <w:r>
              <w:rPr>
                <w:sz w:val="18"/>
              </w:rPr>
              <w:t>Python</w:t>
            </w:r>
          </w:p>
        </w:tc>
      </w:tr>
      <w:tr w:rsidR="005E0D94">
        <w:trPr>
          <w:jc w:val="center"/>
        </w:trPr>
        <w:tc>
          <w:tcPr>
            <w:tcW w:w="3168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Faculty</w:t>
            </w:r>
          </w:p>
        </w:tc>
        <w:tc>
          <w:tcPr>
            <w:tcW w:w="6192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Harsh Jinger</w:t>
            </w:r>
          </w:p>
        </w:tc>
      </w:tr>
      <w:tr w:rsidR="005E0D94">
        <w:trPr>
          <w:jc w:val="center"/>
        </w:trPr>
        <w:tc>
          <w:tcPr>
            <w:tcW w:w="3168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Student</w:t>
            </w:r>
          </w:p>
        </w:tc>
        <w:tc>
          <w:tcPr>
            <w:tcW w:w="6192" w:type="dxa"/>
            <w:vAlign w:val="center"/>
          </w:tcPr>
          <w:p w:rsidR="005E0D94" w:rsidRDefault="007743BE">
            <w:pPr>
              <w:rPr>
                <w:rFonts w:hint="eastAsia"/>
              </w:rPr>
            </w:pPr>
            <w:r>
              <w:t xml:space="preserve">Anushka </w:t>
            </w:r>
            <w:proofErr w:type="spellStart"/>
            <w:r>
              <w:t>Singru</w:t>
            </w:r>
            <w:proofErr w:type="spellEnd"/>
          </w:p>
        </w:tc>
      </w:tr>
      <w:tr w:rsidR="005E0D94">
        <w:trPr>
          <w:jc w:val="center"/>
        </w:trPr>
        <w:tc>
          <w:tcPr>
            <w:tcW w:w="3168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Experiential Learning</w:t>
            </w:r>
          </w:p>
        </w:tc>
        <w:tc>
          <w:tcPr>
            <w:tcW w:w="6192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Coding Test &amp; Presentation</w:t>
            </w:r>
          </w:p>
        </w:tc>
      </w:tr>
      <w:tr w:rsidR="007743BE">
        <w:trPr>
          <w:jc w:val="center"/>
        </w:trPr>
        <w:tc>
          <w:tcPr>
            <w:tcW w:w="3168" w:type="dxa"/>
            <w:vAlign w:val="center"/>
          </w:tcPr>
          <w:p w:rsidR="007743BE" w:rsidRDefault="007743BE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Colab</w:t>
            </w:r>
            <w:proofErr w:type="spellEnd"/>
            <w:r>
              <w:rPr>
                <w:sz w:val="18"/>
              </w:rPr>
              <w:t xml:space="preserve"> link</w:t>
            </w:r>
          </w:p>
        </w:tc>
        <w:tc>
          <w:tcPr>
            <w:tcW w:w="6192" w:type="dxa"/>
            <w:vAlign w:val="center"/>
          </w:tcPr>
          <w:p w:rsidR="007743BE" w:rsidRDefault="007743BE">
            <w:pPr>
              <w:rPr>
                <w:sz w:val="18"/>
              </w:rPr>
            </w:pPr>
            <w:hyperlink r:id="rId8" w:history="1">
              <w:r w:rsidRPr="007743BE">
                <w:rPr>
                  <w:rStyle w:val="Hyperlink"/>
                  <w:sz w:val="18"/>
                </w:rPr>
                <w:t>Link</w:t>
              </w:r>
            </w:hyperlink>
          </w:p>
        </w:tc>
      </w:tr>
      <w:tr w:rsidR="007743BE">
        <w:trPr>
          <w:jc w:val="center"/>
        </w:trPr>
        <w:tc>
          <w:tcPr>
            <w:tcW w:w="3168" w:type="dxa"/>
            <w:vAlign w:val="center"/>
          </w:tcPr>
          <w:p w:rsidR="007743BE" w:rsidRDefault="007743BE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E</w:t>
            </w:r>
            <w:r>
              <w:rPr>
                <w:sz w:val="18"/>
              </w:rPr>
              <w:t>xcel data</w:t>
            </w:r>
          </w:p>
        </w:tc>
        <w:tc>
          <w:tcPr>
            <w:tcW w:w="6192" w:type="dxa"/>
            <w:vAlign w:val="center"/>
          </w:tcPr>
          <w:p w:rsidR="007743BE" w:rsidRDefault="007743BE">
            <w:pPr>
              <w:rPr>
                <w:rFonts w:hint="eastAsia"/>
                <w:sz w:val="18"/>
              </w:rPr>
            </w:pPr>
            <w:hyperlink r:id="rId9" w:anchor="scrollTo=-nKXqv5pBMsf" w:history="1">
              <w:r w:rsidRPr="007743BE">
                <w:rPr>
                  <w:rStyle w:val="Hyperlink"/>
                  <w:sz w:val="18"/>
                </w:rPr>
                <w:t>Link</w:t>
              </w:r>
            </w:hyperlink>
            <w:bookmarkStart w:id="0" w:name="_GoBack"/>
            <w:bookmarkEnd w:id="0"/>
          </w:p>
        </w:tc>
      </w:tr>
    </w:tbl>
    <w:p w:rsidR="005E0D94" w:rsidRDefault="005E0D94">
      <w:pPr>
        <w:rPr>
          <w:rFonts w:hint="eastAsia"/>
        </w:rPr>
      </w:pPr>
    </w:p>
    <w:p w:rsidR="007743BE" w:rsidRDefault="007743BE">
      <w:pPr>
        <w:jc w:val="center"/>
      </w:pPr>
    </w:p>
    <w:p w:rsidR="005E0D94" w:rsidRDefault="009963DC">
      <w:pPr>
        <w:jc w:val="center"/>
        <w:rPr>
          <w:rFonts w:hint="eastAsia"/>
        </w:rPr>
      </w:pPr>
      <w:r>
        <w:rPr>
          <w:b/>
          <w:sz w:val="24"/>
        </w:rPr>
        <w:t>Academic Report</w:t>
      </w:r>
    </w:p>
    <w:p w:rsidR="005E0D94" w:rsidRDefault="009963DC">
      <w:pPr>
        <w:rPr>
          <w:rFonts w:hint="eastAsia"/>
        </w:rPr>
      </w:pPr>
      <w:r>
        <w:br w:type="page"/>
      </w:r>
    </w:p>
    <w:p w:rsidR="005E0D94" w:rsidRDefault="009963DC">
      <w:pPr>
        <w:pStyle w:val="Heading1"/>
      </w:pPr>
      <w:r>
        <w:lastRenderedPageBreak/>
        <w:t>Executive Summary</w:t>
      </w:r>
    </w:p>
    <w:p w:rsidR="005E0D94" w:rsidRDefault="009963DC">
      <w:pPr>
        <w:rPr>
          <w:rFonts w:hint="eastAsia"/>
        </w:rPr>
      </w:pPr>
      <w:r>
        <w:t>This report presents a time-series analysis and sales forecasting exercise using an aggregate Walmart weekly sales dat</w:t>
      </w:r>
      <w:r>
        <w:t>aset. The analysis was conducted in Google Colab using the prescribed Time_Series_Analysis_most_common_models.ipynb tool. The assignment requires students to select an open time-series dataset, study the prescribed forecasting methodologies, analyse the da</w:t>
      </w:r>
      <w:r>
        <w:t>ta using the provided tool, and present the results through the tool.</w:t>
      </w:r>
    </w:p>
    <w:p w:rsidR="005E0D94" w:rsidRDefault="009963DC">
      <w:pPr>
        <w:rPr>
          <w:rFonts w:hint="eastAsia"/>
        </w:rPr>
      </w:pPr>
      <w:r>
        <w:t>The final analytical dataset contains 143 weekly observations from 05 February 2010 to 26 October 2012. The dependent time-series variable is aggregate Weekly_Sales. Data preparation inc</w:t>
      </w:r>
      <w:r>
        <w:t>luded date conversion, removal of duplicates/missing observations, validation of sales values, and aggregation of store- and department-level sales by week.</w:t>
      </w:r>
    </w:p>
    <w:p w:rsidR="005E0D94" w:rsidRDefault="009963DC">
      <w:pPr>
        <w:rPr>
          <w:rFonts w:hint="eastAsia"/>
        </w:rPr>
      </w:pPr>
      <w:r>
        <w:t>Stationarity diagnostics produced consistent results: the ADF test reported a p-value of approximat</w:t>
      </w:r>
      <w:r>
        <w:t>ely 0.000 and classified the series as stationary, while the KPSS test reported p = 0.100 and also classified the series as stationary. The Ljung-Box test at lag 10 reported p = 0.7359, indicating no statistically significant autocorrelation at that lag.</w:t>
      </w:r>
    </w:p>
    <w:p w:rsidR="005E0D94" w:rsidRDefault="009963DC">
      <w:pPr>
        <w:rPr>
          <w:rFonts w:hint="eastAsia"/>
        </w:rPr>
      </w:pPr>
      <w:r>
        <w:t>F</w:t>
      </w:r>
      <w:r>
        <w:t>our forecasting models were evaluated in the supplied notebook: ARIMA, SARIMA, Holt-Winters and Prophet. Prophet produced the lowest RMSE (1,897,305), MAE (1,561,990) and MAPE (3.2627%) among the models reported in the final leaderboard. Therefore, based o</w:t>
      </w:r>
      <w:r>
        <w:t>n the notebook's reported evaluation metrics, Prophet was selected as the preferred model.</w:t>
      </w:r>
    </w:p>
    <w:p w:rsidR="005E0D94" w:rsidRDefault="009963DC">
      <w:pPr>
        <w:pStyle w:val="Heading1"/>
      </w:pPr>
      <w:r>
        <w:t>1. Introduction</w:t>
      </w:r>
    </w:p>
    <w:p w:rsidR="005E0D94" w:rsidRDefault="009963DC">
      <w:pPr>
        <w:rPr>
          <w:rFonts w:hint="eastAsia"/>
        </w:rPr>
      </w:pPr>
      <w:r>
        <w:t>Time-series forecasting is used by organisations to understand patterns in historical observations and estimate future values. In a sales context, fo</w:t>
      </w:r>
      <w:r>
        <w:t>recasts can support inventory planning, procurement, production scheduling, workforce planning, budgeting and target setting.</w:t>
      </w:r>
    </w:p>
    <w:p w:rsidR="005E0D94" w:rsidRDefault="009963DC">
      <w:pPr>
        <w:rPr>
          <w:rFonts w:hint="eastAsia"/>
        </w:rPr>
      </w:pPr>
      <w:r>
        <w:t xml:space="preserve">The SIBM Nagpur experiential learning brief states that the objective is to familiarise students with the actual programming </w:t>
      </w:r>
      <w:r>
        <w:t>workflow and actual analysis workflow without mixing the two. The activity is weighted 60% toward the coding test and 40% toward presentation/analysis, with emphasis on conceptual understanding, clarity of written code and presentation.</w:t>
      </w:r>
    </w:p>
    <w:p w:rsidR="005E0D94" w:rsidRDefault="009963DC">
      <w:pPr>
        <w:pStyle w:val="Heading1"/>
      </w:pPr>
      <w:r>
        <w:t>2. Objectives of th</w:t>
      </w:r>
      <w:r>
        <w:t>e Study</w:t>
      </w:r>
    </w:p>
    <w:p w:rsidR="005E0D94" w:rsidRDefault="009963DC">
      <w:pPr>
        <w:pStyle w:val="ListBullet"/>
        <w:rPr>
          <w:rFonts w:hint="eastAsia"/>
        </w:rPr>
      </w:pPr>
      <w:r>
        <w:t>To prepare a weekly sales time series from Walmart sales data.</w:t>
      </w:r>
    </w:p>
    <w:p w:rsidR="005E0D94" w:rsidRDefault="009963DC">
      <w:pPr>
        <w:pStyle w:val="ListBullet"/>
        <w:rPr>
          <w:rFonts w:hint="eastAsia"/>
        </w:rPr>
      </w:pPr>
      <w:r>
        <w:t>To examine the statistical properties and time-dependent behaviour of weekly sales.</w:t>
      </w:r>
    </w:p>
    <w:p w:rsidR="005E0D94" w:rsidRDefault="009963DC">
      <w:pPr>
        <w:pStyle w:val="ListBullet"/>
        <w:rPr>
          <w:rFonts w:hint="eastAsia"/>
        </w:rPr>
      </w:pPr>
      <w:r>
        <w:t>To assess stationarity using ADF and KPSS tests.</w:t>
      </w:r>
    </w:p>
    <w:p w:rsidR="005E0D94" w:rsidRDefault="009963DC">
      <w:pPr>
        <w:pStyle w:val="ListBullet"/>
        <w:rPr>
          <w:rFonts w:hint="eastAsia"/>
        </w:rPr>
      </w:pPr>
      <w:r>
        <w:t>To examine autocorrelation using ACF, PACF and the L</w:t>
      </w:r>
      <w:r>
        <w:t>jung-Box test.</w:t>
      </w:r>
    </w:p>
    <w:p w:rsidR="005E0D94" w:rsidRDefault="009963DC">
      <w:pPr>
        <w:pStyle w:val="ListBullet"/>
        <w:rPr>
          <w:rFonts w:hint="eastAsia"/>
        </w:rPr>
      </w:pPr>
      <w:r>
        <w:t>To decompose the series into observed, trend, seasonal and residual components.</w:t>
      </w:r>
    </w:p>
    <w:p w:rsidR="005E0D94" w:rsidRDefault="009963DC">
      <w:pPr>
        <w:pStyle w:val="ListBullet"/>
        <w:rPr>
          <w:rFonts w:hint="eastAsia"/>
        </w:rPr>
      </w:pPr>
      <w:r>
        <w:t>To compare ARIMA, SARIMA, Holt-Winters and Prophet forecasting approaches.</w:t>
      </w:r>
    </w:p>
    <w:p w:rsidR="005E0D94" w:rsidRDefault="009963DC">
      <w:pPr>
        <w:pStyle w:val="ListBullet"/>
        <w:rPr>
          <w:rFonts w:hint="eastAsia"/>
        </w:rPr>
      </w:pPr>
      <w:r>
        <w:t>To identify the preferred model using RMSE, MAE and MAPE.</w:t>
      </w:r>
    </w:p>
    <w:p w:rsidR="005E0D94" w:rsidRDefault="009963DC">
      <w:pPr>
        <w:pStyle w:val="ListBullet"/>
        <w:rPr>
          <w:rFonts w:hint="eastAsia"/>
        </w:rPr>
      </w:pPr>
      <w:r>
        <w:t>To translate the forecasting</w:t>
      </w:r>
      <w:r>
        <w:t xml:space="preserve"> results into managerial implications.</w:t>
      </w:r>
    </w:p>
    <w:p w:rsidR="005E0D94" w:rsidRDefault="009963DC">
      <w:pPr>
        <w:pStyle w:val="Heading1"/>
      </w:pPr>
      <w:r>
        <w:t>3. Assignment Context and Methodology</w:t>
      </w:r>
    </w:p>
    <w:p w:rsidR="005E0D94" w:rsidRDefault="009963DC">
      <w:pPr>
        <w:rPr>
          <w:rFonts w:hint="eastAsia"/>
        </w:rPr>
      </w:pPr>
      <w:r>
        <w:t>According to the assignment brief, the task requires: (a) selecting a time-series dataset from Kaggle or another open dataset site; (b) reading the methodologies from the prescrib</w:t>
      </w:r>
      <w:r>
        <w:t xml:space="preserve">ed references; (c) analysing the dataset using </w:t>
      </w:r>
      <w:r>
        <w:lastRenderedPageBreak/>
        <w:t>Time_Series_Analysis_most_common_models.ipynb in Colab; and (d) presenting the results on the tool, with no PowerPoint required.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320"/>
        <w:gridCol w:w="4032"/>
      </w:tblGrid>
      <w:tr w:rsidR="005E0D94">
        <w:trPr>
          <w:jc w:val="center"/>
        </w:trPr>
        <w:tc>
          <w:tcPr>
            <w:tcW w:w="1008" w:type="dxa"/>
            <w:shd w:val="clear" w:color="auto" w:fill="D9EAF7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w="4320" w:type="dxa"/>
            <w:shd w:val="clear" w:color="auto" w:fill="D9EAF7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b/>
                <w:sz w:val="18"/>
              </w:rPr>
              <w:t>Activity</w:t>
            </w:r>
          </w:p>
        </w:tc>
        <w:tc>
          <w:tcPr>
            <w:tcW w:w="4032" w:type="dxa"/>
            <w:shd w:val="clear" w:color="auto" w:fill="D9EAF7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b/>
                <w:sz w:val="18"/>
              </w:rPr>
              <w:t>Output</w:t>
            </w:r>
          </w:p>
        </w:tc>
      </w:tr>
      <w:tr w:rsidR="005E0D94">
        <w:trPr>
          <w:jc w:val="center"/>
        </w:trPr>
        <w:tc>
          <w:tcPr>
            <w:tcW w:w="1008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32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Dataset selection and preparation</w:t>
            </w:r>
          </w:p>
        </w:tc>
        <w:tc>
          <w:tcPr>
            <w:tcW w:w="4032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 xml:space="preserve">Clean weekly sales </w:t>
            </w:r>
            <w:r>
              <w:rPr>
                <w:sz w:val="18"/>
              </w:rPr>
              <w:t>time series</w:t>
            </w:r>
          </w:p>
        </w:tc>
      </w:tr>
      <w:tr w:rsidR="005E0D94">
        <w:trPr>
          <w:jc w:val="center"/>
        </w:trPr>
        <w:tc>
          <w:tcPr>
            <w:tcW w:w="1008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32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Date/time-series setup</w:t>
            </w:r>
          </w:p>
        </w:tc>
        <w:tc>
          <w:tcPr>
            <w:tcW w:w="4032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Date index and weekly observations</w:t>
            </w:r>
          </w:p>
        </w:tc>
      </w:tr>
      <w:tr w:rsidR="005E0D94">
        <w:trPr>
          <w:jc w:val="center"/>
        </w:trPr>
        <w:tc>
          <w:tcPr>
            <w:tcW w:w="1008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432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Data diagnostics</w:t>
            </w:r>
          </w:p>
        </w:tc>
        <w:tc>
          <w:tcPr>
            <w:tcW w:w="4032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ADF, KPSS, ACF/PACF, Ljung-Box</w:t>
            </w:r>
          </w:p>
        </w:tc>
      </w:tr>
      <w:tr w:rsidR="005E0D94">
        <w:trPr>
          <w:jc w:val="center"/>
        </w:trPr>
        <w:tc>
          <w:tcPr>
            <w:tcW w:w="1008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432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Decomposition</w:t>
            </w:r>
          </w:p>
        </w:tc>
        <w:tc>
          <w:tcPr>
            <w:tcW w:w="4032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Trend, seasonal and residual components</w:t>
            </w:r>
          </w:p>
        </w:tc>
      </w:tr>
      <w:tr w:rsidR="005E0D94">
        <w:trPr>
          <w:jc w:val="center"/>
        </w:trPr>
        <w:tc>
          <w:tcPr>
            <w:tcW w:w="1008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432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Forecast modelling</w:t>
            </w:r>
          </w:p>
        </w:tc>
        <w:tc>
          <w:tcPr>
            <w:tcW w:w="4032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ARIMA, SARIMA, Holt-Winters, Prophet</w:t>
            </w:r>
          </w:p>
        </w:tc>
      </w:tr>
      <w:tr w:rsidR="005E0D94">
        <w:trPr>
          <w:jc w:val="center"/>
        </w:trPr>
        <w:tc>
          <w:tcPr>
            <w:tcW w:w="1008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432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 xml:space="preserve">Model </w:t>
            </w:r>
            <w:r>
              <w:rPr>
                <w:sz w:val="18"/>
              </w:rPr>
              <w:t>comparison</w:t>
            </w:r>
          </w:p>
        </w:tc>
        <w:tc>
          <w:tcPr>
            <w:tcW w:w="4032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RMSE, MAE, MAPE and AIC</w:t>
            </w:r>
          </w:p>
        </w:tc>
      </w:tr>
      <w:tr w:rsidR="005E0D94">
        <w:trPr>
          <w:jc w:val="center"/>
        </w:trPr>
        <w:tc>
          <w:tcPr>
            <w:tcW w:w="1008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432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Managerial interpretation</w:t>
            </w:r>
          </w:p>
        </w:tc>
        <w:tc>
          <w:tcPr>
            <w:tcW w:w="4032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Model selection and recommendations</w:t>
            </w:r>
          </w:p>
        </w:tc>
      </w:tr>
    </w:tbl>
    <w:p w:rsidR="005E0D94" w:rsidRDefault="005E0D94">
      <w:pPr>
        <w:rPr>
          <w:rFonts w:hint="eastAsia"/>
        </w:rPr>
      </w:pPr>
    </w:p>
    <w:p w:rsidR="005E0D94" w:rsidRDefault="009963DC">
      <w:pPr>
        <w:pStyle w:val="Heading1"/>
      </w:pPr>
      <w:r>
        <w:t>4. Data Description and Preparation</w:t>
      </w:r>
    </w:p>
    <w:p w:rsidR="005E0D94" w:rsidRDefault="009963DC">
      <w:pPr>
        <w:rPr>
          <w:rFonts w:hint="eastAsia"/>
        </w:rPr>
      </w:pPr>
      <w:r>
        <w:t xml:space="preserve">The source Walmart sales data contains store- and department-level weekly sales observations. For the forecasting </w:t>
      </w:r>
      <w:r>
        <w:t>exercise, these observations were aggregated by Date to obtain a single weekly sales series.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5040"/>
      </w:tblGrid>
      <w:tr w:rsidR="005E0D94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b/>
                <w:sz w:val="18"/>
              </w:rPr>
              <w:t>Data characteristic</w:t>
            </w:r>
          </w:p>
        </w:tc>
        <w:tc>
          <w:tcPr>
            <w:tcW w:w="5040" w:type="dxa"/>
            <w:shd w:val="clear" w:color="auto" w:fill="D9EAF7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b/>
                <w:sz w:val="18"/>
              </w:rPr>
              <w:t>Result</w:t>
            </w:r>
          </w:p>
        </w:tc>
      </w:tr>
      <w:tr w:rsidR="005E0D94">
        <w:trPr>
          <w:jc w:val="center"/>
        </w:trPr>
        <w:tc>
          <w:tcPr>
            <w:tcW w:w="432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Time-series variable</w:t>
            </w:r>
          </w:p>
        </w:tc>
        <w:tc>
          <w:tcPr>
            <w:tcW w:w="504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Weekly_Sales</w:t>
            </w:r>
          </w:p>
        </w:tc>
      </w:tr>
      <w:tr w:rsidR="005E0D94">
        <w:trPr>
          <w:jc w:val="center"/>
        </w:trPr>
        <w:tc>
          <w:tcPr>
            <w:tcW w:w="432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Frequency</w:t>
            </w:r>
          </w:p>
        </w:tc>
        <w:tc>
          <w:tcPr>
            <w:tcW w:w="504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Weekly</w:t>
            </w:r>
          </w:p>
        </w:tc>
      </w:tr>
      <w:tr w:rsidR="005E0D94">
        <w:trPr>
          <w:jc w:val="center"/>
        </w:trPr>
        <w:tc>
          <w:tcPr>
            <w:tcW w:w="432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Number of observations</w:t>
            </w:r>
          </w:p>
        </w:tc>
        <w:tc>
          <w:tcPr>
            <w:tcW w:w="504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143</w:t>
            </w:r>
          </w:p>
        </w:tc>
      </w:tr>
      <w:tr w:rsidR="005E0D94">
        <w:trPr>
          <w:jc w:val="center"/>
        </w:trPr>
        <w:tc>
          <w:tcPr>
            <w:tcW w:w="432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Start date</w:t>
            </w:r>
          </w:p>
        </w:tc>
        <w:tc>
          <w:tcPr>
            <w:tcW w:w="504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05-Feb-2010</w:t>
            </w:r>
          </w:p>
        </w:tc>
      </w:tr>
      <w:tr w:rsidR="005E0D94">
        <w:trPr>
          <w:jc w:val="center"/>
        </w:trPr>
        <w:tc>
          <w:tcPr>
            <w:tcW w:w="432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End date</w:t>
            </w:r>
          </w:p>
        </w:tc>
        <w:tc>
          <w:tcPr>
            <w:tcW w:w="504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26-Oct-2012</w:t>
            </w:r>
          </w:p>
        </w:tc>
      </w:tr>
      <w:tr w:rsidR="005E0D94">
        <w:trPr>
          <w:jc w:val="center"/>
        </w:trPr>
        <w:tc>
          <w:tcPr>
            <w:tcW w:w="432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 xml:space="preserve">Mean </w:t>
            </w:r>
            <w:r>
              <w:rPr>
                <w:sz w:val="18"/>
              </w:rPr>
              <w:t>weekly sales</w:t>
            </w:r>
          </w:p>
        </w:tc>
        <w:tc>
          <w:tcPr>
            <w:tcW w:w="504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47,114,036.00</w:t>
            </w:r>
          </w:p>
        </w:tc>
      </w:tr>
      <w:tr w:rsidR="005E0D94">
        <w:trPr>
          <w:jc w:val="center"/>
        </w:trPr>
        <w:tc>
          <w:tcPr>
            <w:tcW w:w="432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Median weekly sales</w:t>
            </w:r>
          </w:p>
        </w:tc>
        <w:tc>
          <w:tcPr>
            <w:tcW w:w="504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46,243,964.08</w:t>
            </w:r>
          </w:p>
        </w:tc>
      </w:tr>
      <w:tr w:rsidR="005E0D94">
        <w:trPr>
          <w:jc w:val="center"/>
        </w:trPr>
        <w:tc>
          <w:tcPr>
            <w:tcW w:w="432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Standard deviation</w:t>
            </w:r>
          </w:p>
        </w:tc>
        <w:tc>
          <w:tcPr>
            <w:tcW w:w="504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5,444,161.47</w:t>
            </w:r>
          </w:p>
        </w:tc>
      </w:tr>
      <w:tr w:rsidR="005E0D94">
        <w:trPr>
          <w:jc w:val="center"/>
        </w:trPr>
        <w:tc>
          <w:tcPr>
            <w:tcW w:w="432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Minimum weekly sales</w:t>
            </w:r>
          </w:p>
        </w:tc>
        <w:tc>
          <w:tcPr>
            <w:tcW w:w="504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39,600,376.50</w:t>
            </w:r>
          </w:p>
        </w:tc>
      </w:tr>
      <w:tr w:rsidR="005E0D94">
        <w:trPr>
          <w:jc w:val="center"/>
        </w:trPr>
        <w:tc>
          <w:tcPr>
            <w:tcW w:w="432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Maximum weekly sales</w:t>
            </w:r>
          </w:p>
        </w:tc>
        <w:tc>
          <w:tcPr>
            <w:tcW w:w="504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80,931,586.20</w:t>
            </w:r>
          </w:p>
        </w:tc>
      </w:tr>
      <w:tr w:rsidR="005E0D94">
        <w:trPr>
          <w:jc w:val="center"/>
        </w:trPr>
        <w:tc>
          <w:tcPr>
            <w:tcW w:w="432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Coefficient of variation</w:t>
            </w:r>
          </w:p>
        </w:tc>
        <w:tc>
          <w:tcPr>
            <w:tcW w:w="504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11.56%</w:t>
            </w:r>
          </w:p>
        </w:tc>
      </w:tr>
      <w:tr w:rsidR="005E0D94">
        <w:trPr>
          <w:jc w:val="center"/>
        </w:trPr>
        <w:tc>
          <w:tcPr>
            <w:tcW w:w="432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Missing Date values after cleaning</w:t>
            </w:r>
          </w:p>
        </w:tc>
        <w:tc>
          <w:tcPr>
            <w:tcW w:w="504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5E0D94">
        <w:trPr>
          <w:jc w:val="center"/>
        </w:trPr>
        <w:tc>
          <w:tcPr>
            <w:tcW w:w="432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 xml:space="preserve">Missing </w:t>
            </w:r>
            <w:r>
              <w:rPr>
                <w:sz w:val="18"/>
              </w:rPr>
              <w:t>Weekly_Sales values after cleaning</w:t>
            </w:r>
          </w:p>
        </w:tc>
        <w:tc>
          <w:tcPr>
            <w:tcW w:w="504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</w:tbl>
    <w:p w:rsidR="005E0D94" w:rsidRDefault="005E0D94">
      <w:pPr>
        <w:rPr>
          <w:rFonts w:hint="eastAsia"/>
        </w:rPr>
      </w:pPr>
    </w:p>
    <w:p w:rsidR="005E0D94" w:rsidRDefault="009963DC">
      <w:pPr>
        <w:rPr>
          <w:rFonts w:hint="eastAsia"/>
        </w:rPr>
      </w:pPr>
      <w:r>
        <w:t>The mean weekly sales were approximately ₹47.11 million, while the standard deviation was approximately ₹5.44 million. The coefficient of variation was approximately 11.56%, indicating moderate variation around the av</w:t>
      </w:r>
      <w:r>
        <w:t>erage weekly sales level. The wide difference between minimum and maximum observations also indicates the presence of high and low sales weeks.</w:t>
      </w:r>
    </w:p>
    <w:p w:rsidR="005E0D94" w:rsidRDefault="009963D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6035040" cy="32186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lmart_weekly_sales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94" w:rsidRDefault="009963DC">
      <w:pPr>
        <w:jc w:val="center"/>
        <w:rPr>
          <w:rFonts w:hint="eastAsia"/>
        </w:rPr>
      </w:pPr>
      <w:r>
        <w:rPr>
          <w:i/>
          <w:sz w:val="18"/>
        </w:rPr>
        <w:t>Figure 1. Aggregate Walmart Weekly Sales over the study period.</w:t>
      </w:r>
    </w:p>
    <w:p w:rsidR="005E0D94" w:rsidRDefault="009963DC">
      <w:pPr>
        <w:pStyle w:val="Heading1"/>
      </w:pPr>
      <w:r>
        <w:t>5. Time-Series Diagnostics</w:t>
      </w:r>
    </w:p>
    <w:p w:rsidR="005E0D94" w:rsidRDefault="009963DC">
      <w:pPr>
        <w:pStyle w:val="Heading2"/>
      </w:pPr>
      <w:r>
        <w:t>5.1 Augmented Dicke</w:t>
      </w:r>
      <w:r>
        <w:t>y-Fuller (ADF) Test</w:t>
      </w:r>
    </w:p>
    <w:p w:rsidR="005E0D94" w:rsidRDefault="009963DC">
      <w:pPr>
        <w:rPr>
          <w:rFonts w:hint="eastAsia"/>
        </w:rPr>
      </w:pPr>
      <w:r>
        <w:t>The ADF test reported a test statistic of -7.8644 and a p-value of approximately 0.0000. At the 5% significance level, the null hypothesis of a unit root is rejected. The notebook therefore classified Weekly_Sales as stationary.</w:t>
      </w:r>
    </w:p>
    <w:p w:rsidR="005E0D94" w:rsidRDefault="009963DC">
      <w:pPr>
        <w:pStyle w:val="Heading2"/>
      </w:pPr>
      <w:r>
        <w:t>5.2 KPS</w:t>
      </w:r>
      <w:r>
        <w:t>S Test</w:t>
      </w:r>
    </w:p>
    <w:p w:rsidR="005E0D94" w:rsidRDefault="009963DC">
      <w:pPr>
        <w:rPr>
          <w:rFonts w:hint="eastAsia"/>
        </w:rPr>
      </w:pPr>
      <w:r>
        <w:t>The KPSS test reported a test statistic of 0.067 and p = 0.100. Since the reported p-value is greater than 0.05, the notebook classified the series as stationary. The ADF and KPSS results therefore provide consistent evidence of stationarity.</w:t>
      </w:r>
    </w:p>
    <w:p w:rsidR="005E0D94" w:rsidRDefault="009963DC">
      <w:pPr>
        <w:pStyle w:val="Heading2"/>
      </w:pPr>
      <w:r>
        <w:t>5.3 AC</w:t>
      </w:r>
      <w:r>
        <w:t>F and PACF</w:t>
      </w:r>
    </w:p>
    <w:p w:rsidR="005E0D94" w:rsidRDefault="009963DC">
      <w:pPr>
        <w:rPr>
          <w:rFonts w:hint="eastAsia"/>
        </w:rPr>
      </w:pPr>
      <w:r>
        <w:t xml:space="preserve">The ACF and PACF plots were examined to understand lag relationships in weekly sales. Most displayed correlations were within the confidence bands, with a few isolated spikes. These plots were used as diagnostic information rather than as the </w:t>
      </w:r>
      <w:r>
        <w:t>sole basis for selecting model parameters.</w:t>
      </w:r>
    </w:p>
    <w:p w:rsidR="005E0D94" w:rsidRDefault="009963DC">
      <w:pPr>
        <w:pStyle w:val="Heading2"/>
      </w:pPr>
      <w:r>
        <w:t>5.4 Ljung-Box Test</w:t>
      </w:r>
    </w:p>
    <w:p w:rsidR="005E0D94" w:rsidRDefault="009963DC">
      <w:pPr>
        <w:rPr>
          <w:rFonts w:hint="eastAsia"/>
        </w:rPr>
      </w:pPr>
      <w:r>
        <w:t xml:space="preserve">The Ljung-Box test at lag 10 reported a test statistic of 6.889 and p = 0.7359. Because the p-value is greater than 0.05, there is insufficient evidence of significant autocorrelation up to lag </w:t>
      </w:r>
      <w:r>
        <w:t>10.</w:t>
      </w:r>
    </w:p>
    <w:p w:rsidR="005E0D94" w:rsidRDefault="009963DC">
      <w:pPr>
        <w:pStyle w:val="Heading2"/>
      </w:pPr>
      <w:r>
        <w:t>5.5 Seasonal Decomposition</w:t>
      </w:r>
    </w:p>
    <w:p w:rsidR="005E0D94" w:rsidRDefault="009963DC">
      <w:pPr>
        <w:rPr>
          <w:rFonts w:hint="eastAsia"/>
        </w:rPr>
      </w:pPr>
      <w:r>
        <w:t>An additive seasonal decomposition was successfully performed using a period of 12 weeks. The resulting plot separates the observed series into trend, seasonal and residual components. The decomposition shows changes in the u</w:t>
      </w:r>
      <w:r>
        <w:t>nderlying sales level and recurring short-cycle fluctuations.</w:t>
      </w:r>
    </w:p>
    <w:p w:rsidR="005E0D94" w:rsidRDefault="009963DC">
      <w:pPr>
        <w:rPr>
          <w:rFonts w:hint="eastAsia"/>
        </w:rPr>
      </w:pPr>
      <w:r>
        <w:t>A 52-week decomposition was also attempted because the data are weekly and a 52-week period would represent an approximate annual cycle. However, the supplied notebook reported that only 57 usab</w:t>
      </w:r>
      <w:r>
        <w:t xml:space="preserve">le observations were available to the decomposition function, whereas 104 observations are required for two </w:t>
      </w:r>
      <w:r>
        <w:lastRenderedPageBreak/>
        <w:t>complete 52-week cycles. Consequently, the 12-week decomposition is treated as an exploratory diagnostic and is not presented as proof of annual sea</w:t>
      </w:r>
      <w:r>
        <w:t>sonality.</w:t>
      </w:r>
    </w:p>
    <w:p w:rsidR="005E0D94" w:rsidRDefault="009963DC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669280" cy="449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lmart_seasonal_decomposition_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9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94" w:rsidRDefault="009963DC">
      <w:pPr>
        <w:jc w:val="center"/>
        <w:rPr>
          <w:rFonts w:hint="eastAsia"/>
        </w:rPr>
      </w:pPr>
      <w:r>
        <w:rPr>
          <w:i/>
          <w:sz w:val="18"/>
        </w:rPr>
        <w:t>Figure 2. Additive seasonal decomposition using a 12-week period.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456"/>
        <w:gridCol w:w="3744"/>
      </w:tblGrid>
      <w:tr w:rsidR="005E0D94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b/>
                <w:sz w:val="18"/>
              </w:rPr>
              <w:t>Diagnostic</w:t>
            </w:r>
          </w:p>
        </w:tc>
        <w:tc>
          <w:tcPr>
            <w:tcW w:w="3456" w:type="dxa"/>
            <w:shd w:val="clear" w:color="auto" w:fill="D9EAF7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b/>
                <w:sz w:val="18"/>
              </w:rPr>
              <w:t>Statistic / p-value</w:t>
            </w:r>
          </w:p>
        </w:tc>
        <w:tc>
          <w:tcPr>
            <w:tcW w:w="3744" w:type="dxa"/>
            <w:shd w:val="clear" w:color="auto" w:fill="D9EAF7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b/>
                <w:sz w:val="18"/>
              </w:rPr>
              <w:t>Notebook interpretation</w:t>
            </w:r>
          </w:p>
        </w:tc>
      </w:tr>
      <w:tr w:rsidR="005E0D94">
        <w:trPr>
          <w:jc w:val="center"/>
        </w:trPr>
        <w:tc>
          <w:tcPr>
            <w:tcW w:w="288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ADF</w:t>
            </w:r>
          </w:p>
        </w:tc>
        <w:tc>
          <w:tcPr>
            <w:tcW w:w="3456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Statistic = -7.8644; p ≈ 0.0000</w:t>
            </w:r>
          </w:p>
        </w:tc>
        <w:tc>
          <w:tcPr>
            <w:tcW w:w="3744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Stationary</w:t>
            </w:r>
          </w:p>
        </w:tc>
      </w:tr>
      <w:tr w:rsidR="005E0D94">
        <w:trPr>
          <w:jc w:val="center"/>
        </w:trPr>
        <w:tc>
          <w:tcPr>
            <w:tcW w:w="288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KPSS</w:t>
            </w:r>
          </w:p>
        </w:tc>
        <w:tc>
          <w:tcPr>
            <w:tcW w:w="3456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Statistic = 0.067; p = 0.100</w:t>
            </w:r>
          </w:p>
        </w:tc>
        <w:tc>
          <w:tcPr>
            <w:tcW w:w="3744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Stationary</w:t>
            </w:r>
          </w:p>
        </w:tc>
      </w:tr>
      <w:tr w:rsidR="005E0D94">
        <w:trPr>
          <w:jc w:val="center"/>
        </w:trPr>
        <w:tc>
          <w:tcPr>
            <w:tcW w:w="288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Ljung-Box (lag 10)</w:t>
            </w:r>
          </w:p>
        </w:tc>
        <w:tc>
          <w:tcPr>
            <w:tcW w:w="3456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Statistic</w:t>
            </w:r>
            <w:r>
              <w:rPr>
                <w:sz w:val="18"/>
              </w:rPr>
              <w:t xml:space="preserve"> = 6.889; p = 0.7359</w:t>
            </w:r>
          </w:p>
        </w:tc>
        <w:tc>
          <w:tcPr>
            <w:tcW w:w="3744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No significant autocorrelation</w:t>
            </w:r>
          </w:p>
        </w:tc>
      </w:tr>
      <w:tr w:rsidR="005E0D94">
        <w:trPr>
          <w:jc w:val="center"/>
        </w:trPr>
        <w:tc>
          <w:tcPr>
            <w:tcW w:w="288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ACF/PACF</w:t>
            </w:r>
          </w:p>
        </w:tc>
        <w:tc>
          <w:tcPr>
            <w:tcW w:w="3456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Visual diagnostic</w:t>
            </w:r>
          </w:p>
        </w:tc>
        <w:tc>
          <w:tcPr>
            <w:tcW w:w="3744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Some isolated lag relationships</w:t>
            </w:r>
          </w:p>
        </w:tc>
      </w:tr>
      <w:tr w:rsidR="005E0D94">
        <w:trPr>
          <w:jc w:val="center"/>
        </w:trPr>
        <w:tc>
          <w:tcPr>
            <w:tcW w:w="288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Seasonal decomposition</w:t>
            </w:r>
          </w:p>
        </w:tc>
        <w:tc>
          <w:tcPr>
            <w:tcW w:w="3456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Period = 12</w:t>
            </w:r>
          </w:p>
        </w:tc>
        <w:tc>
          <w:tcPr>
            <w:tcW w:w="3744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Trend/seasonal/residual components identified</w:t>
            </w:r>
          </w:p>
        </w:tc>
      </w:tr>
    </w:tbl>
    <w:p w:rsidR="005E0D94" w:rsidRDefault="005E0D94">
      <w:pPr>
        <w:rPr>
          <w:rFonts w:hint="eastAsia"/>
        </w:rPr>
      </w:pPr>
    </w:p>
    <w:p w:rsidR="005E0D94" w:rsidRDefault="009963DC">
      <w:pPr>
        <w:pStyle w:val="Heading1"/>
      </w:pPr>
      <w:r>
        <w:t>6. Forecasting Model Development</w:t>
      </w:r>
    </w:p>
    <w:p w:rsidR="005E0D94" w:rsidRDefault="009963DC">
      <w:pPr>
        <w:rPr>
          <w:rFonts w:hint="eastAsia"/>
        </w:rPr>
      </w:pPr>
      <w:r>
        <w:t>The supplied Colab tool was</w:t>
      </w:r>
      <w:r>
        <w:t xml:space="preserve"> used to estimate four models: ARIMA, SARIMA, Holt-Winters and Prophet. The target variable for each model was Weekly_Sales.</w:t>
      </w:r>
    </w:p>
    <w:p w:rsidR="005E0D94" w:rsidRDefault="009963DC">
      <w:pPr>
        <w:pStyle w:val="Heading2"/>
      </w:pPr>
      <w:r>
        <w:t>6.1 ARIMA</w:t>
      </w:r>
    </w:p>
    <w:p w:rsidR="005E0D94" w:rsidRDefault="009963DC">
      <w:pPr>
        <w:rPr>
          <w:rFonts w:hint="eastAsia"/>
        </w:rPr>
      </w:pPr>
      <w:r>
        <w:t>ARIMA(1,0,1) was evaluated. Since the diagnostic tests classified the original series as stationary, the differencing par</w:t>
      </w:r>
      <w:r>
        <w:t>ameter d was set to 0. The model combines an autoregressive component with a moving average component.</w:t>
      </w:r>
    </w:p>
    <w:p w:rsidR="005E0D94" w:rsidRDefault="009963DC">
      <w:pPr>
        <w:pStyle w:val="Heading2"/>
      </w:pPr>
      <w:r>
        <w:lastRenderedPageBreak/>
        <w:t>6.2 SARIMA</w:t>
      </w:r>
    </w:p>
    <w:p w:rsidR="005E0D94" w:rsidRDefault="009963DC">
      <w:pPr>
        <w:rPr>
          <w:rFonts w:hint="eastAsia"/>
        </w:rPr>
      </w:pPr>
      <w:r>
        <w:t xml:space="preserve">The reported SARIMA specification was (1,0,1) × (0,0,0)[12]. Because the seasonal P, D and Q parameters were all zero, this configuration did </w:t>
      </w:r>
      <w:r>
        <w:t>not introduce a seasonal AR, differencing or MA component. This is why its reported performance was identical to ARIMA(1,0,1).</w:t>
      </w:r>
    </w:p>
    <w:p w:rsidR="005E0D94" w:rsidRDefault="009963DC">
      <w:pPr>
        <w:pStyle w:val="Heading2"/>
      </w:pPr>
      <w:r>
        <w:t>6.3 Holt-Winters</w:t>
      </w:r>
    </w:p>
    <w:p w:rsidR="005E0D94" w:rsidRDefault="009963DC">
      <w:pPr>
        <w:rPr>
          <w:rFonts w:hint="eastAsia"/>
        </w:rPr>
      </w:pPr>
      <w:r>
        <w:t xml:space="preserve">The final leaderboard records Holt-Winters as trend=None, seasonal=None, sp=12. It therefore represents a </w:t>
      </w:r>
      <w:r>
        <w:t>comparatively simple exponential-smoothing specification rather than an explicitly configured trend-plus-seasonality model.</w:t>
      </w:r>
    </w:p>
    <w:p w:rsidR="005E0D94" w:rsidRDefault="009963DC">
      <w:pPr>
        <w:pStyle w:val="Heading2"/>
      </w:pPr>
      <w:r>
        <w:t>6.4 Prophet</w:t>
      </w:r>
    </w:p>
    <w:p w:rsidR="005E0D94" w:rsidRDefault="009963DC">
      <w:pPr>
        <w:rPr>
          <w:rFonts w:hint="eastAsia"/>
        </w:rPr>
      </w:pPr>
      <w:r>
        <w:t>Prophet was run with Weekly_Sales as the target. The model generated a forecast series with uncertainty bands and produc</w:t>
      </w:r>
      <w:r>
        <w:t>ed the strongest error metrics in the final leaderboard.</w:t>
      </w:r>
    </w:p>
    <w:p w:rsidR="005E0D94" w:rsidRDefault="009963DC">
      <w:pPr>
        <w:pStyle w:val="Heading1"/>
      </w:pPr>
      <w:r>
        <w:t>7. Model Evaluation and Comparison</w:t>
      </w:r>
    </w:p>
    <w:p w:rsidR="005E0D94" w:rsidRDefault="009963DC">
      <w:pPr>
        <w:rPr>
          <w:rFonts w:hint="eastAsia"/>
        </w:rPr>
      </w:pPr>
      <w:r>
        <w:t>The final model leaderboard compares RMSE, MAE, MAPE and AIC. For RMSE, MAE and MAPE, lower values indicate lower forecasting error. AIC is a relative model-selecti</w:t>
      </w:r>
      <w:r>
        <w:t>on measure in which lower values are generally preferred among comparable models; Prophet and Holt-Winters did not report AIC in the supplied leaderboard.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1"/>
        <w:gridCol w:w="2865"/>
        <w:gridCol w:w="1614"/>
        <w:gridCol w:w="1614"/>
        <w:gridCol w:w="1321"/>
        <w:gridCol w:w="1241"/>
      </w:tblGrid>
      <w:tr w:rsidR="005E0D94">
        <w:trPr>
          <w:jc w:val="center"/>
        </w:trPr>
        <w:tc>
          <w:tcPr>
            <w:tcW w:w="1872" w:type="dxa"/>
            <w:shd w:val="clear" w:color="auto" w:fill="D9EAF7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w="2448" w:type="dxa"/>
            <w:shd w:val="clear" w:color="auto" w:fill="D9EAF7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b/>
                <w:sz w:val="18"/>
              </w:rPr>
              <w:t>Parameters</w:t>
            </w:r>
          </w:p>
        </w:tc>
        <w:tc>
          <w:tcPr>
            <w:tcW w:w="1728" w:type="dxa"/>
            <w:shd w:val="clear" w:color="auto" w:fill="D9EAF7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b/>
                <w:sz w:val="18"/>
              </w:rPr>
              <w:t>RMSE</w:t>
            </w:r>
          </w:p>
        </w:tc>
        <w:tc>
          <w:tcPr>
            <w:tcW w:w="1728" w:type="dxa"/>
            <w:shd w:val="clear" w:color="auto" w:fill="D9EAF7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b/>
                <w:sz w:val="18"/>
              </w:rPr>
              <w:t>MAE</w:t>
            </w:r>
          </w:p>
        </w:tc>
        <w:tc>
          <w:tcPr>
            <w:tcW w:w="1440" w:type="dxa"/>
            <w:shd w:val="clear" w:color="auto" w:fill="D9EAF7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b/>
                <w:sz w:val="18"/>
              </w:rPr>
              <w:t>MAPE</w:t>
            </w:r>
          </w:p>
        </w:tc>
        <w:tc>
          <w:tcPr>
            <w:tcW w:w="1296" w:type="dxa"/>
            <w:shd w:val="clear" w:color="auto" w:fill="D9EAF7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b/>
                <w:sz w:val="18"/>
              </w:rPr>
              <w:t>AIC</w:t>
            </w:r>
          </w:p>
        </w:tc>
      </w:tr>
      <w:tr w:rsidR="005E0D94">
        <w:trPr>
          <w:jc w:val="center"/>
        </w:trPr>
        <w:tc>
          <w:tcPr>
            <w:tcW w:w="1872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Prophet</w:t>
            </w:r>
          </w:p>
        </w:tc>
        <w:tc>
          <w:tcPr>
            <w:tcW w:w="2448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default</w:t>
            </w:r>
          </w:p>
        </w:tc>
        <w:tc>
          <w:tcPr>
            <w:tcW w:w="1728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1,897,305.36</w:t>
            </w:r>
          </w:p>
        </w:tc>
        <w:tc>
          <w:tcPr>
            <w:tcW w:w="1728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1,561,989.90</w:t>
            </w:r>
          </w:p>
        </w:tc>
        <w:tc>
          <w:tcPr>
            <w:tcW w:w="144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3.2627%</w:t>
            </w:r>
          </w:p>
        </w:tc>
        <w:tc>
          <w:tcPr>
            <w:tcW w:w="1296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N/A</w:t>
            </w:r>
          </w:p>
        </w:tc>
      </w:tr>
      <w:tr w:rsidR="005E0D94">
        <w:trPr>
          <w:jc w:val="center"/>
        </w:trPr>
        <w:tc>
          <w:tcPr>
            <w:tcW w:w="1872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ARIMA</w:t>
            </w:r>
          </w:p>
        </w:tc>
        <w:tc>
          <w:tcPr>
            <w:tcW w:w="2448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(1,0,1)</w:t>
            </w:r>
          </w:p>
        </w:tc>
        <w:tc>
          <w:tcPr>
            <w:tcW w:w="1728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2,417,670.49</w:t>
            </w:r>
          </w:p>
        </w:tc>
        <w:tc>
          <w:tcPr>
            <w:tcW w:w="1728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1,712,108.20</w:t>
            </w:r>
          </w:p>
        </w:tc>
        <w:tc>
          <w:tcPr>
            <w:tcW w:w="144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3.5549%</w:t>
            </w:r>
          </w:p>
        </w:tc>
        <w:tc>
          <w:tcPr>
            <w:tcW w:w="1296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1845.2482</w:t>
            </w:r>
          </w:p>
        </w:tc>
      </w:tr>
      <w:tr w:rsidR="005E0D94">
        <w:trPr>
          <w:jc w:val="center"/>
        </w:trPr>
        <w:tc>
          <w:tcPr>
            <w:tcW w:w="1872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SARIMA</w:t>
            </w:r>
          </w:p>
        </w:tc>
        <w:tc>
          <w:tcPr>
            <w:tcW w:w="2448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(1,0,1)x(0,0,0)[12]</w:t>
            </w:r>
          </w:p>
        </w:tc>
        <w:tc>
          <w:tcPr>
            <w:tcW w:w="1728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2,417,670.49</w:t>
            </w:r>
          </w:p>
        </w:tc>
        <w:tc>
          <w:tcPr>
            <w:tcW w:w="1728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1,712,108.20</w:t>
            </w:r>
          </w:p>
        </w:tc>
        <w:tc>
          <w:tcPr>
            <w:tcW w:w="144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3.5549%</w:t>
            </w:r>
          </w:p>
        </w:tc>
        <w:tc>
          <w:tcPr>
            <w:tcW w:w="1296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1845.2482</w:t>
            </w:r>
          </w:p>
        </w:tc>
      </w:tr>
      <w:tr w:rsidR="005E0D94">
        <w:trPr>
          <w:jc w:val="center"/>
        </w:trPr>
        <w:tc>
          <w:tcPr>
            <w:tcW w:w="1872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Holt-Winters</w:t>
            </w:r>
          </w:p>
        </w:tc>
        <w:tc>
          <w:tcPr>
            <w:tcW w:w="2448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trend=None,seasonal=None,sp=12</w:t>
            </w:r>
          </w:p>
        </w:tc>
        <w:tc>
          <w:tcPr>
            <w:tcW w:w="1728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2,462,156.96</w:t>
            </w:r>
          </w:p>
        </w:tc>
        <w:tc>
          <w:tcPr>
            <w:tcW w:w="1728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1,707,702.97</w:t>
            </w:r>
          </w:p>
        </w:tc>
        <w:tc>
          <w:tcPr>
            <w:tcW w:w="1440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3.5447%</w:t>
            </w:r>
          </w:p>
        </w:tc>
        <w:tc>
          <w:tcPr>
            <w:tcW w:w="1296" w:type="dxa"/>
            <w:vAlign w:val="center"/>
          </w:tcPr>
          <w:p w:rsidR="005E0D94" w:rsidRDefault="009963DC">
            <w:pPr>
              <w:rPr>
                <w:rFonts w:hint="eastAsia"/>
              </w:rPr>
            </w:pPr>
            <w:r>
              <w:rPr>
                <w:sz w:val="18"/>
              </w:rPr>
              <w:t>N/A</w:t>
            </w:r>
          </w:p>
        </w:tc>
      </w:tr>
    </w:tbl>
    <w:p w:rsidR="005E0D94" w:rsidRDefault="005E0D94">
      <w:pPr>
        <w:rPr>
          <w:rFonts w:hint="eastAsia"/>
        </w:rPr>
      </w:pPr>
    </w:p>
    <w:p w:rsidR="005E0D94" w:rsidRDefault="009963DC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852160" cy="33047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lmart_model_rmse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0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94" w:rsidRDefault="009963DC">
      <w:pPr>
        <w:jc w:val="center"/>
        <w:rPr>
          <w:rFonts w:hint="eastAsia"/>
        </w:rPr>
      </w:pPr>
      <w:r>
        <w:rPr>
          <w:i/>
          <w:sz w:val="18"/>
        </w:rPr>
        <w:t xml:space="preserve">Figure 3. RMSE comparison across the four </w:t>
      </w:r>
      <w:r>
        <w:rPr>
          <w:i/>
          <w:sz w:val="18"/>
        </w:rPr>
        <w:t>forecasting models.</w:t>
      </w:r>
    </w:p>
    <w:p w:rsidR="005E0D94" w:rsidRDefault="009963DC">
      <w:pPr>
        <w:pStyle w:val="Heading2"/>
      </w:pPr>
      <w:r>
        <w:lastRenderedPageBreak/>
        <w:t>7.1 Preferred Model</w:t>
      </w:r>
    </w:p>
    <w:p w:rsidR="005E0D94" w:rsidRDefault="009963DC">
      <w:pPr>
        <w:rPr>
          <w:rFonts w:hint="eastAsia"/>
        </w:rPr>
      </w:pPr>
      <w:r>
        <w:t>Prophet is the preferred model based on the supplied leaderboard. It achieved the lowest RMSE (₹1,897,305), lowest MAE (₹1,561,990) and lowest MAPE (3.2627%) among the four evaluated models. Its RMSE was approximatel</w:t>
      </w:r>
      <w:r>
        <w:t>y ₹0.52 million lower than ARIMA/SARIMA and approximately ₹0.56 million lower than Holt-Winters.</w:t>
      </w:r>
    </w:p>
    <w:p w:rsidR="005E0D94" w:rsidRDefault="009963DC">
      <w:pPr>
        <w:pStyle w:val="Heading2"/>
      </w:pPr>
      <w:r>
        <w:t>7.2 Interpretation of MAPE</w:t>
      </w:r>
    </w:p>
    <w:p w:rsidR="005E0D94" w:rsidRDefault="009963DC">
      <w:pPr>
        <w:rPr>
          <w:rFonts w:hint="eastAsia"/>
        </w:rPr>
      </w:pPr>
      <w:r>
        <w:t>The Prophet MAPE of 3.2627% indicates a relatively small average absolute percentage error for the observations used in the notebook</w:t>
      </w:r>
      <w:r>
        <w:t>'s evaluation. It should not be interpreted as '96.74% accuracy'; MAPE is an error measure, not an accuracy percentage.</w:t>
      </w:r>
    </w:p>
    <w:p w:rsidR="005E0D94" w:rsidRDefault="009963DC">
      <w:pPr>
        <w:pStyle w:val="Heading1"/>
      </w:pPr>
      <w:r>
        <w:t>8. Managerial Interpretation and Business Implications</w:t>
      </w:r>
    </w:p>
    <w:p w:rsidR="005E0D94" w:rsidRDefault="009963DC">
      <w:pPr>
        <w:rPr>
          <w:rFonts w:hint="eastAsia"/>
        </w:rPr>
      </w:pPr>
      <w:r>
        <w:rPr>
          <w:b/>
        </w:rPr>
        <w:t xml:space="preserve">Inventory planning: </w:t>
      </w:r>
      <w:r>
        <w:t>Use the selected forecast as an input to inventory and replen</w:t>
      </w:r>
      <w:r>
        <w:t>ishment planning, particularly before periods where the historical series shows higher sales.</w:t>
      </w:r>
    </w:p>
    <w:p w:rsidR="005E0D94" w:rsidRDefault="009963DC">
      <w:pPr>
        <w:rPr>
          <w:rFonts w:hint="eastAsia"/>
        </w:rPr>
      </w:pPr>
      <w:r>
        <w:rPr>
          <w:b/>
        </w:rPr>
        <w:t xml:space="preserve">Procurement: </w:t>
      </w:r>
      <w:r>
        <w:t>Align procurement quantities and supplier schedules with expected demand to reduce both stock-outs and excess inventory.</w:t>
      </w:r>
    </w:p>
    <w:p w:rsidR="005E0D94" w:rsidRDefault="009963DC">
      <w:pPr>
        <w:rPr>
          <w:rFonts w:hint="eastAsia"/>
        </w:rPr>
      </w:pPr>
      <w:r>
        <w:rPr>
          <w:b/>
        </w:rPr>
        <w:t xml:space="preserve">Sales target setting: </w:t>
      </w:r>
      <w:r>
        <w:t xml:space="preserve">Use </w:t>
      </w:r>
      <w:r>
        <w:t>forecast values as a quantitative baseline for weekly sales targets rather than relying only on historical averages.</w:t>
      </w:r>
    </w:p>
    <w:p w:rsidR="005E0D94" w:rsidRDefault="009963DC">
      <w:pPr>
        <w:rPr>
          <w:rFonts w:hint="eastAsia"/>
        </w:rPr>
      </w:pPr>
      <w:r>
        <w:rPr>
          <w:b/>
        </w:rPr>
        <w:t xml:space="preserve">Workforce planning: </w:t>
      </w:r>
      <w:r>
        <w:t>Higher expected sales periods can be used to anticipate requirements for store, warehouse, logistics and customer-facin</w:t>
      </w:r>
      <w:r>
        <w:t>g resources.</w:t>
      </w:r>
    </w:p>
    <w:p w:rsidR="005E0D94" w:rsidRDefault="009963DC">
      <w:pPr>
        <w:rPr>
          <w:rFonts w:hint="eastAsia"/>
        </w:rPr>
      </w:pPr>
      <w:r>
        <w:rPr>
          <w:b/>
        </w:rPr>
        <w:t xml:space="preserve">Budgeting and cash planning: </w:t>
      </w:r>
      <w:r>
        <w:t>Sales forecasts can support short-term revenue planning and working-capital decisions.</w:t>
      </w:r>
    </w:p>
    <w:p w:rsidR="005E0D94" w:rsidRDefault="009963DC">
      <w:pPr>
        <w:rPr>
          <w:rFonts w:hint="eastAsia"/>
        </w:rPr>
      </w:pPr>
      <w:r>
        <w:rPr>
          <w:b/>
        </w:rPr>
        <w:t xml:space="preserve">Scenario planning: </w:t>
      </w:r>
      <w:r>
        <w:t>Management should consider the forecast together with uncertainty and business events rather than treating t</w:t>
      </w:r>
      <w:r>
        <w:t>he point forecast as a guaranteed outcome.</w:t>
      </w:r>
    </w:p>
    <w:p w:rsidR="005E0D94" w:rsidRDefault="009963DC">
      <w:pPr>
        <w:pStyle w:val="Heading1"/>
      </w:pPr>
      <w:r>
        <w:t>9. Conclusion</w:t>
      </w:r>
    </w:p>
    <w:p w:rsidR="005E0D94" w:rsidRDefault="009963DC">
      <w:pPr>
        <w:rPr>
          <w:rFonts w:hint="eastAsia"/>
        </w:rPr>
      </w:pPr>
      <w:r>
        <w:t>The analysis demonstrates a complete time-series workflow using Walmart weekly sales data: data preparation, time indexing, statistical diagnostics, decomposition, forecasting and model comparison. B</w:t>
      </w:r>
      <w:r>
        <w:t>oth ADF and KPSS classified the series as stationary, while the Ljung-Box test did not identify significant autocorrelation at lag 10.</w:t>
      </w:r>
    </w:p>
    <w:p w:rsidR="005E0D94" w:rsidRDefault="009963DC">
      <w:pPr>
        <w:rPr>
          <w:rFonts w:hint="eastAsia"/>
        </w:rPr>
      </w:pPr>
      <w:r>
        <w:t>Among the four models evaluated by the prescribed Colab tool, Prophet achieved the lowest RMSE, MAE and MAPE. Accordingly</w:t>
      </w:r>
      <w:r>
        <w:t>, Prophet is selected as the preferred model for this analysis. The result provides a practical basis for short-term sales planning, although forecasts should be interpreted alongside business context and uncertainty.</w:t>
      </w:r>
    </w:p>
    <w:p w:rsidR="005E0D94" w:rsidRDefault="009963DC">
      <w:pPr>
        <w:pStyle w:val="Heading1"/>
      </w:pPr>
      <w:r>
        <w:t>10. Limitations and Methodological Con</w:t>
      </w:r>
      <w:r>
        <w:t>siderations</w:t>
      </w:r>
    </w:p>
    <w:p w:rsidR="005E0D94" w:rsidRDefault="009963DC">
      <w:pPr>
        <w:pStyle w:val="ListBullet"/>
        <w:rPr>
          <w:rFonts w:hint="eastAsia"/>
        </w:rPr>
      </w:pPr>
      <w:r>
        <w:t>The final analysis uses aggregate weekly sales across stores and departments, so store- or department-specific patterns are not modelled separately.</w:t>
      </w:r>
    </w:p>
    <w:p w:rsidR="005E0D94" w:rsidRDefault="009963DC">
      <w:pPr>
        <w:pStyle w:val="ListBullet"/>
        <w:rPr>
          <w:rFonts w:hint="eastAsia"/>
        </w:rPr>
      </w:pPr>
      <w:r>
        <w:t xml:space="preserve">The notebook's 52-week seasonal decomposition could not be completed because its decomposition </w:t>
      </w:r>
      <w:r>
        <w:t>step reported only 57 usable observations, below the 104 observations required for two complete annual cycles.</w:t>
      </w:r>
    </w:p>
    <w:p w:rsidR="005E0D94" w:rsidRDefault="009963DC">
      <w:pPr>
        <w:pStyle w:val="ListBullet"/>
        <w:rPr>
          <w:rFonts w:hint="eastAsia"/>
        </w:rPr>
      </w:pPr>
      <w:r>
        <w:lastRenderedPageBreak/>
        <w:t xml:space="preserve">The final leaderboard evaluates models using the notebook's built-in evaluation procedure. Therefore, the reported metrics should be interpreted </w:t>
      </w:r>
      <w:r>
        <w:t>as tool-based model-comparison results rather than definitive out-of-sample performance.</w:t>
      </w:r>
    </w:p>
    <w:p w:rsidR="005E0D94" w:rsidRDefault="009963DC">
      <w:pPr>
        <w:pStyle w:val="ListBullet"/>
        <w:rPr>
          <w:rFonts w:hint="eastAsia"/>
        </w:rPr>
      </w:pPr>
      <w:r>
        <w:t>The reported SARIMA specification contains zero seasonal AR, differencing and MA parameters, so it does not provide a substantive seasonal extension beyond the ARIMA s</w:t>
      </w:r>
      <w:r>
        <w:t>pecification.</w:t>
      </w:r>
    </w:p>
    <w:p w:rsidR="005E0D94" w:rsidRDefault="009963DC">
      <w:pPr>
        <w:pStyle w:val="ListBullet"/>
        <w:rPr>
          <w:rFonts w:hint="eastAsia"/>
        </w:rPr>
      </w:pPr>
      <w:r>
        <w:t>The final Holt-Winters row records trend=None and seasonal=None; therefore, the result should not be interpreted as a full trend-and-seasonality Holt-Winters configuration.</w:t>
      </w:r>
    </w:p>
    <w:p w:rsidR="005E0D94" w:rsidRDefault="009963DC">
      <w:pPr>
        <w:pStyle w:val="ListBullet"/>
        <w:rPr>
          <w:rFonts w:hint="eastAsia"/>
        </w:rPr>
      </w:pPr>
      <w:r>
        <w:t xml:space="preserve">External explanatory variables such as holidays, promotions, weather </w:t>
      </w:r>
      <w:r>
        <w:t>and economic indicators were not included in the final univariate forecasting target.</w:t>
      </w:r>
    </w:p>
    <w:p w:rsidR="005E0D94" w:rsidRDefault="009963DC">
      <w:pPr>
        <w:pStyle w:val="Heading1"/>
      </w:pPr>
      <w:r>
        <w:t>11. References</w:t>
      </w:r>
    </w:p>
    <w:p w:rsidR="005E0D94" w:rsidRDefault="009963DC">
      <w:pPr>
        <w:pStyle w:val="ListNumber"/>
        <w:rPr>
          <w:rFonts w:hint="eastAsia"/>
        </w:rPr>
      </w:pPr>
      <w:r>
        <w:t xml:space="preserve">Symbiosis Institute of Business Management, Nagpur. Template for Assignment/Case Analysis/Project Allocation: Data Analysis Using Python, Sem 1 2026–2028, </w:t>
      </w:r>
      <w:r>
        <w:t>Faculty: Harsh Jinger.</w:t>
      </w:r>
    </w:p>
    <w:p w:rsidR="005E0D94" w:rsidRDefault="009963DC">
      <w:pPr>
        <w:pStyle w:val="ListNumber"/>
        <w:rPr>
          <w:rFonts w:hint="eastAsia"/>
        </w:rPr>
      </w:pPr>
      <w:r>
        <w:t>Harvard Business Publishing. Time Series Sales Forecasting. Product No. IES497-PDF-ENG.</w:t>
      </w:r>
    </w:p>
    <w:p w:rsidR="005E0D94" w:rsidRDefault="009963DC">
      <w:pPr>
        <w:pStyle w:val="ListNumber"/>
        <w:rPr>
          <w:rFonts w:hint="eastAsia"/>
        </w:rPr>
      </w:pPr>
      <w:r>
        <w:t>Harvard Business Publishing. Time Series Forecasting. Product No. UV0678-PDF-ENG.</w:t>
      </w:r>
    </w:p>
    <w:p w:rsidR="005E0D94" w:rsidRDefault="009963DC">
      <w:pPr>
        <w:pStyle w:val="ListNumber"/>
        <w:rPr>
          <w:rFonts w:hint="eastAsia"/>
        </w:rPr>
      </w:pPr>
      <w:r>
        <w:t>Walmart weekly sales open dataset used for the analysis; cleane</w:t>
      </w:r>
      <w:r>
        <w:t>d and aggregated to a single weekly sales series.</w:t>
      </w:r>
    </w:p>
    <w:p w:rsidR="005E0D94" w:rsidRDefault="009963DC">
      <w:pPr>
        <w:pStyle w:val="Heading1"/>
      </w:pPr>
      <w:r>
        <w:t>Appendix A: Key Python Workflow</w:t>
      </w:r>
    </w:p>
    <w:p w:rsidR="005E0D94" w:rsidRDefault="009963DC">
      <w:pPr>
        <w:rPr>
          <w:rFonts w:hint="eastAsia"/>
        </w:rPr>
      </w:pPr>
      <w:r>
        <w:rPr>
          <w:rFonts w:ascii="Consolas" w:hAnsi="Consolas"/>
          <w:sz w:val="17"/>
        </w:rPr>
        <w:t>import pandas as pd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df = pd.read_csv("walmart.csv")</w:t>
      </w:r>
      <w:r>
        <w:rPr>
          <w:rFonts w:ascii="Consolas" w:hAnsi="Consolas"/>
          <w:sz w:val="17"/>
        </w:rPr>
        <w:br/>
        <w:t>df = df.drop_duplicates()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df["Date"] = pd.to_datetime(</w:t>
      </w:r>
      <w:r>
        <w:rPr>
          <w:rFonts w:ascii="Consolas" w:hAnsi="Consolas"/>
          <w:sz w:val="17"/>
        </w:rPr>
        <w:br/>
        <w:t xml:space="preserve">    df["Date"], format="%d-%m-%Y", errors="coerce"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df = df.dro</w:t>
      </w:r>
      <w:r>
        <w:rPr>
          <w:rFonts w:ascii="Consolas" w:hAnsi="Consolas"/>
          <w:sz w:val="17"/>
        </w:rPr>
        <w:t>pna(subset=["Date", "Weekly_Sales"])</w:t>
      </w:r>
      <w:r>
        <w:rPr>
          <w:rFonts w:ascii="Consolas" w:hAnsi="Consolas"/>
          <w:sz w:val="17"/>
        </w:rPr>
        <w:br/>
        <w:t>df = df[df["Weekly_Sales"] &gt;= 0]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weekly_sales = (</w:t>
      </w:r>
      <w:r>
        <w:rPr>
          <w:rFonts w:ascii="Consolas" w:hAnsi="Consolas"/>
          <w:sz w:val="17"/>
        </w:rPr>
        <w:br/>
        <w:t xml:space="preserve">    df.groupby("Date", as_index=False)["Weekly_Sales"]</w:t>
      </w:r>
      <w:r>
        <w:rPr>
          <w:rFonts w:ascii="Consolas" w:hAnsi="Consolas"/>
          <w:sz w:val="17"/>
        </w:rPr>
        <w:br/>
        <w:t xml:space="preserve">      .sum()</w:t>
      </w:r>
      <w:r>
        <w:rPr>
          <w:rFonts w:ascii="Consolas" w:hAnsi="Consolas"/>
          <w:sz w:val="17"/>
        </w:rPr>
        <w:br/>
        <w:t xml:space="preserve">      .sort_values("Date")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weekly_sales.to_csv(</w:t>
      </w:r>
      <w:r>
        <w:rPr>
          <w:rFonts w:ascii="Consolas" w:hAnsi="Consolas"/>
          <w:sz w:val="17"/>
        </w:rPr>
        <w:br/>
        <w:t xml:space="preserve">    "walmart_final_timeseries.csv", index=False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</w:p>
    <w:p w:rsidR="005E0D94" w:rsidRDefault="009963DC">
      <w:pPr>
        <w:rPr>
          <w:rFonts w:hint="eastAsia"/>
        </w:rPr>
      </w:pPr>
      <w:r>
        <w:t>Note: The supplied experiential-learning brief states that the final presentation is to be made on the analysis tool and that no PowerPoint is required.</w:t>
      </w:r>
    </w:p>
    <w:sectPr w:rsidR="005E0D94" w:rsidSect="00034616">
      <w:headerReference w:type="default" r:id="rId13"/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963DC" w:rsidRDefault="009963D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9963DC" w:rsidRDefault="009963D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E0D94" w:rsidRDefault="009963DC">
    <w:pPr>
      <w:pStyle w:val="Footer"/>
      <w:jc w:val="center"/>
      <w:rPr>
        <w:rFonts w:hint="eastAsia"/>
      </w:rPr>
    </w:pPr>
    <w:r>
      <w:rPr>
        <w:sz w:val="16"/>
      </w:rPr>
      <w:t>MBA Sem 1 | Time Series Sales Forecasting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963DC" w:rsidRDefault="009963D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9963DC" w:rsidRDefault="009963D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E0D94" w:rsidRDefault="009963DC">
    <w:pPr>
      <w:pStyle w:val="Header"/>
      <w:jc w:val="right"/>
      <w:rPr>
        <w:rFonts w:hint="eastAsia"/>
      </w:rPr>
    </w:pPr>
    <w:r>
      <w:rPr>
        <w:sz w:val="16"/>
      </w:rPr>
      <w:t>SIBM Nagpur | Data Analysis Usi</w:t>
    </w:r>
    <w:r>
      <w:rPr>
        <w:sz w:val="16"/>
      </w:rPr>
      <w:t>ng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0D94"/>
    <w:rsid w:val="007743BE"/>
    <w:rsid w:val="009963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13F423"/>
  <w14:defaultImageDpi w14:val="300"/>
  <w15:docId w15:val="{5750FEDE-16CD-4892-90CB-CE4CA407B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743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3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LTNkmpJl3gpL9tLsHubpxf4MriqBq16Q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colab.research.google.com/drive/1nDE6c2blAAKh8QjPNGPpz87_arr8HDT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D3FC5D-7094-4810-97DE-B2437158A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2078</Words>
  <Characters>11845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Bloomberg</cp:lastModifiedBy>
  <cp:revision>2</cp:revision>
  <dcterms:created xsi:type="dcterms:W3CDTF">2013-12-23T23:15:00Z</dcterms:created>
  <dcterms:modified xsi:type="dcterms:W3CDTF">2026-08-08T16:27:00Z</dcterms:modified>
  <cp:category/>
</cp:coreProperties>
</file>