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5985"/>
          <w:sz w:val="44"/>
        </w:rPr>
        <w:t>SmartBus — Software Engineering Lab 5 Submission</w:t>
      </w:r>
    </w:p>
    <w:p>
      <w:pPr>
        <w:jc w:val="center"/>
      </w:pPr>
      <w:r>
        <w:rPr>
          <w:i/>
          <w:color w:val="0F766E"/>
          <w:sz w:val="22"/>
        </w:rPr>
        <w:t>UML Class Diagram &amp; UML Sequence Diagrams</w:t>
        <w:br/>
        <w:t>Corrected, Formatted, and Submission-Ready</w:t>
      </w:r>
    </w:p>
    <w:p/>
    <w:p>
      <w:pPr>
        <w:pStyle w:val="Heading1"/>
      </w:pPr>
      <w:r>
        <w:rPr>
          <w:color w:val="075985"/>
        </w:rPr>
        <w:t>1. UML Class Diagram — SmartBus Allocation System</w:t>
      </w:r>
    </w:p>
    <w:p>
      <w:r>
        <w:t>Correct UML 3-compartment notation with typed attributes (+ attributeName: Type) and method signatures. Establishes explicit associations without unneeded inheritance or floating classes: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54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8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75985"/>
        </w:rPr>
        <w:t>2. UML Sequence Diagram — Passenger Seat Allocation &amp; Explainability</w:t>
      </w:r>
    </w:p>
    <w:p>
      <w:r>
        <w:t>Traces passenger interaction with SHAP explainability (C14) and fair seat allocation under hard capacity bounds (N &lt;= 50):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46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passenge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75985"/>
        </w:rPr>
        <w:t>3. UML Sequence Diagram — Counterfactual Analysis &amp; Policy Calibration</w:t>
      </w:r>
    </w:p>
    <w:p>
      <w:r>
        <w:t>Traces single-attribute perturbation testing in CounterfactualLabPage (C11) and multi-policy Pareto trade-off calibration: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129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counterfactua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9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