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Project Design Phase-II</w:t>
      </w:r>
    </w:p>
    <w:p>
      <w:pPr>
        <w:jc w:val="center"/>
      </w:pPr>
      <w:r>
        <w:rPr>
          <w:rFonts w:ascii="Arial" w:cs="Arial" w:eastAsia="Arial" w:hAnsi="Arial"/>
          <w:b/>
          <w:bCs/>
          <w:color w:val="4472C4"/>
          <w:sz w:val="28"/>
          <w:szCs w:val="28"/>
        </w:rPr>
        <w:t xml:space="preserve">Technology Stack (Architecture &amp; Stack)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31 January 2025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Team ID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Project Name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FitBuddy – AI-Powered Fitness Assistant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Maximum Marks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 Marks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Technical Architecture Overview</w:t>
      </w:r>
    </w:p>
    <w:p>
      <w:r>
        <w:t xml:space="preserve">FitBuddy follows a layered web application architecture with a FastAPI backend, Jinja2-rendered HTML frontend, SQLite database, and Google Gemini AI for workout and nutrition content generation.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Architecture Flow:</w:t>
      </w:r>
    </w:p>
    <w:p>
      <w:r>
        <w:t xml:space="preserve">User (Browser) → HTML/CSS Frontend (Jinja2) → FastAPI Routes (routes.py) → Gemini AI Generators (gemini_generator.py / gemini_flash_generator.py) → SQLite Database (database.py) → Response rendered back to user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Table 1: Components &amp; Technologies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4360"/>
        <w:gridCol w:w="25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S.No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 Interface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Web UI rendered via Jinja2 Templates — workout cards, forms, dashboard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HTML, CSS, Jinja2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Application Logic – Workout Generation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Generates 7-day personalized workout plan using user goal &amp; intensity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Python, FastAPI, Gemini AI (gemini_generator.py)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Application Logic – Nutrition Tips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Generates personalized nutrition tips alongside workout plans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Python, FastAPI, Gemini AI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Application Logic – Plan Update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Accepts user feedback and regenerates/updates the workout plan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Python, FastAPI (updated_plan.py, gemini_flash_generator.py)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Application Routing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Handles all API routes and request routing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Python, FastAPI (routes.py)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Database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Stores user info, plans, and feedback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SQLite (database.py)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Model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Generates workout plans and nutrition content using LLM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Google Gemini AI API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 Interface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 dashboard to view all users and their generated plans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HTML, CSS, Jinja2 (all_users.html)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Static Assets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Styling and UI assets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CSS (static/style.css)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Local development server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Uvicorn (ASGI), Local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Table 2: Application Characteristics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60"/>
        <w:gridCol w:w="4500"/>
        <w:gridCol w:w="25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S.No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Characteristic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Open-Source Frameworks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FastAPI for backend, Jinja2 for templating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FastAPI, Jinja2, Python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Security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Input validation via FastAPI, environment-based API key management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FastAPI validation, .env config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Scalable Architecture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MVC-like separation: routes, generators, database layers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FastAPI modular routing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Availability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Local ASGI server; can be deployed to cloud (Railway, Render, etc.)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Uvicorn ASGI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Performance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Async FastAPI endpoints; Gemini API calls are async-capable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FastAPI async, Gemini API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2E4057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4472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2026-03-11T13:44:37.239Z</dcterms:created>
  <dcterms:modified xsi:type="dcterms:W3CDTF">2026-03-11T13:44:37.239Z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