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Project Design Phase-II</w:t>
      </w:r>
    </w:p>
    <w:p>
      <w:pPr>
        <w:jc w:val="center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Solution Requirements (Functional &amp; Non-functional)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 January 2025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FitBuddy – AI-Powered Fitness Assistant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Marks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Functional Requirements</w:t>
      </w:r>
    </w:p>
    <w:p>
      <w:r>
        <w:t xml:space="preserve">Following are the functional requirements of FitBuddy – AI-Powered Fitness Assistant.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60"/>
        <w:gridCol w:w="6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 No.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 Requirement (Story / Sub-Task)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Input &amp; Onboarding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enters fitness goal (e.g., lose weight, build muscle, stay active)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selects workout intensity (easy, moderate, hard)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submits form to generate plan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Workout Plan Generation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sends user input to Gemini AI via gemini_generator.py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Gemini AI returns a structured 7-day workout plan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is displayed as workout cards on result.html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Nutrition Tips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generates personalized nutrition tips alongside the workout plan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Nutrition tips are displayed on the result page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FR-4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Feedback &amp; Plan Update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can submit feedback on the generated plan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FR-4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calls gemini_flash_generator.py / updated_plan.py to regenerate plan based on feedback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can view all registered users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can view all generated plans per user (all_users.html)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Persistence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data and generated plans stored in SQLite via database.py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Non-Functional Requirements</w:t>
      </w:r>
    </w:p>
    <w:p>
      <w:r>
        <w:t xml:space="preserve">Following are the non-functional requirements of the proposed solution.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NFR No.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Non-Functional Requirement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Usability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Clean, modern UI with workout cards. Simple form with minimal required inputs. Jinja2 templates render responsive HTML.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key managed via environment variables. FastAPI input validation prevents malformed requests.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Reliability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Gemini AI API fallback handled via gemini_flash_generator.py (alternative generator). Error handling in routes.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 is async-capable, enabling fast response handling. Gemini API calls are non-blocking.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NFR-5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Runs on Uvicorn ASGI server, deployable to Render, Railway, or any cloud PaaS. Target: 99%+ uptime.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NFR-6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Scalability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 modular routing and SQLite can be migrated to PostgreSQL for production scaling. Stateless design allows horizontal scaling.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2026-03-11T13:44:37.245Z</dcterms:created>
  <dcterms:modified xsi:type="dcterms:W3CDTF">2026-03-11T13:44:37.245Z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