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4057"/>
          <w:sz w:val="32"/>
          <w:szCs w:val="32"/>
        </w:rPr>
        <w:t xml:space="preserve">Project Design Phase</w:t>
      </w:r>
    </w:p>
    <w:p>
      <w:pPr>
        <w:jc w:val="center"/>
      </w:pPr>
      <w:r>
        <w:rPr>
          <w:rFonts w:ascii="Arial" w:cs="Arial" w:eastAsia="Arial" w:hAnsi="Arial"/>
          <w:b/>
          <w:bCs/>
          <w:color w:val="4472C4"/>
          <w:sz w:val="28"/>
          <w:szCs w:val="28"/>
        </w:rPr>
        <w:t xml:space="preserve">Proposed Solution Template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February 2025</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Team 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Project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FitBuddy – AI-Powered Fitness Assistant</w:t>
            </w:r>
          </w:p>
        </w:tc>
      </w:tr>
      <w:tr>
        <w:tc>
          <w:tcPr>
            <w:tcW w:type="dxa" w:w="2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rPr>
              <w:t xml:space="preserve">Maximum Marks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Marks</w:t>
            </w:r>
          </w:p>
        </w:tc>
      </w:tr>
    </w:tbl>
    <w:p>
      <w:r>
        <w:t xml:space="preserve"/>
      </w:r>
    </w:p>
    <w:p>
      <w:pPr>
        <w:pStyle w:val="Heading2"/>
      </w:pPr>
      <w:r>
        <w:rPr>
          <w:b/>
          <w:bCs/>
        </w:rPr>
        <w:t xml:space="preserve">Proposed Solution: FitBuddy</w:t>
      </w:r>
    </w:p>
    <w:p>
      <w:r>
        <w:t xml:space="preserve">Project team has filled in the following proposed solution template for the FitBuddy AI-Powered Fitness Assistant project.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S.No.</w:t>
            </w:r>
          </w:p>
        </w:tc>
        <w:tc>
          <w:tcPr>
            <w:tcW w:type="dxa" w:w="2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Parameter</w:t>
            </w:r>
          </w:p>
        </w:tc>
        <w:tc>
          <w:tcPr>
            <w:tcW w:type="dxa" w:w="60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color w:val="2E4057"/>
              </w:rPr>
              <w:t xml:space="preserve">Problem Statement</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Users lack personalized fitness plans that adapt to their individual goals and intensity preferences. Existing fitness apps offer generic, non-adaptive routines. There is also no integrated tool that combines AI workout generation with nutrition tips and a feedback loop.</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color w:val="2E4057"/>
              </w:rPr>
              <w:t xml:space="preserve">Idea / Solution Description</w:t>
            </w:r>
          </w:p>
        </w:tc>
        <w:tc>
          <w:tcPr>
            <w:tcW w:type="dxa" w:w="60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FitBuddy is an AI-powered fitness assistant web application built with FastAPI and Google Gemini AI. Users input their fitness goal (e.g., lose weight, build muscle) and workout intensity (easy/moderate/hard), and the system generates a personalized 7-day workout plan with daily exercises and nutrition tips. Users can provide feedback to regenerate/update their plan.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color w:val="2E4057"/>
              </w:rPr>
              <w:t xml:space="preserve">Novelty / Uniqueness</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FitBuddy uniquely combines: (1) Gemini AI for intelligent, context-aware workout generation, (2) a feedback-driven plan update loop via gemini_flash_generator.py, (3) integrated nutrition guidance, and (4) an admin dashboard — all in a single lightweight FastAPI + SQLite application with a modern card-based UI.</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color w:val="2E4057"/>
              </w:rPr>
              <w:t xml:space="preserve">Social Impact / Customer Satisfaction</w:t>
            </w:r>
          </w:p>
        </w:tc>
        <w:tc>
          <w:tcPr>
            <w:tcW w:type="dxa" w:w="60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FitBuddy democratizes access to personalized fitness coaching — previously available only through expensive personal trainers. It helps users of all fitness levels build consistent habits, reduces the risk of injury from inappropriate generic routines, and improves long-term health outcomes. The feedback loop ensures plans evolve with the user.</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color w:val="2E4057"/>
              </w:rPr>
              <w:t xml:space="preserve">Business Model (Revenue Model)</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Freemium model: Free tier offers limited plan generations per month. Premium tier (subscription) offers unlimited plans, advanced AI models, nutrition tracking, and priority support. B2B model: White-label licensing to gyms, wellness apps, and corporate health programs. API monetization for third-party integrations.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color w:val="2E4057"/>
              </w:rPr>
              <w:t xml:space="preserve">Scalability of the Solution</w:t>
            </w:r>
          </w:p>
        </w:tc>
        <w:tc>
          <w:tcPr>
            <w:tcW w:type="dxa" w:w="60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FitBuddy's modular FastAPI architecture supports horizontal scaling. SQLite can be migrated to PostgreSQL for production. The AI generation layer (Gemini API) scales independently. The app can be containerized with Docker and deployed on Kubernetes or cloud PaaS (Render, Railway, AWS ECS) to handle thousands of concurrent users.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2026-03-11T13:44:37.256Z</dcterms:created>
  <dcterms:modified xsi:type="dcterms:W3CDTF">2026-03-11T13:44:37.256Z</dcterms:modified>
</cp:coreProperties>
</file>

<file path=docProps/custom.xml><?xml version="1.0" encoding="utf-8"?>
<Properties xmlns="http://schemas.openxmlformats.org/officeDocument/2006/custom-properties" xmlns:vt="http://schemas.openxmlformats.org/officeDocument/2006/docPropsVTypes"/>
</file>