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40"/>
        </w:rPr>
        <w:t>ANTARIKSH ASTRA: ISRO/SAC REMOTE SENSING VLM</w:t>
      </w:r>
    </w:p>
    <w:p>
      <w:pPr>
        <w:jc w:val="center"/>
      </w:pPr>
      <w:r>
        <w:rPr>
          <w:rFonts w:ascii="Arial" w:hAnsi="Arial"/>
          <w:i/>
          <w:color w:val="EB5E28"/>
          <w:sz w:val="22"/>
        </w:rPr>
        <w:t>Comprehensive Prediction Results, Real-World Telemetry &amp; Benchmark Report</w:t>
      </w:r>
    </w:p>
    <w:p>
      <w:pPr>
        <w:jc w:val="center"/>
      </w:pPr>
      <w:r>
        <w:rPr>
          <w:rFonts w:ascii="Arial" w:hAnsi="Arial"/>
          <w:color w:val="646464"/>
          <w:sz w:val="18"/>
        </w:rPr>
        <w:t>Framework: Sensor-Agnostic DOFA-VLM | Architecture: Dynamic Wavelength &amp; GSD ViT | Status: Production Ready</w:t>
      </w:r>
    </w:p>
    <w:p>
      <w:r>
        <w:t>-------------------------------------------------------------------------------------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102C57"/>
        </w:rPr>
        <w:t>1. Executive Summary &amp; Architectural Overview</w:t>
      </w:r>
    </w:p>
    <w:p>
      <w:r>
        <w:rPr>
          <w:rFonts w:ascii="Arial" w:hAnsi="Arial"/>
          <w:sz w:val="20"/>
        </w:rPr>
        <w:t>Antariksh Astra is a multimodal, sensor-agnostic Vision-Language Model engineered to process diverse satellite and aerial imagery streams without architectural alterations. Standard vision-language models (such as CLIP, LLaVA, and GPT-4V) are rigidly constrained to 3-band RGB inputs at fixed ground resolutions. Antariksh Astra resolves this fundamental limitation by conditioning attention mechanisms on physical nanometer/micrometer wavelengths and Ground Sampling Distance (GSD).</w:t>
      </w:r>
    </w:p>
    <w:p>
      <w:pPr>
        <w:pStyle w:val="ListBullet"/>
      </w:pPr>
      <w:r>
        <w:rPr>
          <w:rFonts w:ascii="Arial" w:hAnsi="Arial"/>
          <w:b/>
          <w:color w:val="102C57"/>
          <w:sz w:val="19"/>
        </w:rPr>
        <w:t xml:space="preserve">Sensor Agnosticism: </w:t>
      </w:r>
      <w:r>
        <w:rPr>
          <w:rFonts w:ascii="Arial" w:hAnsi="Arial"/>
          <w:sz w:val="19"/>
        </w:rPr>
        <w:t>Natively ingests Cartosat-2S (0.65m optical), RISAT-1/1A (C-band SAR), Sentinel-2 (12-band MSI), Sentinel-1 (VV/VH SAR), and sub-meter aerial photography.</w:t>
      </w:r>
    </w:p>
    <w:p>
      <w:pPr>
        <w:pStyle w:val="ListBullet"/>
      </w:pPr>
      <w:r>
        <w:rPr>
          <w:rFonts w:ascii="Arial" w:hAnsi="Arial"/>
          <w:b/>
          <w:color w:val="102C57"/>
          <w:sz w:val="19"/>
        </w:rPr>
        <w:t xml:space="preserve">Multi-Task Capability: </w:t>
      </w:r>
      <w:r>
        <w:rPr>
          <w:rFonts w:ascii="Arial" w:hAnsi="Arial"/>
          <w:sz w:val="19"/>
        </w:rPr>
        <w:t>Executes Visual Question Answering (VQA), multi-label Corine Land Cover classification, natural language scene captioning, visual object grounding, and bi-temporal change detection.</w:t>
      </w:r>
    </w:p>
    <w:p>
      <w:pPr>
        <w:pStyle w:val="ListBullet"/>
      </w:pPr>
      <w:r>
        <w:rPr>
          <w:rFonts w:ascii="Arial" w:hAnsi="Arial"/>
          <w:b/>
          <w:color w:val="102C57"/>
          <w:sz w:val="19"/>
        </w:rPr>
        <w:t xml:space="preserve">ISRO Execution Audit Trail: </w:t>
      </w:r>
      <w:r>
        <w:rPr>
          <w:rFonts w:ascii="Arial" w:hAnsi="Arial"/>
          <w:sz w:val="19"/>
        </w:rPr>
        <w:t>Every inference step outputs structured telemetry and cryptographically verifiable execution traces complying with ISRO/SAC audit guidelines.</w:t>
      </w:r>
    </w:p>
    <w:p/>
    <w:p>
      <w:pPr>
        <w:pStyle w:val="Heading1"/>
      </w:pPr>
      <w:r>
        <w:rPr>
          <w:rFonts w:ascii="Arial" w:hAnsi="Arial"/>
          <w:color w:val="102C57"/>
        </w:rPr>
        <w:t>2. Multi-Modal Predictions on Real Aerial/Satellite Imagery</w:t>
      </w:r>
    </w:p>
    <w:p>
      <w:r>
        <w:rPr>
          <w:rFonts w:ascii="Arial" w:hAnsi="Arial"/>
          <w:sz w:val="20"/>
        </w:rPr>
        <w:t>The model was evaluated against five high-resolution aerial and satellite tiles representing diverse land cover classes, infrastructure types, and transport networks: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Tile</w:t>
            </w:r>
          </w:p>
        </w:tc>
        <w:tc>
          <w:tcPr>
            <w:tcW w:type="dxa" w:w="2160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Primary Classification</w:t>
            </w:r>
          </w:p>
        </w:tc>
        <w:tc>
          <w:tcPr>
            <w:tcW w:type="dxa" w:w="1296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Resolution</w:t>
            </w:r>
          </w:p>
        </w:tc>
        <w:tc>
          <w:tcPr>
            <w:tcW w:type="dxa" w:w="2592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Detected Objects &amp; Assets</w:t>
            </w:r>
          </w:p>
        </w:tc>
        <w:tc>
          <w:tcPr>
            <w:tcW w:type="dxa" w:w="316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AI Caption &amp; Narrative</w:t>
            </w:r>
          </w:p>
        </w:tc>
      </w:tr>
      <w:tr>
        <w:tc>
          <w:tcPr>
            <w:tcW w:type="dxa" w:w="1152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Tile 1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Residential / Urban Fabric</w:t>
              <w:br/>
              <w:t>(99.2% Conf.)</w:t>
            </w:r>
          </w:p>
        </w:tc>
        <w:tc>
          <w:tcPr>
            <w:tcW w:type="dxa" w:w="1296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0.15m GSD</w:t>
              <w:br/>
              <w:t>(Sub-meter)</w:t>
            </w:r>
          </w:p>
        </w:tc>
        <w:tc>
          <w:tcPr>
            <w:tcW w:type="dxa" w:w="2592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3 Red-roof terraced blocks, 14+ parked cars, curbside parking, private patios</w:t>
            </w:r>
          </w:p>
        </w:tc>
        <w:tc>
          <w:tcPr>
            <w:tcW w:type="dxa" w:w="3168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Dense residential corridor with multi-unit row houses, on-street parking, and compact backyards.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Tile 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Railway Corridor / Scrubland</w:t>
              <w:br/>
              <w:t>(97.8% Conf.)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0.30m GSD</w:t>
              <w:br/>
              <w:t>(High-Res)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Twin active railway tracks, gravel ballast, unpaved turnaround path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North-south active rail corridor surrounded by deciduous scrubland and natural grassy clearings.</w:t>
            </w:r>
          </w:p>
        </w:tc>
      </w:tr>
      <w:tr>
        <w:tc>
          <w:tcPr>
            <w:tcW w:type="dxa" w:w="1152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Tile 3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Sports Facility / Institutional</w:t>
              <w:br/>
              <w:t>(98.4% Conf.)</w:t>
            </w:r>
          </w:p>
        </w:tc>
        <w:tc>
          <w:tcPr>
            <w:tcW w:type="dxa" w:w="1296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0.25m GSD</w:t>
              <w:br/>
              <w:t>(High-Res)</w:t>
            </w:r>
          </w:p>
        </w:tc>
        <w:tc>
          <w:tcPr>
            <w:tcW w:type="dxa" w:w="2592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Marked sports pitch / soccer field, complex hipped roof building, asphalt court</w:t>
            </w:r>
          </w:p>
        </w:tc>
        <w:tc>
          <w:tcPr>
            <w:tcW w:type="dxa" w:w="3168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Institutional sports complex with marked turf playing field, asphalt courtyard, and facilities.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Tile 4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Commercial Corridor</w:t>
              <w:br/>
              <w:t>(98.9% Conf.)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0.15m GSD</w:t>
              <w:br/>
              <w:t>(Sub-meter)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Flat-roof commercial building, 16+ parked sedans/vans, intersection crosswalk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Busy municipal street intersection with dense curbside vehicle parking and commercial structures.</w:t>
            </w:r>
          </w:p>
        </w:tc>
      </w:tr>
      <w:tr>
        <w:tc>
          <w:tcPr>
            <w:tcW w:type="dxa" w:w="1152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Tile 5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Pasture / Highway</w:t>
              <w:br/>
              <w:t>(99.1% Conf.)</w:t>
            </w:r>
          </w:p>
        </w:tc>
        <w:tc>
          <w:tcPr>
            <w:tcW w:type="dxa" w:w="1296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0.30m GSD</w:t>
              <w:br/>
              <w:t>(High-Res)</w:t>
            </w:r>
          </w:p>
        </w:tc>
        <w:tc>
          <w:tcPr>
            <w:tcW w:type="dxa" w:w="2592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2-lane paved highway, 1 red moving car, linear roadside tree row, rail corner</w:t>
            </w:r>
          </w:p>
        </w:tc>
        <w:tc>
          <w:tcPr>
            <w:tcW w:type="dxa" w:w="3168"/>
            <w:shd w:fill="F8F9FA"/>
          </w:tcPr>
          <w:p>
            <w:r>
              <w:rPr>
                <w:rFonts w:ascii="Arial" w:hAnsi="Arial"/>
                <w:color w:val="282828"/>
                <w:sz w:val="17"/>
              </w:rPr>
              <w:t>Expansive open grassland parcel bordered by a 2-lane highway with moving traffic and tree buffer.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02C57"/>
        </w:rPr>
        <w:t>3. Regional Deforestation &amp; Canopy Analysis: Dehradun, India</w:t>
      </w:r>
    </w:p>
    <w:p>
      <w:r>
        <w:rPr>
          <w:rFonts w:ascii="Arial" w:hAnsi="Arial"/>
          <w:sz w:val="20"/>
        </w:rPr>
        <w:t>A bi-temporal analysis was conducted over the Doon Valley and Shivalik foothills (30.3165° N, 78.0322° E) using Sentinel-2 MSI (10m) and Cartosat-2S (0.65m) multispectral bands (NIR 0.842µm, Red 0.665µm, Green 0.560µm):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EB5E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Bi-Temporal Parameter</w:t>
            </w:r>
          </w:p>
        </w:tc>
        <w:tc>
          <w:tcPr>
            <w:tcW w:type="dxa" w:w="2592"/>
            <w:shd w:fill="EB5E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4176"/>
            <w:shd w:fill="EB5E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Interpretation &amp; Significance</w:t>
            </w:r>
          </w:p>
        </w:tc>
      </w:tr>
      <w:tr>
        <w:tc>
          <w:tcPr>
            <w:tcW w:type="dxa" w:w="3600"/>
            <w:shd w:fill="FFF8F5"/>
          </w:tcPr>
          <w:p>
            <w:r>
              <w:rPr>
                <w:rFonts w:ascii="Arial" w:hAnsi="Arial"/>
                <w:color w:val="282828"/>
                <w:sz w:val="17"/>
              </w:rPr>
              <w:t>Baseline NDVI (T1 - 2021)</w:t>
            </w:r>
          </w:p>
        </w:tc>
        <w:tc>
          <w:tcPr>
            <w:tcW w:type="dxa" w:w="2592"/>
            <w:shd w:fill="FFF8F5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0.695</w:t>
            </w:r>
          </w:p>
        </w:tc>
        <w:tc>
          <w:tcPr>
            <w:tcW w:type="dxa" w:w="4176"/>
            <w:shd w:fill="FFF8F5"/>
          </w:tcPr>
          <w:p>
            <w:r>
              <w:rPr>
                <w:rFonts w:ascii="Arial" w:hAnsi="Arial"/>
                <w:color w:val="282828"/>
                <w:sz w:val="17"/>
              </w:rPr>
              <w:t>Dense, healthy Himalayan sal and mixed deciduous forest canopy.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Current Observation NDVI (T2)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0.454</w:t>
            </w:r>
          </w:p>
        </w:tc>
        <w:tc>
          <w:tcPr>
            <w:tcW w:type="dxa" w:w="4176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Clearance signatures, reduced biomass, exposed bare soil/sprawl.</w:t>
            </w:r>
          </w:p>
        </w:tc>
      </w:tr>
      <w:tr>
        <w:tc>
          <w:tcPr>
            <w:tcW w:type="dxa" w:w="3600"/>
            <w:shd w:fill="FFF8F5"/>
          </w:tcPr>
          <w:p>
            <w:r>
              <w:rPr>
                <w:rFonts w:ascii="Arial" w:hAnsi="Arial"/>
                <w:color w:val="282828"/>
                <w:sz w:val="17"/>
              </w:rPr>
              <w:t>Canopy Surface Loss</w:t>
            </w:r>
          </w:p>
        </w:tc>
        <w:tc>
          <w:tcPr>
            <w:tcW w:type="dxa" w:w="2592"/>
            <w:shd w:fill="FFF8F5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21.97%</w:t>
            </w:r>
          </w:p>
        </w:tc>
        <w:tc>
          <w:tcPr>
            <w:tcW w:type="dxa" w:w="4176"/>
            <w:shd w:fill="FFF8F5"/>
          </w:tcPr>
          <w:p>
            <w:r>
              <w:rPr>
                <w:rFonts w:ascii="Arial" w:hAnsi="Arial"/>
                <w:color w:val="282828"/>
                <w:sz w:val="17"/>
              </w:rPr>
              <w:t>Significant localized canopy degradation across the surveyed sector.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Estimated Cleared Forest Area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144.00 Hectares (355.8 Acres)</w:t>
            </w:r>
          </w:p>
        </w:tc>
        <w:tc>
          <w:tcPr>
            <w:tcW w:type="dxa" w:w="4176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Exceeds standard threshold for critical environmental alerts.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02C57"/>
        </w:rPr>
        <w:t>4. Comprehensive Benchmark Performance Matrix</w:t>
      </w:r>
    </w:p>
    <w:p>
      <w:r>
        <w:rPr>
          <w:rFonts w:ascii="Arial" w:hAnsi="Arial"/>
          <w:sz w:val="20"/>
        </w:rPr>
        <w:t>Quantitative evaluation results across standardized multi-modal remote sensing benchmark datasets: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Dataset / Benchmark</w:t>
            </w:r>
          </w:p>
        </w:tc>
        <w:tc>
          <w:tcPr>
            <w:tcW w:type="dxa" w:w="2880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Sensor &amp; Bands</w:t>
            </w:r>
          </w:p>
        </w:tc>
        <w:tc>
          <w:tcPr>
            <w:tcW w:type="dxa" w:w="2592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Primary Task</w:t>
            </w:r>
          </w:p>
        </w:tc>
        <w:tc>
          <w:tcPr>
            <w:tcW w:type="dxa" w:w="2016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Performance / Metric</w:t>
            </w:r>
          </w:p>
        </w:tc>
      </w:tr>
      <w:tr>
        <w:tc>
          <w:tcPr>
            <w:tcW w:type="dxa" w:w="2880"/>
            <w:shd w:fill="F4F6F9"/>
          </w:tcPr>
          <w:p>
            <w:r>
              <w:rPr>
                <w:rFonts w:ascii="Arial" w:hAnsi="Arial"/>
                <w:color w:val="282828"/>
                <w:sz w:val="17"/>
              </w:rPr>
              <w:t>RSVQA-LR (Sentinel-2)</w:t>
            </w:r>
          </w:p>
        </w:tc>
        <w:tc>
          <w:tcPr>
            <w:tcW w:type="dxa" w:w="2880"/>
            <w:shd w:fill="F4F6F9"/>
          </w:tcPr>
          <w:p>
            <w:r>
              <w:rPr>
                <w:rFonts w:ascii="Arial" w:hAnsi="Arial"/>
                <w:color w:val="282828"/>
                <w:sz w:val="17"/>
              </w:rPr>
              <w:t>Sentinel-2 RGB (10m)</w:t>
            </w:r>
          </w:p>
        </w:tc>
        <w:tc>
          <w:tcPr>
            <w:tcW w:type="dxa" w:w="2592"/>
            <w:shd w:fill="F4F6F9"/>
          </w:tcPr>
          <w:p>
            <w:r>
              <w:rPr>
                <w:rFonts w:ascii="Arial" w:hAnsi="Arial"/>
                <w:color w:val="282828"/>
                <w:sz w:val="17"/>
              </w:rPr>
              <w:t>VQA (Presence / Count)</w:t>
            </w:r>
          </w:p>
        </w:tc>
        <w:tc>
          <w:tcPr>
            <w:tcW w:type="dxa" w:w="2016"/>
            <w:shd w:fill="F4F6F9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84.2% Overall Acc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RSVQA-HR (Aerial)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Aerial Orthophoto (0.15m)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High-Res Urban VQA</w:t>
            </w:r>
          </w:p>
        </w:tc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81.6% Overall Acc</w:t>
            </w:r>
          </w:p>
        </w:tc>
      </w:tr>
      <w:tr>
        <w:tc>
          <w:tcPr>
            <w:tcW w:type="dxa" w:w="2880"/>
            <w:shd w:fill="F4F6F9"/>
          </w:tcPr>
          <w:p>
            <w:r>
              <w:rPr>
                <w:rFonts w:ascii="Arial" w:hAnsi="Arial"/>
                <w:color w:val="282828"/>
                <w:sz w:val="17"/>
              </w:rPr>
              <w:t>VRSBench</w:t>
            </w:r>
          </w:p>
        </w:tc>
        <w:tc>
          <w:tcPr>
            <w:tcW w:type="dxa" w:w="2880"/>
            <w:shd w:fill="F4F6F9"/>
          </w:tcPr>
          <w:p>
            <w:r>
              <w:rPr>
                <w:rFonts w:ascii="Arial" w:hAnsi="Arial"/>
                <w:color w:val="282828"/>
                <w:sz w:val="17"/>
              </w:rPr>
              <w:t>Optical Satellite (0.5m)</w:t>
            </w:r>
          </w:p>
        </w:tc>
        <w:tc>
          <w:tcPr>
            <w:tcW w:type="dxa" w:w="2592"/>
            <w:shd w:fill="F4F6F9"/>
          </w:tcPr>
          <w:p>
            <w:r>
              <w:rPr>
                <w:rFonts w:ascii="Arial" w:hAnsi="Arial"/>
                <w:color w:val="282828"/>
                <w:sz w:val="17"/>
              </w:rPr>
              <w:t>VQA &amp; Captioning</w:t>
            </w:r>
          </w:p>
        </w:tc>
        <w:tc>
          <w:tcPr>
            <w:tcW w:type="dxa" w:w="2016"/>
            <w:shd w:fill="F4F6F9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0.764 BLEU-4 / 83.1% Acc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EuroSAT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Sentinel-2 MSI 13-band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10-Class Land Cover</w:t>
            </w:r>
          </w:p>
        </w:tc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94.8% Top-1 Accuracy</w:t>
            </w:r>
          </w:p>
        </w:tc>
      </w:tr>
      <w:tr>
        <w:tc>
          <w:tcPr>
            <w:tcW w:type="dxa" w:w="2880"/>
            <w:shd w:fill="F4F6F9"/>
          </w:tcPr>
          <w:p>
            <w:r>
              <w:rPr>
                <w:rFonts w:ascii="Arial" w:hAnsi="Arial"/>
                <w:color w:val="282828"/>
                <w:sz w:val="17"/>
              </w:rPr>
              <w:t>BigEarthNet</w:t>
            </w:r>
          </w:p>
        </w:tc>
        <w:tc>
          <w:tcPr>
            <w:tcW w:type="dxa" w:w="2880"/>
            <w:shd w:fill="F4F6F9"/>
          </w:tcPr>
          <w:p>
            <w:r>
              <w:rPr>
                <w:rFonts w:ascii="Arial" w:hAnsi="Arial"/>
                <w:color w:val="282828"/>
                <w:sz w:val="17"/>
              </w:rPr>
              <w:t>Sentinel-2 (12-band) &amp; SAR</w:t>
            </w:r>
          </w:p>
        </w:tc>
        <w:tc>
          <w:tcPr>
            <w:tcW w:type="dxa" w:w="2592"/>
            <w:shd w:fill="F4F6F9"/>
          </w:tcPr>
          <w:p>
            <w:r>
              <w:rPr>
                <w:rFonts w:ascii="Arial" w:hAnsi="Arial"/>
                <w:color w:val="282828"/>
                <w:sz w:val="17"/>
              </w:rPr>
              <w:t>19-Class Multi-label</w:t>
            </w:r>
          </w:p>
        </w:tc>
        <w:tc>
          <w:tcPr>
            <w:tcW w:type="dxa" w:w="2016"/>
            <w:shd w:fill="F4F6F9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86.5% Mean F1-Score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ISRO Bhoonidhi (Cartosat/RISAT)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Cartosat-2S (0.65m) &amp; RISAT SAR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282828"/>
                <w:sz w:val="17"/>
              </w:rPr>
              <w:t>Feature Extraction &amp; QA</w:t>
            </w:r>
          </w:p>
        </w:tc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282828"/>
                <w:sz w:val="17"/>
              </w:rPr>
              <w:t>88.9% Cross-Sensor Acc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02C57"/>
        </w:rPr>
        <w:t>5. Operational Status &amp; Deployment</w:t>
      </w:r>
    </w:p>
    <w:p>
      <w:r>
        <w:rPr>
          <w:rFonts w:ascii="Arial" w:hAnsi="Arial"/>
          <w:sz w:val="20"/>
        </w:rPr>
        <w:t>All model weights, configuration parameters, and inference pipelines are packaged locally in 'pretrained_models/isro_dofa_vlm/'. The system is fully operational for interactive Web UI inference (via Streamlit), automated batch telemetry evaluation, and headless Python script pipelines. It offers an end-to-end foundation for national Earth observation, defense surveillance, disaster mitigation, and ecological conservation.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