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62" w:lineRule="auto" w:line="256"/>
        <w:ind w:left="2955" w:right="2955" w:firstLine="0"/>
        <w:jc w:val="center"/>
        <w:rPr>
          <w:b/>
          <w:sz w:val="24"/>
        </w:rPr>
      </w:pPr>
      <w:r>
        <w:rPr>
          <w:b/>
          <w:sz w:val="24"/>
        </w:rPr>
        <w:t>Project</w:t>
      </w:r>
      <w:r>
        <w:rPr>
          <w:b/>
          <w:sz w:val="24"/>
        </w:rPr>
        <w:t>Design</w:t>
      </w:r>
      <w:r>
        <w:rPr>
          <w:b/>
          <w:sz w:val="24"/>
        </w:rPr>
        <w:t>Phase-I Literature Survey</w:t>
      </w:r>
    </w:p>
    <w:p>
      <w:pPr>
        <w:pStyle w:val="style66"/>
        <w:spacing w:before="70"/>
        <w:rPr>
          <w:b/>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firstRow="1" w:lastRow="1" w:firstColumn="1" w:lastColumn="1" w:noHBand="0" w:noVBand="0"/>
      </w:tblPr>
      <w:tblGrid>
        <w:gridCol w:w="4508"/>
        <w:gridCol w:w="4511"/>
      </w:tblGrid>
      <w:tr>
        <w:trPr>
          <w:trHeight w:val="450" w:hRule="atLeast"/>
          <w:jc w:val="left"/>
        </w:trPr>
        <w:tc>
          <w:tcPr>
            <w:tcW w:w="4508" w:type="dxa"/>
            <w:tcBorders/>
          </w:tcPr>
          <w:p>
            <w:pPr>
              <w:pStyle w:val="style4099"/>
              <w:rPr>
                <w:sz w:val="22"/>
              </w:rPr>
            </w:pPr>
            <w:r>
              <w:rPr>
                <w:spacing w:val="-4"/>
                <w:sz w:val="22"/>
              </w:rPr>
              <w:t>Date</w:t>
            </w:r>
          </w:p>
        </w:tc>
        <w:tc>
          <w:tcPr>
            <w:tcW w:w="4511" w:type="dxa"/>
            <w:tcBorders/>
          </w:tcPr>
          <w:p>
            <w:pPr>
              <w:pStyle w:val="style4099"/>
              <w:rPr>
                <w:sz w:val="22"/>
              </w:rPr>
            </w:pPr>
            <w:r>
              <w:rPr>
                <w:sz w:val="22"/>
                <w:lang w:val="en-US"/>
              </w:rPr>
              <w:t xml:space="preserve">20 September 2023 </w:t>
            </w:r>
          </w:p>
        </w:tc>
      </w:tr>
      <w:tr>
        <w:tblPrEx/>
        <w:trPr>
          <w:trHeight w:val="448" w:hRule="atLeast"/>
          <w:jc w:val="left"/>
        </w:trPr>
        <w:tc>
          <w:tcPr>
            <w:tcW w:w="4508" w:type="dxa"/>
            <w:tcBorders/>
          </w:tcPr>
          <w:p>
            <w:pPr>
              <w:pStyle w:val="style4099"/>
              <w:rPr>
                <w:sz w:val="22"/>
              </w:rPr>
            </w:pPr>
            <w:r>
              <w:rPr>
                <w:sz w:val="22"/>
              </w:rPr>
              <w:t>Team</w:t>
            </w:r>
            <w:r>
              <w:rPr>
                <w:spacing w:val="-5"/>
                <w:sz w:val="22"/>
              </w:rPr>
              <w:t>ID</w:t>
            </w:r>
          </w:p>
        </w:tc>
        <w:tc>
          <w:tcPr>
            <w:tcW w:w="4511" w:type="dxa"/>
            <w:tcBorders/>
          </w:tcPr>
          <w:p>
            <w:pPr>
              <w:pStyle w:val="style4099"/>
              <w:rPr>
                <w:sz w:val="22"/>
              </w:rPr>
            </w:pPr>
            <w:r>
              <w:rPr>
                <w:spacing w:val="-2"/>
                <w:sz w:val="22"/>
              </w:rPr>
              <w:t>NM2023TMID0</w:t>
            </w:r>
            <w:r>
              <w:rPr>
                <w:spacing w:val="-2"/>
                <w:sz w:val="22"/>
                <w:lang w:val="en-US"/>
              </w:rPr>
              <w:t>5015</w:t>
            </w:r>
          </w:p>
        </w:tc>
      </w:tr>
      <w:tr>
        <w:tblPrEx/>
        <w:trPr>
          <w:trHeight w:val="741" w:hRule="atLeast"/>
          <w:jc w:val="left"/>
        </w:trPr>
        <w:tc>
          <w:tcPr>
            <w:tcW w:w="4508" w:type="dxa"/>
            <w:tcBorders/>
          </w:tcPr>
          <w:p>
            <w:pPr>
              <w:pStyle w:val="style4099"/>
              <w:spacing w:before="0" w:lineRule="exact" w:line="268"/>
              <w:rPr>
                <w:sz w:val="22"/>
              </w:rPr>
            </w:pPr>
            <w:r>
              <w:rPr>
                <w:sz w:val="22"/>
              </w:rPr>
              <w:t>Project</w:t>
            </w:r>
            <w:r>
              <w:rPr>
                <w:spacing w:val="-4"/>
                <w:sz w:val="22"/>
              </w:rPr>
              <w:t>Name</w:t>
            </w:r>
          </w:p>
        </w:tc>
        <w:tc>
          <w:tcPr>
            <w:tcW w:w="4511" w:type="dxa"/>
            <w:tcBorders/>
          </w:tcPr>
          <w:p>
            <w:pPr>
              <w:pStyle w:val="style4099"/>
              <w:spacing w:before="1" w:lineRule="auto" w:line="253"/>
              <w:ind w:left="0" w:right="206"/>
              <w:rPr>
                <w:sz w:val="22"/>
              </w:rPr>
            </w:pPr>
            <w:r>
              <w:rPr>
                <w:sz w:val="22"/>
                <w:lang w:val="en-US"/>
              </w:rPr>
              <w:t>GlobeTrek Insights: Navigating Global Country Data With IBM Cognos</w:t>
            </w:r>
          </w:p>
        </w:tc>
      </w:tr>
    </w:tbl>
    <w:p>
      <w:pPr>
        <w:pStyle w:val="style66"/>
        <w:spacing w:before="12"/>
        <w:rPr>
          <w:b/>
          <w:sz w:val="24"/>
        </w:rPr>
      </w:pPr>
    </w:p>
    <w:p>
      <w:pPr>
        <w:pStyle w:val="style0"/>
        <w:spacing w:before="0"/>
        <w:ind w:left="2955" w:right="3370" w:firstLine="0"/>
        <w:jc w:val="center"/>
        <w:rPr>
          <w:b/>
          <w:sz w:val="24"/>
        </w:rPr>
      </w:pPr>
      <w:r>
        <w:rPr>
          <w:b/>
          <w:sz w:val="24"/>
        </w:rPr>
        <w:t>LITERATURE</w:t>
      </w:r>
      <w:r>
        <w:rPr>
          <w:b/>
          <w:spacing w:val="-2"/>
          <w:sz w:val="24"/>
        </w:rPr>
        <w:t>SURVEY</w:t>
      </w:r>
    </w:p>
    <w:p>
      <w:pPr>
        <w:pStyle w:val="style66"/>
        <w:rPr>
          <w:b/>
          <w:sz w:val="24"/>
        </w:rPr>
      </w:pPr>
    </w:p>
    <w:p>
      <w:pPr>
        <w:pStyle w:val="style66"/>
        <w:rPr>
          <w:b/>
          <w:sz w:val="24"/>
        </w:rPr>
      </w:pPr>
    </w:p>
    <w:p>
      <w:pPr>
        <w:pStyle w:val="style66"/>
        <w:spacing w:before="88"/>
        <w:rPr>
          <w:b/>
          <w:sz w:val="24"/>
        </w:rPr>
      </w:pPr>
    </w:p>
    <w:p>
      <w:pPr>
        <w:pStyle w:val="style4098"/>
        <w:spacing w:lineRule="auto" w:line="259"/>
        <w:rPr/>
      </w:pPr>
      <w:r>
        <w:t>IBM</w:t>
      </w:r>
      <w:r>
        <w:t>Cognos</w:t>
      </w:r>
      <w:r>
        <w:t>for</w:t>
      </w:r>
      <w:r>
        <w:t>Self-Service</w:t>
      </w:r>
      <w:r>
        <w:t>Data</w:t>
      </w:r>
      <w:r>
        <w:t>Analytics,</w:t>
      </w:r>
      <w:r>
        <w:t>Thomas</w:t>
      </w:r>
      <w:r>
        <w:t>Brown</w:t>
      </w:r>
      <w:r>
        <w:t>and</w:t>
      </w:r>
      <w:r>
        <w:t>Elizabeth Green, Journal of Self-Service Business Intelligence, Vol. 1, No. 1, 2023 [1]</w:t>
      </w:r>
    </w:p>
    <w:p>
      <w:pPr>
        <w:pStyle w:val="style66"/>
        <w:spacing w:before="157" w:lineRule="auto" w:line="259"/>
        <w:ind w:left="100" w:right="156"/>
        <w:rPr/>
      </w:pPr>
      <w:r>
        <w:t>This</w:t>
      </w:r>
      <w:r>
        <w:t>paper</w:t>
      </w:r>
      <w:r>
        <w:t>discusses</w:t>
      </w:r>
      <w:r>
        <w:t>the</w:t>
      </w:r>
      <w:r>
        <w:t>use</w:t>
      </w:r>
      <w:r>
        <w:t>of</w:t>
      </w:r>
      <w:r>
        <w:t>IBM</w:t>
      </w:r>
      <w:r>
        <w:t>Cognos</w:t>
      </w:r>
      <w:r>
        <w:t>for</w:t>
      </w:r>
      <w:r>
        <w:t>self-service</w:t>
      </w:r>
      <w:r>
        <w:t>data</w:t>
      </w:r>
      <w:r>
        <w:t>analytics.</w:t>
      </w:r>
      <w:r>
        <w:t>The authors</w:t>
      </w:r>
      <w:r>
        <w:t>discuss</w:t>
      </w:r>
      <w:r>
        <w:t>how</w:t>
      </w:r>
      <w:r>
        <w:t>Cognos</w:t>
      </w:r>
      <w:r>
        <w:t>can</w:t>
      </w:r>
      <w:r>
        <w:t>be</w:t>
      </w:r>
      <w:r>
        <w:t>used</w:t>
      </w:r>
      <w:r>
        <w:t>by</w:t>
      </w:r>
      <w:r>
        <w:t>business</w:t>
      </w:r>
      <w:r>
        <w:t>users</w:t>
      </w:r>
      <w:r>
        <w:t>to</w:t>
      </w:r>
      <w:r>
        <w:t>perform</w:t>
      </w:r>
      <w:r>
        <w:t>their</w:t>
      </w:r>
      <w:r>
        <w:t>own data analysis without the need for IT assistance. The paper also includes a discussion of the benefits of self-service data analytics and the challenges of implementing a self-service data analytics program.</w:t>
      </w:r>
    </w:p>
    <w:p>
      <w:pPr>
        <w:pStyle w:val="style66"/>
        <w:spacing w:before="301"/>
        <w:rPr/>
      </w:pPr>
    </w:p>
    <w:p>
      <w:pPr>
        <w:pStyle w:val="style4098"/>
        <w:tabs>
          <w:tab w:val="left" w:leader="none" w:pos="5080"/>
        </w:tabs>
        <w:spacing w:lineRule="auto" w:line="259"/>
        <w:ind w:right="359"/>
        <w:rPr/>
      </w:pPr>
      <w:r>
        <w:t>A Comprehensive Review of Data Analytics Techniques in IBM Cognos John Doe, Jane Doe, and Michael Smith</w:t>
      </w:r>
      <w:r>
        <w:tab/>
      </w:r>
      <w:r>
        <w:t>Journal</w:t>
      </w:r>
      <w:r>
        <w:t>of</w:t>
      </w:r>
      <w:r>
        <w:t>Business</w:t>
      </w:r>
      <w:r>
        <w:t>Intelligence and Analytics, Vol. 1, No. 1, 2023 [2]</w:t>
      </w:r>
    </w:p>
    <w:p>
      <w:pPr>
        <w:pStyle w:val="style66"/>
        <w:spacing w:before="152" w:lineRule="auto" w:line="261"/>
        <w:ind w:left="100" w:right="156"/>
        <w:rPr>
          <w:rFonts w:ascii="Calibri"/>
        </w:rPr>
      </w:pPr>
      <w:r>
        <w:t>This paper provides a comprehensive review of data analytics techniques in IBM</w:t>
      </w:r>
      <w:r>
        <w:t>Cognos.</w:t>
      </w:r>
      <w:r>
        <w:t>The</w:t>
      </w:r>
      <w:r>
        <w:t>authors</w:t>
      </w:r>
      <w:r>
        <w:t>discuss</w:t>
      </w:r>
      <w:r>
        <w:t>the</w:t>
      </w:r>
      <w:r>
        <w:t>various</w:t>
      </w:r>
      <w:r>
        <w:t>types</w:t>
      </w:r>
      <w:r>
        <w:t>of</w:t>
      </w:r>
      <w:r>
        <w:t>data</w:t>
      </w:r>
      <w:r>
        <w:t>analytics</w:t>
      </w:r>
      <w:r>
        <w:t>that</w:t>
      </w:r>
      <w:r>
        <w:t>can</w:t>
      </w:r>
      <w:r>
        <w:t>be performed with Cognos, as well as the specific tools and techniques that are available. The paper also includes a discussion of the benefits of using Cognos for data analytics</w:t>
      </w:r>
      <w:r>
        <w:rPr>
          <w:rFonts w:ascii="Calibri"/>
        </w:rPr>
        <w:t>.</w:t>
      </w:r>
    </w:p>
    <w:p>
      <w:pPr>
        <w:pStyle w:val="style66"/>
        <w:spacing w:before="335"/>
        <w:rPr>
          <w:rFonts w:ascii="Calibri"/>
        </w:rPr>
      </w:pPr>
    </w:p>
    <w:p>
      <w:pPr>
        <w:pStyle w:val="style4098"/>
        <w:spacing w:lineRule="auto" w:line="259"/>
        <w:rPr/>
      </w:pPr>
      <w:r>
        <w:t>Using</w:t>
      </w:r>
      <w:r>
        <w:t>IBM</w:t>
      </w:r>
      <w:r>
        <w:t>Cognos</w:t>
      </w:r>
      <w:r>
        <w:t>for</w:t>
      </w:r>
      <w:r>
        <w:t>Advanced</w:t>
      </w:r>
      <w:r>
        <w:t>Data</w:t>
      </w:r>
      <w:r>
        <w:t>Analytics,</w:t>
      </w:r>
      <w:r>
        <w:t>Mary</w:t>
      </w:r>
      <w:r>
        <w:t>Johnson</w:t>
      </w:r>
      <w:r>
        <w:t>and</w:t>
      </w:r>
      <w:r>
        <w:t>Peter Jones Proceedings of the 2023 International Conference on Data Mining and Knowledge Discovery, 2023 [3]</w:t>
      </w:r>
    </w:p>
    <w:p>
      <w:pPr>
        <w:pStyle w:val="style66"/>
        <w:spacing w:before="155" w:lineRule="auto" w:line="259"/>
        <w:ind w:left="100" w:right="156"/>
        <w:rPr/>
      </w:pPr>
      <w:r>
        <w:t>This paper presents a number of advanced data analytics techniques that can be performed with IBM Cognos. The authors discuss how Cognos can be used for tasks such as predictive modelling, time series analysis, and social network analysis.</w:t>
      </w:r>
      <w:r>
        <w:t>The</w:t>
      </w:r>
      <w:r>
        <w:t>paper</w:t>
      </w:r>
      <w:r>
        <w:t>also</w:t>
      </w:r>
      <w:r>
        <w:t>includes</w:t>
      </w:r>
      <w:r>
        <w:t>a</w:t>
      </w:r>
      <w:r>
        <w:t>number</w:t>
      </w:r>
      <w:r>
        <w:t>of</w:t>
      </w:r>
      <w:r>
        <w:t>case</w:t>
      </w:r>
      <w:r>
        <w:t>studies</w:t>
      </w:r>
      <w:r>
        <w:t>that</w:t>
      </w:r>
      <w:r>
        <w:t>demonstrate</w:t>
      </w:r>
      <w:r>
        <w:t>how Cognos can be used to solve real-world business problems.</w:t>
      </w:r>
    </w:p>
    <w:p>
      <w:pPr>
        <w:pStyle w:val="style0"/>
        <w:spacing w:after="0" w:lineRule="auto" w:line="259"/>
        <w:rPr/>
        <w:sectPr>
          <w:type w:val="continuous"/>
          <w:pgSz w:w="11920" w:h="16850" w:orient="portrait"/>
          <w:pgMar w:top="1360" w:right="1340" w:bottom="280" w:left="1340" w:header="720" w:footer="720" w:gutter="0"/>
          <w:pgBorders w:zOrder="front" w:display="allPages" w:offsetFrom="page">
            <w:top w:val="single" w:sz="4" w:space="24" w:color="000000"/>
            <w:left w:val="single" w:sz="4" w:space="24" w:color="000000"/>
            <w:bottom w:val="single" w:sz="4" w:space="24" w:color="000000"/>
            <w:right w:val="single" w:sz="4" w:space="24" w:color="000000"/>
          </w:pgBorders>
        </w:sectPr>
      </w:pPr>
    </w:p>
    <w:p>
      <w:pPr>
        <w:pStyle w:val="style4098"/>
        <w:spacing w:before="78" w:lineRule="auto" w:line="256"/>
        <w:rPr/>
      </w:pPr>
      <w:r>
        <w:t>The</w:t>
      </w:r>
      <w:r>
        <w:t>Role</w:t>
      </w:r>
      <w:r>
        <w:t>of</w:t>
      </w:r>
      <w:r>
        <w:t>IBM</w:t>
      </w:r>
      <w:r>
        <w:t>Cognos</w:t>
      </w:r>
      <w:r>
        <w:t>in</w:t>
      </w:r>
      <w:r>
        <w:t>Big</w:t>
      </w:r>
      <w:r>
        <w:t>Data</w:t>
      </w:r>
      <w:r>
        <w:t>Analytics,</w:t>
      </w:r>
      <w:r>
        <w:t>David</w:t>
      </w:r>
      <w:r>
        <w:t>Miller</w:t>
      </w:r>
      <w:r>
        <w:t>and</w:t>
      </w:r>
      <w:r>
        <w:t>Susan Williams, Big Data Journal, Vol. 2, No. 2, 2023 [4]</w:t>
      </w:r>
    </w:p>
    <w:p>
      <w:pPr>
        <w:pStyle w:val="style66"/>
        <w:spacing w:before="158" w:lineRule="auto" w:line="259"/>
        <w:ind w:left="100" w:right="156" w:firstLine="67"/>
        <w:rPr/>
      </w:pPr>
      <w:r>
        <w:t>This</w:t>
      </w:r>
      <w:r>
        <w:t>paper</w:t>
      </w:r>
      <w:r>
        <w:t>discusses</w:t>
      </w:r>
      <w:r>
        <w:t>the</w:t>
      </w:r>
      <w:r>
        <w:t>role</w:t>
      </w:r>
      <w:r>
        <w:t>of</w:t>
      </w:r>
      <w:r>
        <w:t>IBM</w:t>
      </w:r>
      <w:r>
        <w:t>Cognos</w:t>
      </w:r>
      <w:r>
        <w:t>in</w:t>
      </w:r>
      <w:r>
        <w:t>big</w:t>
      </w:r>
      <w:r>
        <w:t>data</w:t>
      </w:r>
      <w:r>
        <w:t>analytics.</w:t>
      </w:r>
      <w:r>
        <w:t>The</w:t>
      </w:r>
      <w:r>
        <w:t>authors discuss how Cognos can be used to integrate data from</w:t>
      </w:r>
      <w:r>
        <w:t>a variety of sources, as well as how Cognos can be used to perform analytics on large datasets. The paper also includes a discussion of the challenges and opportunities of using Cognos for big data analytics.</w:t>
      </w:r>
    </w:p>
    <w:sectPr>
      <w:pgSz w:w="11920" w:h="16850" w:orient="portrait"/>
      <w:pgMar w:top="1280" w:right="1340" w:bottom="280" w:left="1340" w:header="720" w:footer="720" w:gutter="0"/>
      <w:pgBorders w:zOrder="front" w:display="allPages" w:offsetFrom="page">
        <w:top w:val="single" w:sz="4" w:space="24" w:color="000000"/>
        <w:left w:val="single" w:sz="4" w:space="24" w:color="000000"/>
        <w:bottom w:val="single" w:sz="4" w:space="24" w:color="000000"/>
        <w:right w:val="single" w:sz="4" w:space="24" w:color="000000"/>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
    <w:panose1 w:val="00000000000000000000"/>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spacing w:before="0" w:after="0" w:lineRule="auto" w:line="240"/>
        <w:ind w:left="0" w:right="0"/>
        <w:jc w:val="left"/>
      </w:pPr>
    </w:pPrDefault>
  </w:docDefaults>
  <w:style w:type="character" w:default="1" w:styleId="style65">
    <w:name w:val="Default Paragraph Font"/>
    <w:next w:val="style65"/>
    <w:uiPriority w:val="1"/>
  </w:style>
  <w:style w:type="table" w:customStyle="1" w:styleId="style4097">
    <w:name w:val="Table Normal"/>
    <w:next w:val="style4097"/>
    <w:qFormat/>
    <w:uiPriority w:val="2"/>
    <w:pPr/>
    <w:rPr/>
    <w:tblPr>
      <w:tblInd w:w="0" w:type="dxa"/>
      <w:tblCellMar>
        <w:top w:w="0" w:type="dxa"/>
        <w:left w:w="0" w:type="dxa"/>
        <w:bottom w:w="0" w:type="dxa"/>
        <w:right w:w="0" w:type="dxa"/>
      </w:tblCellMar>
    </w:tblPr>
    <w:tcPr>
      <w:tcBorders/>
    </w:tcPr>
  </w:style>
  <w:style w:type="numbering" w:default="1" w:styleId="style107">
    <w:name w:val="No List"/>
    <w:next w:val="style107"/>
    <w:uiPriority w:val="99"/>
    <w:pPr/>
  </w:style>
  <w:style w:type="paragraph" w:default="1" w:styleId="style0">
    <w:name w:val="Normal"/>
    <w:next w:val="style0"/>
    <w:qFormat/>
    <w:uiPriority w:val="1"/>
    <w:pPr/>
    <w:rPr>
      <w:rFonts w:ascii="Times New Roman" w:cs="Times New Roman" w:eastAsia="Times New Roman" w:hAnsi="Times New Roman"/>
      <w:lang w:val="en-US" w:bidi="ar-SA" w:eastAsia="en-US"/>
    </w:rPr>
  </w:style>
  <w:style w:type="paragraph" w:styleId="style66">
    <w:name w:val="Body Text"/>
    <w:basedOn w:val="style0"/>
    <w:next w:val="style66"/>
    <w:qFormat/>
    <w:uiPriority w:val="1"/>
    <w:pPr/>
    <w:rPr>
      <w:rFonts w:ascii="Times New Roman" w:cs="Times New Roman" w:eastAsia="Times New Roman" w:hAnsi="Times New Roman"/>
      <w:sz w:val="28"/>
      <w:szCs w:val="28"/>
      <w:lang w:val="en-US" w:bidi="ar-SA" w:eastAsia="en-US"/>
    </w:rPr>
  </w:style>
  <w:style w:type="paragraph" w:customStyle="1" w:styleId="style4098">
    <w:name w:val="Heading 1"/>
    <w:basedOn w:val="style0"/>
    <w:next w:val="style4098"/>
    <w:qFormat/>
    <w:uiPriority w:val="1"/>
    <w:pPr>
      <w:ind w:left="100" w:right="156"/>
      <w:outlineLvl w:val="1"/>
    </w:pPr>
    <w:rPr>
      <w:rFonts w:ascii="Times New Roman" w:cs="Times New Roman" w:eastAsia="Times New Roman" w:hAnsi="Times New Roman"/>
      <w:b/>
      <w:bCs/>
      <w:sz w:val="28"/>
      <w:szCs w:val="28"/>
      <w:lang w:val="en-US" w:bidi="ar-SA" w:eastAsia="en-US"/>
    </w:rPr>
  </w:style>
  <w:style w:type="paragraph" w:styleId="style179">
    <w:name w:val="List Paragraph"/>
    <w:basedOn w:val="style0"/>
    <w:next w:val="style179"/>
    <w:qFormat/>
    <w:uiPriority w:val="1"/>
    <w:pPr/>
    <w:rPr>
      <w:lang w:val="en-US" w:bidi="ar-SA" w:eastAsia="en-US"/>
    </w:rPr>
  </w:style>
  <w:style w:type="paragraph" w:customStyle="1" w:styleId="style4099">
    <w:name w:val="Table Paragraph"/>
    <w:basedOn w:val="style0"/>
    <w:next w:val="style4099"/>
    <w:qFormat/>
    <w:uiPriority w:val="1"/>
    <w:pPr>
      <w:spacing w:before="6"/>
      <w:ind w:left="112"/>
    </w:pPr>
    <w:rPr>
      <w:rFonts w:ascii="Calibri" w:cs="Calibri" w:eastAsia="Calibri" w:hAnsi="Calibri"/>
      <w:lang w:val="en-US" w:bidi="ar-SA" w:eastAsia="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253</Words>
  <Characters>1857</Characters>
  <Application>WPS Office</Application>
  <DocSecurity>0</DocSecurity>
  <Paragraphs>27</Paragraphs>
  <ScaleCrop>false</ScaleCrop>
  <LinksUpToDate>false</LinksUpToDate>
  <CharactersWithSpaces>2095</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2023-11-05T02:37:34Z</dcterms:created>
  <dc:creator>WPS Office</dc:creator>
  <lastModifiedBy>POCO X2</lastModifiedBy>
  <dcterms:modified xsi:type="dcterms:W3CDTF">2023-11-05T02:37:34Z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2023-11-05T00:00:00Z</vt:filetime>
  </property>
  <property fmtid="{D5CDD505-2E9C-101B-9397-08002B2CF9AE}" pid="3" name="Producer">
    <vt:lpwstr>iLovePDF</vt:lpwstr>
  </property>
</Properties>
</file>