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sz w:val="36"/>
          <w:szCs w:val="36"/>
        </w:rPr>
        <w:t xml:space="preserve">Six Articles for EA Forum and Substack</w:t>
      </w:r>
    </w:p>
    <w:p>
      <w:pPr>
        <w:spacing w:after="200"/>
        <w:jc w:val="center"/>
      </w:pPr>
      <w:r>
        <w:rPr>
          <w:rFonts w:ascii="Arial" w:cs="Arial" w:eastAsia="Arial" w:hAnsi="Arial"/>
          <w:i/>
          <w:iCs/>
          <w:color w:val="666666"/>
          <w:sz w:val="24"/>
          <w:szCs w:val="24"/>
        </w:rPr>
        <w:t xml:space="preserve">Draft Set — June 2026</w:t>
      </w:r>
    </w:p>
    <w:p>
      <w:pPr>
        <w:spacing w:after="120" w:before="400"/>
        <w:jc w:val="center"/>
      </w:pPr>
      <w:r>
        <w:rPr>
          <w:rFonts w:ascii="Arial" w:cs="Arial" w:eastAsia="Arial" w:hAnsi="Arial"/>
          <w:b/>
          <w:bCs/>
          <w:sz w:val="28"/>
          <w:szCs w:val="28"/>
        </w:rPr>
        <w:t xml:space="preserve">Contents</w:t>
      </w:r>
    </w:p>
    <w:p>
      <w:pPr>
        <w:spacing w:after="100"/>
        <w:ind w:left="1440"/>
        <w:jc w:val="left"/>
      </w:pPr>
      <w:r>
        <w:rPr>
          <w:rFonts w:ascii="Georgia" w:cs="Georgia" w:eastAsia="Georgia" w:hAnsi="Georgia"/>
          <w:sz w:val="22"/>
          <w:szCs w:val="22"/>
        </w:rPr>
        <w:t xml:space="preserve">1.  EA's Prioritization Framework Is Running on Stale Data</w:t>
      </w:r>
    </w:p>
    <w:p>
      <w:pPr>
        <w:spacing w:after="100"/>
        <w:ind w:left="1440"/>
        <w:jc w:val="left"/>
      </w:pPr>
      <w:r>
        <w:rPr>
          <w:rFonts w:ascii="Georgia" w:cs="Georgia" w:eastAsia="Georgia" w:hAnsi="Georgia"/>
          <w:sz w:val="22"/>
          <w:szCs w:val="22"/>
        </w:rPr>
        <w:t xml:space="preserve">2.  The Grantmaker Bottleneck Has a Pipeline Problem and a Closing Window</w:t>
      </w:r>
    </w:p>
    <w:p>
      <w:pPr>
        <w:spacing w:after="100"/>
        <w:ind w:left="1440"/>
        <w:jc w:val="left"/>
      </w:pPr>
      <w:r>
        <w:rPr>
          <w:rFonts w:ascii="Georgia" w:cs="Georgia" w:eastAsia="Georgia" w:hAnsi="Georgia"/>
          <w:sz w:val="22"/>
          <w:szCs w:val="22"/>
        </w:rPr>
        <w:t xml:space="preserve">3.  The Mineral Floor: Environmental Crime Governance Is a Missing Variable in Compute Forecasting</w:t>
      </w:r>
    </w:p>
    <w:p>
      <w:pPr>
        <w:spacing w:after="100"/>
        <w:ind w:left="1440"/>
        <w:jc w:val="left"/>
      </w:pPr>
      <w:r>
        <w:rPr>
          <w:rFonts w:ascii="Georgia" w:cs="Georgia" w:eastAsia="Georgia" w:hAnsi="Georgia"/>
          <w:sz w:val="22"/>
          <w:szCs w:val="22"/>
        </w:rPr>
        <w:t xml:space="preserve">4.  Global South Delegations Are Negotiating Blind, and EA Isn't Helping</w:t>
      </w:r>
    </w:p>
    <w:p>
      <w:pPr>
        <w:spacing w:after="100"/>
        <w:ind w:left="1440"/>
        <w:jc w:val="left"/>
      </w:pPr>
      <w:r>
        <w:rPr>
          <w:rFonts w:ascii="Georgia" w:cs="Georgia" w:eastAsia="Georgia" w:hAnsi="Georgia"/>
          <w:sz w:val="22"/>
          <w:szCs w:val="22"/>
        </w:rPr>
        <w:t xml:space="preserve">5.  The FATF Model for AI Safety Governance</w:t>
      </w:r>
    </w:p>
    <w:p>
      <w:pPr>
        <w:spacing w:after="100"/>
        <w:ind w:left="1440"/>
        <w:jc w:val="left"/>
      </w:pPr>
      <w:r>
        <w:rPr>
          <w:rFonts w:ascii="Georgia" w:cs="Georgia" w:eastAsia="Georgia" w:hAnsi="Georgia"/>
          <w:sz w:val="22"/>
          <w:szCs w:val="22"/>
        </w:rPr>
        <w:t xml:space="preserve">6.  Protein Sovereignty Is the Energy Independence Argument for Food</w:t>
      </w:r>
    </w:p>
    <w:p>
      <w:r>
        <w:br w:type="page"/>
      </w:r>
    </w:p>
    <w:p>
      <w:pPr>
        <w:pStyle w:val="Heading1"/>
        <w:spacing w:after="200" w:before="0"/>
      </w:pPr>
      <w:r>
        <w:rPr>
          <w:rFonts w:ascii="Arial" w:cs="Arial" w:eastAsia="Arial" w:hAnsi="Arial"/>
          <w:b/>
          <w:bCs/>
          <w:sz w:val="40"/>
          <w:szCs w:val="40"/>
        </w:rPr>
        <w:t xml:space="preserve">EA's Prioritization Framework Is Running on Stale Data</w:t>
      </w:r>
    </w:p>
    <w:p>
      <w:pPr>
        <w:spacing w:after="240" w:line="300"/>
      </w:pPr>
      <w:r>
        <w:rPr>
          <w:rFonts w:ascii="Arial" w:cs="Arial" w:eastAsia="Arial" w:hAnsi="Arial"/>
          <w:i/>
          <w:iCs/>
          <w:color w:val="666666"/>
          <w:sz w:val="20"/>
          <w:szCs w:val="20"/>
        </w:rPr>
        <w:t xml:space="preserve">Voice: Helen Toner / Natalie Cargill | EA Forum + Substack | ~700 words</w:t>
      </w:r>
    </w:p>
    <w:p>
      <w:pPr>
        <w:pBdr>
          <w:bottom w:val="single" w:color="AAAAAA" w:sz="6" w:space="1"/>
        </w:pBdr>
        <w:spacing w:after="0" w:before="0"/>
      </w:pPr>
    </w:p>
    <w:p>
      <w:pPr>
        <w:spacing w:after="160" w:line="300"/>
      </w:pPr>
      <w:r>
        <w:rPr>
          <w:rFonts w:ascii="Georgia" w:cs="Georgia" w:eastAsia="Georgia" w:hAnsi="Georgia"/>
          <w:sz w:val="24"/>
          <w:szCs w:val="24"/>
        </w:rPr>
        <w:t xml:space="preserve">There is a particular kind of error that is hard to catch because it does not look like an error. It looks like careful, evidence-based reasoning. The ITN framework — Importance, Tractability, Neglectedness — is probably the most rigorous cause-prioritization tool in philanthropy. It is also, right now, producing outputs calibrated to a world that no longer exists.</w:t>
      </w:r>
    </w:p>
    <w:p>
      <w:pPr>
        <w:spacing w:after="160" w:line="300"/>
      </w:pPr>
      <w:r>
        <w:rPr>
          <w:rFonts w:ascii="Georgia" w:cs="Georgia" w:eastAsia="Georgia" w:hAnsi="Georgia"/>
          <w:sz w:val="24"/>
          <w:szCs w:val="24"/>
        </w:rPr>
        <w:t xml:space="preserve">Here is the problem. Every ITN score implicitly prices in a counterfactual baseline: what is the government already funding? Neglectedness is defined relative to that baseline. If a domain is well-resourced by public funding, it scores low on neglectedness, and philanthropic capital should probably go elsewhere. This logic is sound. The baseline it is running on is not.</w:t>
      </w:r>
    </w:p>
    <w:p>
      <w:pPr>
        <w:spacing w:after="160" w:line="300"/>
      </w:pPr>
      <w:r>
        <w:rPr>
          <w:rFonts w:ascii="Georgia" w:cs="Georgia" w:eastAsia="Georgia" w:hAnsi="Georgia"/>
          <w:sz w:val="24"/>
          <w:szCs w:val="24"/>
        </w:rPr>
        <w:t xml:space="preserve">In FY2024 to FY2025, democracy and governance programming saw roughly a 75% cut in U.S. budgetary obligations. USAID was functionally eliminated. The State Department lost significant capacity across bureaus with direct relevance to AI governance, international environmental law, and multilateral negotiation. V-Dem formally downgraded the United States from liberal to electoral democracy for the first time in its history. Freedom House dropped the U.S. score three points in a single year, explicitly citing anticorruption failures.</w:t>
      </w:r>
    </w:p>
    <w:p>
      <w:pPr>
        <w:spacing w:after="160" w:line="300"/>
      </w:pPr>
      <w:r>
        <w:rPr>
          <w:rFonts w:ascii="Georgia" w:cs="Georgia" w:eastAsia="Georgia" w:hAnsi="Georgia"/>
          <w:sz w:val="24"/>
          <w:szCs w:val="24"/>
        </w:rPr>
        <w:t xml:space="preserve">These are not marginal changes to the funding landscape. They are structural. And EA has not re-run the math.</w:t>
      </w:r>
    </w:p>
    <w:p>
      <w:pPr>
        <w:spacing w:after="160" w:line="300"/>
      </w:pPr>
      <w:r>
        <w:rPr>
          <w:rFonts w:ascii="Georgia" w:cs="Georgia" w:eastAsia="Georgia" w:hAnsi="Georgia"/>
          <w:sz w:val="24"/>
          <w:szCs w:val="24"/>
        </w:rPr>
        <w:t xml:space="preserve">Entire domains that were previously scored as adequately government-funded, and therefore deprioritized by philanthropic capital, may now clear the bar. The question is not whether these domains are important. They clearly are. The question is whether EA's neglectedness scores have been updated to reflect the 2026 funding environment, or whether grantmakers are still routing capital based on a 2024 baseline that was dismantled over the course of about eighteen months.</w:t>
      </w:r>
    </w:p>
    <w:p>
      <w:pPr>
        <w:spacing w:after="160" w:line="300"/>
      </w:pPr>
      <w:r>
        <w:rPr>
          <w:rFonts w:ascii="Georgia" w:cs="Georgia" w:eastAsia="Georgia" w:hAnsi="Georgia"/>
          <w:sz w:val="24"/>
          <w:szCs w:val="24"/>
        </w:rPr>
        <w:t xml:space="preserve">I want to be precise about what I am and am not claiming. I am not saying the ITN framework is wrong. I am saying it is a tool that requires live inputs to produce accurate outputs, and the inputs have changed dramatically. A model that told you in 2024 that democracy and governance infrastructure was adequately funded is now telling you the same thing, even though the funding collapsed. That is not a failure of the framework. It is a failure to update it.</w:t>
      </w:r>
    </w:p>
    <w:p>
      <w:pPr>
        <w:spacing w:after="160" w:line="300"/>
      </w:pPr>
      <w:r>
        <w:rPr>
          <w:rFonts w:ascii="Georgia" w:cs="Georgia" w:eastAsia="Georgia" w:hAnsi="Georgia"/>
          <w:sz w:val="24"/>
          <w:szCs w:val="24"/>
        </w:rPr>
        <w:t xml:space="preserve">The community that built ITN reasoning is unusually well-positioned to do this work. The methodology exists. The research capacity exists. What seems to be missing is an organized effort to treat the 2025-2026 federal collapse as a data event requiring systematic neglectedness rescoring across affected cause areas.</w:t>
      </w:r>
    </w:p>
    <w:p>
      <w:pPr>
        <w:spacing w:after="160" w:line="300"/>
      </w:pPr>
      <w:r>
        <w:rPr>
          <w:rFonts w:ascii="Georgia" w:cs="Georgia" w:eastAsia="Georgia" w:hAnsi="Georgia"/>
          <w:sz w:val="24"/>
          <w:szCs w:val="24"/>
        </w:rPr>
        <w:t xml:space="preserve">There is also a human capital dimension worth naming. The people who ran the portfolios that just got cut are not retired. They are mid-career, security-cleared, and multilateral-fluent. Many of them ran the exact programs that EA's theory of change assumes will continue operating. They are, right now, in a 12-18 month window before private sector positions absorb them permanently. They are also the most accurate diagnostic instrument available for figuring out which domains are now genuinely neglected and which ones have adequate substitute coverage.</w:t>
      </w:r>
    </w:p>
    <w:p>
      <w:pPr>
        <w:spacing w:after="160" w:line="300"/>
      </w:pPr>
      <w:r>
        <w:rPr>
          <w:rFonts w:ascii="Georgia" w:cs="Georgia" w:eastAsia="Georgia" w:hAnsi="Georgia"/>
          <w:sz w:val="24"/>
          <w:szCs w:val="24"/>
        </w:rPr>
        <w:t xml:space="preserve">The field built a good tool. The inputs changed. The outputs need to be rerun. That seems like the kind of thing the EA community is unusually capable of doing quickly, if it decides to.</w:t>
      </w:r>
    </w:p>
    <w:p>
      <w:pPr>
        <w:spacing w:after="160" w:line="300"/>
      </w:pPr>
      <w:r>
        <w:rPr>
          <w:rFonts w:ascii="Georgia" w:cs="Georgia" w:eastAsia="Georgia" w:hAnsi="Georgia"/>
          <w:sz w:val="24"/>
          <w:szCs w:val="24"/>
        </w:rPr>
        <w:t xml:space="preserve">I do not know exactly what the rescored landscape looks like. That is the point. Someone should find out.</w:t>
      </w:r>
    </w:p>
    <w:p>
      <w:r>
        <w:br w:type="page"/>
      </w:r>
    </w:p>
    <w:p>
      <w:pPr>
        <w:pStyle w:val="Heading1"/>
        <w:spacing w:after="200" w:before="0"/>
      </w:pPr>
      <w:r>
        <w:rPr>
          <w:rFonts w:ascii="Arial" w:cs="Arial" w:eastAsia="Arial" w:hAnsi="Arial"/>
          <w:b/>
          <w:bCs/>
          <w:sz w:val="40"/>
          <w:szCs w:val="40"/>
        </w:rPr>
        <w:t xml:space="preserve">The Grantmaker Bottleneck Has a Pipeline Problem and a Closing Window</w:t>
      </w:r>
    </w:p>
    <w:p>
      <w:pPr>
        <w:spacing w:after="240" w:line="300"/>
      </w:pPr>
      <w:r>
        <w:rPr>
          <w:rFonts w:ascii="Arial" w:cs="Arial" w:eastAsia="Arial" w:hAnsi="Arial"/>
          <w:i/>
          <w:iCs/>
          <w:color w:val="666666"/>
          <w:sz w:val="20"/>
          <w:szCs w:val="20"/>
        </w:rPr>
        <w:t xml:space="preserve">Voice: Natalie Cargill | EA Forum | ~700 words</w:t>
      </w:r>
    </w:p>
    <w:p>
      <w:pPr>
        <w:pBdr>
          <w:bottom w:val="single" w:color="AAAAAA" w:sz="6" w:space="1"/>
        </w:pBdr>
        <w:spacing w:after="0" w:before="0"/>
      </w:pPr>
    </w:p>
    <w:p>
      <w:pPr>
        <w:spacing w:after="160" w:line="300"/>
      </w:pPr>
      <w:r>
        <w:rPr>
          <w:rFonts w:ascii="Georgia" w:cs="Georgia" w:eastAsia="Georgia" w:hAnsi="Georgia"/>
          <w:sz w:val="24"/>
          <w:szCs w:val="24"/>
        </w:rPr>
        <w:t xml:space="preserve">Luke Muehlhauser documented something a few years ago that the field has not fully absorbed: there are roughly 30 to 60 active AI safety grantmakers globally, and the binding constraint is not money. It is seniority. Identifying the right interventions, vetting the right people, creating the right opportunities, making judgment calls on technical work you cannot fully evaluate yourself. That is not a junior generalist job. It is a job that requires having been around long enough to know what you do not know, and to have built the network that compensates for it.</w:t>
      </w:r>
    </w:p>
    <w:p>
      <w:pPr>
        <w:spacing w:after="160" w:line="300"/>
      </w:pPr>
      <w:r>
        <w:rPr>
          <w:rFonts w:ascii="Georgia" w:cs="Georgia" w:eastAsia="Georgia" w:hAnsi="Georgia"/>
          <w:sz w:val="24"/>
          <w:szCs w:val="24"/>
        </w:rPr>
        <w:t xml:space="preserve">The solution the field has largely pursued is hiring more junior generalists and hoping they develop into senior grantmakers. This works eventually. It is also slow, and we are in a moment that does not have a lot of patience for slow.</w:t>
      </w:r>
    </w:p>
    <w:p>
      <w:pPr>
        <w:spacing w:after="160" w:line="300"/>
      </w:pPr>
      <w:r>
        <w:rPr>
          <w:rFonts w:ascii="Georgia" w:cs="Georgia" w:eastAsia="Georgia" w:hAnsi="Georgia"/>
          <w:sz w:val="24"/>
          <w:szCs w:val="24"/>
        </w:rPr>
        <w:t xml:space="preserve">There is a different pipeline sitting largely untouched. The 2025-2026 federal collapse produced a cohort of displaced senior professionals who ran exactly the portfolios EA cares about. Not interns. Not people three years out of graduate school. People who managed $20-50 million federal grantmaking portfolios, coordinated interagency coalitions on AI-adjacent policy, represented the U.S. at multilateral venues where AI governance is being shaped, and built the enforcement and monitoring infrastructure that underpins everything else.</w:t>
      </w:r>
    </w:p>
    <w:p>
      <w:pPr>
        <w:spacing w:after="160" w:line="300"/>
      </w:pPr>
      <w:r>
        <w:rPr>
          <w:rFonts w:ascii="Georgia" w:cs="Georgia" w:eastAsia="Georgia" w:hAnsi="Georgia"/>
          <w:sz w:val="24"/>
          <w:szCs w:val="24"/>
        </w:rPr>
        <w:t xml:space="preserve">They are not retired. This is the part worth emphasizing. They are 35-55, mid-career, still highly motivated, and in a window that is closing. Within 12 to 18 months, most of them will have taken positions in the private sector, consulting firms, or think tanks where their government relationships get redirected toward business development. Once that happens, their utility for AI safety governance purposes is not gone, but it is substantially reduced. The relationships, the clearances, the institutional knowledge, the access to the rooms where things are decided. These things attenuate once someone has been out of government for two years and is optimizing for a different client's interests.</w:t>
      </w:r>
    </w:p>
    <w:p>
      <w:pPr>
        <w:spacing w:after="160" w:line="300"/>
      </w:pPr>
      <w:r>
        <w:rPr>
          <w:rFonts w:ascii="Georgia" w:cs="Georgia" w:eastAsia="Georgia" w:hAnsi="Georgia"/>
          <w:sz w:val="24"/>
          <w:szCs w:val="24"/>
        </w:rPr>
        <w:t xml:space="preserve">What would it actually take to convert this cohort into EA-aligned grantmakers? Not much, compared to building from scratch. They already understand portfolio design, grantee management, performance assessment, and compliance. What they need is orientation to EA cause prioritization frameworks, mentorship from existing senior grantmakers, and an organization willing to bet on adjacent expertise rather than waiting for the ideal candidate who spent the last decade in EA institutions.</w:t>
      </w:r>
    </w:p>
    <w:p>
      <w:pPr>
        <w:spacing w:after="160" w:line="300"/>
      </w:pPr>
      <w:r>
        <w:rPr>
          <w:rFonts w:ascii="Georgia" w:cs="Georgia" w:eastAsia="Georgia" w:hAnsi="Georgia"/>
          <w:sz w:val="24"/>
          <w:szCs w:val="24"/>
        </w:rPr>
        <w:t xml:space="preserve">The selective conversion fellowship idea is worth taking seriously. Not a broad pipeline for anyone who was ever a federal employee. A targeted cohort, selected on specific criteria: deep subject matter expertise in AI-adjacent domains, demonstrated judgment in complex grantmaking environments, and the kind of disposition toward uncertainty and independent reasoning that EA grantmaking actually requires. That last criterion matters a lot. Federal grantmaking culture varies widely. Some people optimized for compliance and process. Some people optimized for outcomes and drove their teams crazy doing it. The latter is who you want.</w:t>
      </w:r>
    </w:p>
    <w:p>
      <w:pPr>
        <w:spacing w:after="160" w:line="300"/>
      </w:pPr>
      <w:r>
        <w:rPr>
          <w:rFonts w:ascii="Georgia" w:cs="Georgia" w:eastAsia="Georgia" w:hAnsi="Georgia"/>
          <w:sz w:val="24"/>
          <w:szCs w:val="24"/>
        </w:rPr>
        <w:t xml:space="preserve">There is also a second-order benefit worth naming. These people are the diagnostic instrument for the stale-baseline problem I wrote about separately. They know which federal programs actually mattered and which were institutional theater. They can tell you, from direct operational experience, which domains are now genuinely neglected and which have adequate substitute coverage. That knowledge is not available from the outside. It requires having been inside.</w:t>
      </w:r>
    </w:p>
    <w:p>
      <w:pPr>
        <w:spacing w:after="160" w:line="300"/>
      </w:pPr>
      <w:r>
        <w:rPr>
          <w:rFonts w:ascii="Georgia" w:cs="Georgia" w:eastAsia="Georgia" w:hAnsi="Georgia"/>
          <w:sz w:val="24"/>
          <w:szCs w:val="24"/>
        </w:rPr>
        <w:t xml:space="preserve">The bottleneck is real and well-documented. The pipeline exists and is time-limited. The question is whether the field moves on this in the next 12 months or reads about it in a retrospective five years from now and wishes it had.</w:t>
      </w:r>
    </w:p>
    <w:p>
      <w:r>
        <w:br w:type="page"/>
      </w:r>
    </w:p>
    <w:p>
      <w:pPr>
        <w:pStyle w:val="Heading1"/>
        <w:spacing w:after="200" w:before="0"/>
      </w:pPr>
      <w:r>
        <w:rPr>
          <w:rFonts w:ascii="Arial" w:cs="Arial" w:eastAsia="Arial" w:hAnsi="Arial"/>
          <w:b/>
          <w:bCs/>
          <w:sz w:val="40"/>
          <w:szCs w:val="40"/>
        </w:rPr>
        <w:t xml:space="preserve">The Mineral Floor: Environmental Crime Governance Is a Missing Variable in Compute Forecasting</w:t>
      </w:r>
    </w:p>
    <w:p>
      <w:pPr>
        <w:spacing w:after="240" w:line="300"/>
      </w:pPr>
      <w:r>
        <w:rPr>
          <w:rFonts w:ascii="Arial" w:cs="Arial" w:eastAsia="Arial" w:hAnsi="Arial"/>
          <w:i/>
          <w:iCs/>
          <w:color w:val="666666"/>
          <w:sz w:val="20"/>
          <w:szCs w:val="20"/>
        </w:rPr>
        <w:t xml:space="preserve">Voice: Helen Toner | EA Forum + Substack | ~750 words</w:t>
      </w:r>
    </w:p>
    <w:p>
      <w:pPr>
        <w:pBdr>
          <w:bottom w:val="single" w:color="AAAAAA" w:sz="6" w:space="1"/>
        </w:pBdr>
        <w:spacing w:after="0" w:before="0"/>
      </w:pPr>
    </w:p>
    <w:p>
      <w:pPr>
        <w:spacing w:after="160" w:line="300"/>
      </w:pPr>
      <w:r>
        <w:rPr>
          <w:rFonts w:ascii="Georgia" w:cs="Georgia" w:eastAsia="Georgia" w:hAnsi="Georgia"/>
          <w:sz w:val="24"/>
          <w:szCs w:val="24"/>
        </w:rPr>
        <w:t xml:space="preserve">The EA community has developed sophisticated models for the compute inputs to frontier AI. Chip architectures, training run costs, datacenter energy requirements, export control thresholds. These models have gotten meaningfully better over the past few years, and the organizations doing this work deserve credit for it.</w:t>
      </w:r>
    </w:p>
    <w:p>
      <w:pPr>
        <w:spacing w:after="160" w:line="300"/>
      </w:pPr>
      <w:r>
        <w:rPr>
          <w:rFonts w:ascii="Georgia" w:cs="Georgia" w:eastAsia="Georgia" w:hAnsi="Georgia"/>
          <w:sz w:val="24"/>
          <w:szCs w:val="24"/>
        </w:rPr>
        <w:t xml:space="preserve">There is a variable that is largely absent from these models. Frontier AI compute scaling requires physical mineral inputs, and those inputs flow through supply chains with governance characteristics that are not adequately priced into most compute forecasting. This is not a peripheral concern. It is a structural constraint on the compute scaling trajectory that the field has not seriously examined.</w:t>
      </w:r>
    </w:p>
    <w:p>
      <w:pPr>
        <w:spacing w:after="160" w:line="300"/>
      </w:pPr>
      <w:r>
        <w:rPr>
          <w:rFonts w:ascii="Georgia" w:cs="Georgia" w:eastAsia="Georgia" w:hAnsi="Georgia"/>
          <w:sz w:val="24"/>
          <w:szCs w:val="24"/>
        </w:rPr>
        <w:t xml:space="preserve">The specific minerals are well-documented. Gallium and germanium, both on NATO's defence-critical list, are essential to compound semiconductors used in chip fabrication. Cobalt goes into the batteries and cooling systems that underpin datacenter infrastructure. Rare earth elements appear throughout the electronics supply chain. These are not easily substituted inputs. They are physical requirements for the hardware layer that makes everything else possible.</w:t>
      </w:r>
    </w:p>
    <w:p>
      <w:pPr>
        <w:spacing w:after="160" w:line="300"/>
      </w:pPr>
      <w:r>
        <w:rPr>
          <w:rFonts w:ascii="Georgia" w:cs="Georgia" w:eastAsia="Georgia" w:hAnsi="Georgia"/>
          <w:sz w:val="24"/>
          <w:szCs w:val="24"/>
        </w:rPr>
        <w:t xml:space="preserve">The governance picture for these minerals is substantially worse than the field seems to appreciate. Extraction and processing operations for several of these materials operate in jurisdictions with weak beneficial ownership transparency, documented AML and CFT gaps that FATF has flagged in successive mutual evaluations, and environmental crime patterns including illegal mining, fraudulent licensing, and proceeds laundering through opaque corporate structures. This is not contested. It is documented in FATF typologies, UN reports, and national risk assessments.</w:t>
      </w:r>
    </w:p>
    <w:p>
      <w:pPr>
        <w:spacing w:after="160" w:line="300"/>
      </w:pPr>
      <w:r>
        <w:rPr>
          <w:rFonts w:ascii="Georgia" w:cs="Georgia" w:eastAsia="Georgia" w:hAnsi="Georgia"/>
          <w:sz w:val="24"/>
          <w:szCs w:val="24"/>
        </w:rPr>
        <w:t xml:space="preserve">The question is what this means for compute forecasting. I want to make a specific, limited claim: environmental crime governance is a source of supply-side uncertainty that current compute models do not adequately account for. A serious enforcement action against an illegal mining operation, a beneficial ownership disclosure requirement that disrupts a processing facility's financing, a FATF mutual evaluation that results in enhanced due diligence requirements for a jurisdiction hosting critical mineral refining. Any of these can introduce supply shocks that are not captured in models that treat the mineral supply chain as a reliable input.</w:t>
      </w:r>
    </w:p>
    <w:p>
      <w:pPr>
        <w:spacing w:after="160" w:line="300"/>
      </w:pPr>
      <w:r>
        <w:rPr>
          <w:rFonts w:ascii="Georgia" w:cs="Georgia" w:eastAsia="Georgia" w:hAnsi="Georgia"/>
          <w:sz w:val="24"/>
          <w:szCs w:val="24"/>
        </w:rPr>
        <w:t xml:space="preserve">This is not primarily an argument about intentional disruption. It is an argument about unmodeled variance. The compute scaling curves EA is working with assume a relatively stable physical supply chain. That assumption has not been tested against the actual governance fragility of the mineral layer those supply chains depend on.</w:t>
      </w:r>
    </w:p>
    <w:p>
      <w:pPr>
        <w:spacing w:after="160" w:line="300"/>
      </w:pPr>
      <w:r>
        <w:rPr>
          <w:rFonts w:ascii="Georgia" w:cs="Georgia" w:eastAsia="Georgia" w:hAnsi="Georgia"/>
          <w:sz w:val="24"/>
          <w:szCs w:val="24"/>
        </w:rPr>
        <w:t xml:space="preserve">There is also a more structural version of this argument. The extraction and processing economics for several of these materials are partly a function of externalized governance costs. Operations that do not comply with environmental crime standards, beneficial ownership requirements, or AML/CFT frameworks are effectively subsidized by that non-compliance. Robust enforcement, if it materialized, would change the cost structure of mineral production in ways that are not captured in current supply projections. This would affect not just price but availability, as some operations that are currently economically viable under weak governance would face viability questions under robust enforcement.</w:t>
      </w:r>
    </w:p>
    <w:p>
      <w:pPr>
        <w:spacing w:after="160" w:line="300"/>
      </w:pPr>
      <w:r>
        <w:rPr>
          <w:rFonts w:ascii="Georgia" w:cs="Georgia" w:eastAsia="Georgia" w:hAnsi="Georgia"/>
          <w:sz w:val="24"/>
          <w:szCs w:val="24"/>
        </w:rPr>
        <w:t xml:space="preserve">I want to be honest about what I do not know. I do not know the exact magnitude of this effect. I do not know which specific enforcement actions or governance improvements would have the most material impact on compute supply. I do not know whether the enforcement institutions that would need to act have the political will or operational capacity to do so. These are empirical questions that require people with both mineral supply chain expertise and AI compute forecasting expertise in the same room, and I am not aware of that conversation happening in a systematic way.</w:t>
      </w:r>
    </w:p>
    <w:p>
      <w:pPr>
        <w:spacing w:after="160" w:line="300"/>
      </w:pPr>
      <w:r>
        <w:rPr>
          <w:rFonts w:ascii="Georgia" w:cs="Georgia" w:eastAsia="Georgia" w:hAnsi="Georgia"/>
          <w:sz w:val="24"/>
          <w:szCs w:val="24"/>
        </w:rPr>
        <w:t xml:space="preserve">What I do know is that the gap exists. The field has people modeling chip yields and energy grids. It does not appear to have people systematically modeling mineral supply chain governance as a variable in compute availability. Given the stakes of the forecasts that depend on compute scaling assumptions, that gap seems worth filling.</w:t>
      </w:r>
    </w:p>
    <w:p>
      <w:pPr>
        <w:spacing w:after="160" w:line="300"/>
      </w:pPr>
      <w:r>
        <w:rPr>
          <w:rFonts w:ascii="Georgia" w:cs="Georgia" w:eastAsia="Georgia" w:hAnsi="Georgia"/>
          <w:sz w:val="24"/>
          <w:szCs w:val="24"/>
        </w:rPr>
        <w:t xml:space="preserve">The people best positioned to work on this sit at an unusual intersection: environmental crime governance, AML/CFT enforcement, mineral supply chain economics, and AI compute modeling. That intersection is not well-populated. It probably should be.</w:t>
      </w:r>
    </w:p>
    <w:p>
      <w:r>
        <w:br w:type="page"/>
      </w:r>
    </w:p>
    <w:p>
      <w:pPr>
        <w:pStyle w:val="Heading1"/>
        <w:spacing w:after="200" w:before="0"/>
      </w:pPr>
      <w:r>
        <w:rPr>
          <w:rFonts w:ascii="Arial" w:cs="Arial" w:eastAsia="Arial" w:hAnsi="Arial"/>
          <w:b/>
          <w:bCs/>
          <w:sz w:val="40"/>
          <w:szCs w:val="40"/>
        </w:rPr>
        <w:t xml:space="preserve">Global South Delegations Are Negotiating Blind, and EA Isn't Helping</w:t>
      </w:r>
    </w:p>
    <w:p>
      <w:pPr>
        <w:spacing w:after="240" w:line="300"/>
      </w:pPr>
      <w:r>
        <w:rPr>
          <w:rFonts w:ascii="Arial" w:cs="Arial" w:eastAsia="Arial" w:hAnsi="Arial"/>
          <w:i/>
          <w:iCs/>
          <w:color w:val="666666"/>
          <w:sz w:val="20"/>
          <w:szCs w:val="20"/>
        </w:rPr>
        <w:t xml:space="preserve">Voice: Natalie Cargill | EA Forum | ~650 words</w:t>
      </w:r>
    </w:p>
    <w:p>
      <w:pPr>
        <w:pBdr>
          <w:bottom w:val="single" w:color="AAAAAA" w:sz="6" w:space="1"/>
        </w:pBdr>
        <w:spacing w:after="0" w:before="0"/>
      </w:pPr>
    </w:p>
    <w:p>
      <w:pPr>
        <w:spacing w:after="160" w:line="300"/>
      </w:pPr>
      <w:r>
        <w:rPr>
          <w:rFonts w:ascii="Georgia" w:cs="Georgia" w:eastAsia="Georgia" w:hAnsi="Georgia"/>
          <w:sz w:val="24"/>
          <w:szCs w:val="24"/>
        </w:rPr>
        <w:t xml:space="preserve">Here is something that will be true by 2027 regardless of how the next eighteen months go: AI will be permanently on the agenda at the UN, G20, OECD, and every serious multilateral venue. The governance defaults that get set in that period will shape the architecture for decades. This is not speculative. It is how multilateral governance works. Frameworks established early generate institutional constituencies, compliance infrastructure, and path dependencies that make them very hard to reverse.</w:t>
      </w:r>
    </w:p>
    <w:p>
      <w:pPr>
        <w:spacing w:after="160" w:line="300"/>
      </w:pPr>
      <w:r>
        <w:rPr>
          <w:rFonts w:ascii="Georgia" w:cs="Georgia" w:eastAsia="Georgia" w:hAnsi="Georgia"/>
          <w:sz w:val="24"/>
          <w:szCs w:val="24"/>
        </w:rPr>
        <w:t xml:space="preserve">Most Global South delegations are not ready for this. I want to be specific about what I mean, because the vague version of this claim is both true and useless. The vague version is: Global South countries lack AI capacity. Fine. The specific version is: Global South delegations to UN, G20, and OECD AI discussions do not have adequate technical sophistication on the provisions that matter most for catastrophic risk governance. Verification mechanisms. Compute thresholds. Frontier model evaluation standards. The questions that determine whether international AI governance has any relationship to safety at all.</w:t>
      </w:r>
    </w:p>
    <w:p>
      <w:pPr>
        <w:spacing w:after="160" w:line="300"/>
      </w:pPr>
      <w:r>
        <w:rPr>
          <w:rFonts w:ascii="Georgia" w:cs="Georgia" w:eastAsia="Georgia" w:hAnsi="Georgia"/>
          <w:sz w:val="24"/>
          <w:szCs w:val="24"/>
        </w:rPr>
        <w:t xml:space="preserve">This is not primarily a resource problem, though resources matter. It is a framing problem. Existing capacity-building efforts, and there are several worth acknowledging, focus on AI for development, digital inclusion, and ethics. The Boell Global Majority Fellowship, UNESCO capacity building, various UN programs. These are doing real work. What they are not doing is equipping delegates to negotiate the specific provisions that the EA community cares about. The development framing is funded. The safety-governance framing for Global South delegations is not.</w:t>
      </w:r>
    </w:p>
    <w:p>
      <w:pPr>
        <w:spacing w:after="160" w:line="300"/>
      </w:pPr>
      <w:r>
        <w:rPr>
          <w:rFonts w:ascii="Georgia" w:cs="Georgia" w:eastAsia="Georgia" w:hAnsi="Georgia"/>
          <w:sz w:val="24"/>
          <w:szCs w:val="24"/>
        </w:rPr>
        <w:t xml:space="preserve">Why does this matter beyond the obvious fairness argument? Three reasons.</w:t>
      </w:r>
    </w:p>
    <w:p>
      <w:pPr>
        <w:spacing w:after="160" w:line="300"/>
      </w:pPr>
      <w:r>
        <w:rPr>
          <w:rFonts w:ascii="Georgia" w:cs="Georgia" w:eastAsia="Georgia" w:hAnsi="Georgia"/>
          <w:sz w:val="24"/>
          <w:szCs w:val="24"/>
        </w:rPr>
        <w:t xml:space="preserve">First, Global South countries have the largest objective stake in AI governance going well. The disproportionate harm from misaligned or misused AI will fall on populations that are least resourced to absorb it. The OMFIF, Brookings, and CGD literature on this is consistent and clear. The countries with the greatest interest in safety governance are showing up least prepared to shape it.</w:t>
      </w:r>
    </w:p>
    <w:p>
      <w:pPr>
        <w:spacing w:after="160" w:line="300"/>
      </w:pPr>
      <w:r>
        <w:rPr>
          <w:rFonts w:ascii="Georgia" w:cs="Georgia" w:eastAsia="Georgia" w:hAnsi="Georgia"/>
          <w:sz w:val="24"/>
          <w:szCs w:val="24"/>
        </w:rPr>
        <w:t xml:space="preserve">Second, they have genuine voting power in UN bodies. The General Assembly, ECOSOC, the bodies where AI governance norms are being established, run on one-country-one-vote logic. The math on this is not complicated. If you care about the substantive content of multilateral AI governance and you are not investing in the negotiating capacity of the delegations that constitute the majority of member states, you are leaving a significant lever untouched.</w:t>
      </w:r>
    </w:p>
    <w:p>
      <w:pPr>
        <w:spacing w:after="160" w:line="300"/>
      </w:pPr>
      <w:r>
        <w:rPr>
          <w:rFonts w:ascii="Georgia" w:cs="Georgia" w:eastAsia="Georgia" w:hAnsi="Georgia"/>
          <w:sz w:val="24"/>
          <w:szCs w:val="24"/>
        </w:rPr>
        <w:t xml:space="preserve">Third, the vacuum does not stay empty. Other actors with different interests are investing in these relationships. The countries and organizations that show up with technical support, capacity building, and partnership offers shape the positions of the delegations they support. That influence is not automatic, but it is real and it compounds over time.</w:t>
      </w:r>
    </w:p>
    <w:p>
      <w:pPr>
        <w:spacing w:after="160" w:line="300"/>
      </w:pPr>
      <w:r>
        <w:rPr>
          <w:rFonts w:ascii="Georgia" w:cs="Georgia" w:eastAsia="Georgia" w:hAnsi="Georgia"/>
          <w:sz w:val="24"/>
          <w:szCs w:val="24"/>
        </w:rPr>
        <w:t xml:space="preserve">I spent nearly a decade in rooms where this dynamic played out in environmental and crime governance. I watched delegations with strong technical support punch well above their weight. I watched delegations without it accept language they did not fully understand because they did not have the capacity to negotiate alternatives. The pattern is consistent across issue areas.</w:t>
      </w:r>
    </w:p>
    <w:p>
      <w:pPr>
        <w:spacing w:after="160" w:line="300"/>
      </w:pPr>
      <w:r>
        <w:rPr>
          <w:rFonts w:ascii="Georgia" w:cs="Georgia" w:eastAsia="Georgia" w:hAnsi="Georgia"/>
          <w:sz w:val="24"/>
          <w:szCs w:val="24"/>
        </w:rPr>
        <w:t xml:space="preserve">The tractability case is genuinely good. The convening infrastructure already exists. The UNTOC, UNGA, and G20 AI governance processes are active and accessible. The technical content that delegations need is not classified or proprietary. The gap is not the substance. It is the pipeline that gets the substance to the right people at the right time.</w:t>
      </w:r>
    </w:p>
    <w:p>
      <w:pPr>
        <w:spacing w:after="160" w:line="300"/>
      </w:pPr>
      <w:r>
        <w:rPr>
          <w:rFonts w:ascii="Georgia" w:cs="Georgia" w:eastAsia="Georgia" w:hAnsi="Georgia"/>
          <w:sz w:val="24"/>
          <w:szCs w:val="24"/>
        </w:rPr>
        <w:t xml:space="preserve">EA has researchers, funders, and frameworks. It does not have, as far as I can tell, a serious program for getting safety-focused AI governance capacity to the delegations that need it most and have the most votes. That seems like something worth fixing before the defaults get set.</w:t>
      </w:r>
    </w:p>
    <w:p>
      <w:r>
        <w:br w:type="page"/>
      </w:r>
    </w:p>
    <w:p>
      <w:pPr>
        <w:pStyle w:val="Heading1"/>
        <w:spacing w:after="200" w:before="0"/>
      </w:pPr>
      <w:r>
        <w:rPr>
          <w:rFonts w:ascii="Arial" w:cs="Arial" w:eastAsia="Arial" w:hAnsi="Arial"/>
          <w:b/>
          <w:bCs/>
          <w:sz w:val="40"/>
          <w:szCs w:val="40"/>
        </w:rPr>
        <w:t xml:space="preserve">The FATF Model for AI Safety Governance</w:t>
      </w:r>
    </w:p>
    <w:p>
      <w:pPr>
        <w:spacing w:after="240" w:line="300"/>
      </w:pPr>
      <w:r>
        <w:rPr>
          <w:rFonts w:ascii="Arial" w:cs="Arial" w:eastAsia="Arial" w:hAnsi="Arial"/>
          <w:i/>
          <w:iCs/>
          <w:color w:val="666666"/>
          <w:sz w:val="20"/>
          <w:szCs w:val="20"/>
        </w:rPr>
        <w:t xml:space="preserve">Voice: Helen Toner | EA Forum + Policy audience | ~750 words</w:t>
      </w:r>
    </w:p>
    <w:p>
      <w:pPr>
        <w:pBdr>
          <w:bottom w:val="single" w:color="AAAAAA" w:sz="6" w:space="1"/>
        </w:pBdr>
        <w:spacing w:after="0" w:before="0"/>
      </w:pPr>
    </w:p>
    <w:p>
      <w:pPr>
        <w:spacing w:after="160" w:line="300"/>
      </w:pPr>
      <w:r>
        <w:rPr>
          <w:rFonts w:ascii="Georgia" w:cs="Georgia" w:eastAsia="Georgia" w:hAnsi="Georgia"/>
          <w:sz w:val="24"/>
          <w:szCs w:val="24"/>
        </w:rPr>
        <w:t xml:space="preserve">The most common objection to international AI safety governance goes something like this: you cannot get a treaty, so you cannot get binding commitments, so you are stuck with voluntary agreements that ambitious actors will ignore. This objection is correct about treaties. It draws the wrong conclusion about what is possible.</w:t>
      </w:r>
    </w:p>
    <w:p>
      <w:pPr>
        <w:spacing w:after="160" w:line="300"/>
      </w:pPr>
      <w:r>
        <w:rPr>
          <w:rFonts w:ascii="Georgia" w:cs="Georgia" w:eastAsia="Georgia" w:hAnsi="Georgia"/>
          <w:sz w:val="24"/>
          <w:szCs w:val="24"/>
        </w:rPr>
        <w:t xml:space="preserve">FATF, the Financial Action Task Force, has achieved near-universal compliance with its anti-money laundering and counter-terrorism financing recommendations without being a treaty body. It has no formal enforcement authority. Membership is technically voluntary. And yet jurisdictions around the world have overhauled their financial crime legislation, restructured their supervisory agencies, and made politically costly commitments to transparency, because the alternative is a FATF designation that carries real market access consequences.</w:t>
      </w:r>
    </w:p>
    <w:p>
      <w:pPr>
        <w:spacing w:after="160" w:line="300"/>
      </w:pPr>
      <w:r>
        <w:rPr>
          <w:rFonts w:ascii="Georgia" w:cs="Georgia" w:eastAsia="Georgia" w:hAnsi="Georgia"/>
          <w:sz w:val="24"/>
          <w:szCs w:val="24"/>
        </w:rPr>
        <w:t xml:space="preserve">The architecture that makes this work is worth understanding in detail, because I think it maps onto AI safety governance more directly than the field has appreciated.</w:t>
      </w:r>
    </w:p>
    <w:p>
      <w:pPr>
        <w:spacing w:after="160" w:line="300"/>
      </w:pPr>
      <w:r>
        <w:rPr>
          <w:rFonts w:ascii="Georgia" w:cs="Georgia" w:eastAsia="Georgia" w:hAnsi="Georgia"/>
          <w:sz w:val="24"/>
          <w:szCs w:val="24"/>
        </w:rPr>
        <w:t xml:space="preserve">FATF operates through a mutual evaluation process. Teams of experts from member countries conduct on-site reviews of a jurisdiction's legal framework, institutional capacity, and actual enforcement outcomes. The results are published. Countries are placed into categories ranging from compliant to grey-listed to blacklisted, and those designations affect correspondent banking relationships, access to capital markets, and bilateral trade arrangements. The compliance incentive is not legal obligation. It is market access.</w:t>
      </w:r>
    </w:p>
    <w:p>
      <w:pPr>
        <w:spacing w:after="160" w:line="300"/>
      </w:pPr>
      <w:r>
        <w:rPr>
          <w:rFonts w:ascii="Georgia" w:cs="Georgia" w:eastAsia="Georgia" w:hAnsi="Georgia"/>
          <w:sz w:val="24"/>
          <w:szCs w:val="24"/>
        </w:rPr>
        <w:t xml:space="preserve">An AI Safety Mutual Evaluation Body modeled on FATF would work as follows. A set of AI Safety Recommendations, analogous to FATF's 40 Recommendations, would establish baseline expectations for frontier model evaluation, compute governance, incident reporting, and safety research transparency. Peer evaluation teams, composed of technical experts from member states, would assess whether jurisdictions and the AI developers operating within them meet those standards. Compliance designations would be published. And compliance incentives would be linked to the things that matter in the AI context: compute access, API access, participation in joint research programs, and access to shared evaluation infrastructure.</w:t>
      </w:r>
    </w:p>
    <w:p>
      <w:pPr>
        <w:spacing w:after="160" w:line="300"/>
      </w:pPr>
      <w:r>
        <w:rPr>
          <w:rFonts w:ascii="Georgia" w:cs="Georgia" w:eastAsia="Georgia" w:hAnsi="Georgia"/>
          <w:sz w:val="24"/>
          <w:szCs w:val="24"/>
        </w:rPr>
        <w:t xml:space="preserve">The United States is not currently a viable anchor for this architecture. The dismantlement of the AI Safety Institute, the withdrawal from the Bletchley process, and the substitution of Pax Silica, which is a commercial alignment initiative, for genuine safety governance, all point in the same direction. But that is an argument for building the architecture without the U.S. for now, not for abandoning the architecture.</w:t>
      </w:r>
    </w:p>
    <w:p>
      <w:pPr>
        <w:spacing w:after="160" w:line="300"/>
      </w:pPr>
      <w:r>
        <w:rPr>
          <w:rFonts w:ascii="Georgia" w:cs="Georgia" w:eastAsia="Georgia" w:hAnsi="Georgia"/>
          <w:sz w:val="24"/>
          <w:szCs w:val="24"/>
        </w:rPr>
        <w:t xml:space="preserve">The EU, UK, Canada, Japan, South Korea, and Australia have the technical capacity, the institutional relationships, and the political will to establish a mutual evaluation body. If designed correctly, it would be constructed explicitly to receive the U.S. when political conditions change, with accession pathways that do not require renegotiating the core architecture. The Bletchley-Seoul-Paris summit sequence established that this coalition can convene. The next step is institutionalizing what that sequence started.</w:t>
      </w:r>
    </w:p>
    <w:p>
      <w:pPr>
        <w:spacing w:after="160" w:line="300"/>
      </w:pPr>
      <w:r>
        <w:rPr>
          <w:rFonts w:ascii="Georgia" w:cs="Georgia" w:eastAsia="Georgia" w:hAnsi="Georgia"/>
          <w:sz w:val="24"/>
          <w:szCs w:val="24"/>
        </w:rPr>
        <w:t xml:space="preserve">The specific compliance incentives deserve careful design. Compute access is probably the most powerful lever, but it requires coordination among the jurisdictions that host the major chip fabrication and cloud infrastructure. API access to frontier models is a softer lever but more immediately achievable. Research collaboration access, participation in shared evaluation infrastructure, and preferential treatment in bilateral AI agreements are all worth including.</w:t>
      </w:r>
    </w:p>
    <w:p>
      <w:pPr>
        <w:spacing w:after="160" w:line="300"/>
      </w:pPr>
      <w:r>
        <w:rPr>
          <w:rFonts w:ascii="Georgia" w:cs="Georgia" w:eastAsia="Georgia" w:hAnsi="Georgia"/>
          <w:sz w:val="24"/>
          <w:szCs w:val="24"/>
        </w:rPr>
        <w:t xml:space="preserve">I want to acknowledge two genuine difficulties. First, AI evaluation is technically harder than AML/CFT evaluation. Assessing whether a financial institution has adequate KYC procedures is complex but tractable. Assessing whether a frontier model poses elevated risk requires evaluation methodologies that are still being developed. METR's Frontier Risk Report is probably the state of the art, and it is still early. The mutual evaluation body needs to be designed with epistemic humility about what current evaluation methods can and cannot reliably assess.</w:t>
      </w:r>
    </w:p>
    <w:p>
      <w:pPr>
        <w:spacing w:after="160" w:line="300"/>
      </w:pPr>
      <w:r>
        <w:rPr>
          <w:rFonts w:ascii="Georgia" w:cs="Georgia" w:eastAsia="Georgia" w:hAnsi="Georgia"/>
          <w:sz w:val="24"/>
          <w:szCs w:val="24"/>
        </w:rPr>
        <w:t xml:space="preserve">Second, the compliance incentive chain requires coordination that FATF did not need. FATF's leverage comes from the correspondent banking system, which is already centralized around a small number of major financial centers. AI's leverage points are more distributed. This is solvable but requires deliberate architectural work.</w:t>
      </w:r>
    </w:p>
    <w:p>
      <w:pPr>
        <w:spacing w:after="160" w:line="300"/>
      </w:pPr>
      <w:r>
        <w:rPr>
          <w:rFonts w:ascii="Georgia" w:cs="Georgia" w:eastAsia="Georgia" w:hAnsi="Georgia"/>
          <w:sz w:val="24"/>
          <w:szCs w:val="24"/>
        </w:rPr>
        <w:t xml:space="preserve">Neither of these difficulties is a reason not to build the institution. They are reasons to build it carefully and to invest in the evaluation methodology alongside the governance architecture. The window for establishing defaults is open now. It will not stay open indefinitely.</w:t>
      </w:r>
    </w:p>
    <w:p>
      <w:r>
        <w:br w:type="page"/>
      </w:r>
    </w:p>
    <w:p>
      <w:pPr>
        <w:pStyle w:val="Heading1"/>
        <w:spacing w:after="200" w:before="0"/>
      </w:pPr>
      <w:r>
        <w:rPr>
          <w:rFonts w:ascii="Arial" w:cs="Arial" w:eastAsia="Arial" w:hAnsi="Arial"/>
          <w:b/>
          <w:bCs/>
          <w:sz w:val="40"/>
          <w:szCs w:val="40"/>
        </w:rPr>
        <w:t xml:space="preserve">Protein Sovereignty Is the Energy Independence Argument for Food</w:t>
      </w:r>
    </w:p>
    <w:p>
      <w:pPr>
        <w:spacing w:after="240" w:line="300"/>
      </w:pPr>
      <w:r>
        <w:rPr>
          <w:rFonts w:ascii="Arial" w:cs="Arial" w:eastAsia="Arial" w:hAnsi="Arial"/>
          <w:i/>
          <w:iCs/>
          <w:color w:val="666666"/>
          <w:sz w:val="20"/>
          <w:szCs w:val="20"/>
        </w:rPr>
        <w:t xml:space="preserve">Voice: Natalie Cargill | Substack | ~650 words</w:t>
      </w:r>
    </w:p>
    <w:p>
      <w:pPr>
        <w:pBdr>
          <w:bottom w:val="single" w:color="AAAAAA" w:sz="6" w:space="1"/>
        </w:pBdr>
        <w:spacing w:after="0" w:before="0"/>
      </w:pPr>
    </w:p>
    <w:p>
      <w:pPr>
        <w:spacing w:after="160" w:line="300"/>
      </w:pPr>
      <w:r>
        <w:rPr>
          <w:rFonts w:ascii="Georgia" w:cs="Georgia" w:eastAsia="Georgia" w:hAnsi="Georgia"/>
          <w:sz w:val="24"/>
          <w:szCs w:val="24"/>
        </w:rPr>
        <w:t xml:space="preserve">There is a version of the alternative protein argument that talks about animal welfare. There is a version that talks about methane and land use and the $1 trillion economic opportunity by 2050. These arguments are real and I believe them. They are also not the argument most likely to move the people who are not already in the room.</w:t>
      </w:r>
    </w:p>
    <w:p>
      <w:pPr>
        <w:spacing w:after="160" w:line="300"/>
      </w:pPr>
      <w:r>
        <w:rPr>
          <w:rFonts w:ascii="Georgia" w:cs="Georgia" w:eastAsia="Georgia" w:hAnsi="Georgia"/>
          <w:sz w:val="24"/>
          <w:szCs w:val="24"/>
        </w:rPr>
        <w:t xml:space="preserve">Here is a different argument. One that has nothing to do with animals or climate, and everything to do with something that defense establishments, food ministries, and national security councils actually care about: not being dependent on supply chains you cannot control.</w:t>
      </w:r>
    </w:p>
    <w:p>
      <w:pPr>
        <w:spacing w:after="160" w:line="300"/>
      </w:pPr>
      <w:r>
        <w:rPr>
          <w:rFonts w:ascii="Georgia" w:cs="Georgia" w:eastAsia="Georgia" w:hAnsi="Georgia"/>
          <w:sz w:val="24"/>
          <w:szCs w:val="24"/>
        </w:rPr>
        <w:t xml:space="preserve">Conventional protein production depends on a supply chain that is long, fragile, and geopolitically exposed. Fertilizer for feed grain. Feed grain for livestock. Shipping for all of it. When the Strait of Hormuz goes sideways, and in 2025 it did, urea prices spiked 32% in a week. Countries that cannot produce their own fertilizer cannot buffer that shock. Countries that depend on imported grain for animal feed are one disruption away from a protein crisis that no amount of domestic livestock infrastructure can solve, because the livestock need the grain to exist.</w:t>
      </w:r>
    </w:p>
    <w:p>
      <w:pPr>
        <w:spacing w:after="160" w:line="300"/>
      </w:pPr>
      <w:r>
        <w:rPr>
          <w:rFonts w:ascii="Georgia" w:cs="Georgia" w:eastAsia="Georgia" w:hAnsi="Georgia"/>
          <w:sz w:val="24"/>
          <w:szCs w:val="24"/>
        </w:rPr>
        <w:t xml:space="preserve">Singapore knows this. Their 30 by 30 program, aiming to produce 30% of food domestically by 2030, is not primarily a climate initiative. It is a sovereignty initiative. Singapore is a city-state with almost no agricultural land and extreme import dependence. They have made a strategic decision that domestic food production capability, including through novel foods and fermentation, is a national security asset. They are right.</w:t>
      </w:r>
    </w:p>
    <w:p>
      <w:pPr>
        <w:spacing w:after="160" w:line="300"/>
      </w:pPr>
      <w:r>
        <w:rPr>
          <w:rFonts w:ascii="Georgia" w:cs="Georgia" w:eastAsia="Georgia" w:hAnsi="Georgia"/>
          <w:sz w:val="24"/>
          <w:szCs w:val="24"/>
        </w:rPr>
        <w:t xml:space="preserve">This is the argument that changes the conversation. Alternative proteins, particularly fermentation-based production, decouple protein supply from the conventional agricultural chain almost entirely. A fermentation facility does not need arable land. It does not need feed grain. It does not need fertilizer from a petrochemical supply chain. It needs inputs that can be sourced domestically, at scale, in almost any geography. A landlocked country, a city-state, a small island developing state. None of them can run a meaningful conventional livestock operation. Any of them can run a fermentation facility.</w:t>
      </w:r>
    </w:p>
    <w:p>
      <w:pPr>
        <w:spacing w:after="160" w:line="300"/>
      </w:pPr>
      <w:r>
        <w:rPr>
          <w:rFonts w:ascii="Georgia" w:cs="Georgia" w:eastAsia="Georgia" w:hAnsi="Georgia"/>
          <w:sz w:val="24"/>
          <w:szCs w:val="24"/>
        </w:rPr>
        <w:t xml:space="preserve">This is the food equivalent of what renewables did for energy. Before solar and wind became competitive, energy sovereignty was largely a function of geography. Countries with oil and gas reserves had it. Countries without them were permanently exposed to price shocks and geopolitical coercion. Renewable energy did not just decarbonize grids. It democratized energy sovereignty for the first time in industrial history. A country with a sunny coast or a windy plateau could, for the first time, generate its own energy without depending on anyone else's reserves or goodwill.</w:t>
      </w:r>
    </w:p>
    <w:p>
      <w:pPr>
        <w:spacing w:after="160" w:line="300"/>
      </w:pPr>
      <w:r>
        <w:rPr>
          <w:rFonts w:ascii="Georgia" w:cs="Georgia" w:eastAsia="Georgia" w:hAnsi="Georgia"/>
          <w:sz w:val="24"/>
          <w:szCs w:val="24"/>
        </w:rPr>
        <w:t xml:space="preserve">Alternative proteins are doing the same thing for food, and the transition is just as early-stage and just as consequential. The countries that build fermentation infrastructure now are building a strategic asset. The countries that do not are extending their dependence on a supply chain that the Strait of Hormuz crisis made visibly fragile to anyone paying attention.</w:t>
      </w:r>
    </w:p>
    <w:p>
      <w:pPr>
        <w:spacing w:after="160" w:line="300"/>
      </w:pPr>
      <w:r>
        <w:rPr>
          <w:rFonts w:ascii="Georgia" w:cs="Georgia" w:eastAsia="Georgia" w:hAnsi="Georgia"/>
          <w:sz w:val="24"/>
          <w:szCs w:val="24"/>
        </w:rPr>
        <w:t xml:space="preserve">The philanthropic implication is direct. The donors and funders who have never been moved by welfare or climate arguments are not the wrong audience. They are an audience that has been given the wrong argument. Military readiness and supply chain resilience foundations. Food sovereignty-focused development funders. National security-aligned capital. These are not niche audiences. They are substantial pools of funding that have legitimate, deeply held reasons to care about protein sovereignty and have not been adequately engaged on it.</w:t>
      </w:r>
    </w:p>
    <w:p>
      <w:pPr>
        <w:spacing w:after="160" w:line="300"/>
      </w:pPr>
      <w:r>
        <w:rPr>
          <w:rFonts w:ascii="Georgia" w:cs="Georgia" w:eastAsia="Georgia" w:hAnsi="Georgia"/>
          <w:sz w:val="24"/>
          <w:szCs w:val="24"/>
        </w:rPr>
        <w:t xml:space="preserve">GFI has started making this case, and deserves credit for it. The national security framing in their policy work has gotten more sophisticated. What is still underdeveloped is the integration layer, the collaborative architecture that lets Bezos Earth Fund, defense-aligned foundations, and food sovereignty funders all work on this together without duplicating effort or talking past each other. No one is building that right now. That is the gap.</w:t>
      </w:r>
    </w:p>
    <w:p>
      <w:pPr>
        <w:spacing w:after="160" w:line="300"/>
      </w:pPr>
      <w:r>
        <w:rPr>
          <w:rFonts w:ascii="Georgia" w:cs="Georgia" w:eastAsia="Georgia" w:hAnsi="Georgia"/>
          <w:sz w:val="24"/>
          <w:szCs w:val="24"/>
        </w:rPr>
        <w:t xml:space="preserve">The energy independence argument took decades to become consensus. The protein sovereignty argument is earlier, and the window for shaping the infrastructure decisions that will determine how the transition happens is shorter. The Hormuz disruption was a live demonstration. The question is whether the philanthropic community treats it as a signal or a news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2026-06-03T02:43:31.266Z</dcterms:created>
  <dcterms:modified xsi:type="dcterms:W3CDTF">2026-06-03T02:43:31.267Z</dcterms:modified>
</cp:coreProperties>
</file>

<file path=docProps/custom.xml><?xml version="1.0" encoding="utf-8"?>
<Properties xmlns="http://schemas.openxmlformats.org/officeDocument/2006/custom-properties" xmlns:vt="http://schemas.openxmlformats.org/officeDocument/2006/docPropsVTypes"/>
</file>