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235" w:rsidRPr="009E6235" w:rsidRDefault="009E6235" w:rsidP="009E623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E6235">
        <w:rPr>
          <w:rFonts w:ascii="Times New Roman" w:hAnsi="Times New Roman" w:cs="Times New Roman"/>
          <w:b/>
          <w:sz w:val="36"/>
          <w:szCs w:val="36"/>
        </w:rPr>
        <w:t>CNN Architecture: Our Custom Model</w:t>
      </w:r>
    </w:p>
    <w:p w:rsidR="009E6235" w:rsidRDefault="009E6235"/>
    <w:p w:rsidR="00BD4313" w:rsidRDefault="009E6235">
      <w:r w:rsidRPr="009E6235">
        <w:drawing>
          <wp:inline distT="0" distB="0" distL="0" distR="0">
            <wp:extent cx="6043576" cy="401857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ojects\Counterfeit Currency Detection\Research Paper Work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705" b="2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532" cy="402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E6235"/>
    <w:rsid w:val="009E6235"/>
    <w:rsid w:val="00BD4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2019-08-12T12:02:00Z</dcterms:created>
  <dcterms:modified xsi:type="dcterms:W3CDTF">2019-08-12T12:03:00Z</dcterms:modified>
</cp:coreProperties>
</file>