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pPr>
      <w:r>
        <w:rPr>
          <w:rFonts w:ascii="Arial" w:hAnsi="Arial"/>
          <w:b/>
          <w:color w:val="2563EB"/>
          <w:sz w:val="20"/>
        </w:rPr>
        <w:t>COMMONWEALTH MIGRATION CANADA</w:t>
      </w:r>
    </w:p>
    <w:p>
      <w:pPr>
        <w:pStyle w:val="Title"/>
        <w:spacing w:after="240"/>
      </w:pPr>
      <w:r>
        <w:t>Commonwealth Migration Canada SEO Audit</w:t>
      </w:r>
    </w:p>
    <w:p>
      <w:pPr>
        <w:spacing w:after="560"/>
      </w:pPr>
      <w:r>
        <w:rPr>
          <w:rFonts w:ascii="Arial" w:hAnsi="Arial"/>
          <w:color w:val="4B5563"/>
          <w:sz w:val="32"/>
        </w:rPr>
        <w:t>SEO, GEO and AEO findings for commonwealthmigration.ca</w:t>
      </w:r>
    </w:p>
    <w:p>
      <w:pPr>
        <w:spacing w:before="700"/>
      </w:pPr>
    </w:p>
    <w:p>
      <w:pPr>
        <w:spacing w:after="120"/>
      </w:pPr>
      <w:r>
        <w:rPr>
          <w:rFonts w:ascii="Arial" w:hAnsi="Arial"/>
          <w:b/>
          <w:color w:val="1B2A4A"/>
          <w:sz w:val="22"/>
        </w:rPr>
        <w:t xml:space="preserve">Audit date: </w:t>
      </w:r>
      <w:r>
        <w:rPr>
          <w:rFonts w:ascii="Arial" w:hAnsi="Arial"/>
          <w:color w:val="111827"/>
          <w:sz w:val="22"/>
        </w:rPr>
        <w:t>7 September 2026</w:t>
      </w:r>
    </w:p>
    <w:p>
      <w:pPr>
        <w:spacing w:after="120"/>
      </w:pPr>
      <w:r>
        <w:rPr>
          <w:rFonts w:ascii="Arial" w:hAnsi="Arial"/>
          <w:b/>
          <w:color w:val="1B2A4A"/>
          <w:sz w:val="22"/>
        </w:rPr>
        <w:t xml:space="preserve">Scope: </w:t>
      </w:r>
      <w:r>
        <w:rPr>
          <w:rFonts w:ascii="Arial" w:hAnsi="Arial"/>
          <w:color w:val="111827"/>
          <w:sz w:val="22"/>
        </w:rPr>
        <w:t>Whole site content, metadata, technical SEO, entity trust, Google Search demand and answer visibility</w:t>
      </w:r>
    </w:p>
    <w:p>
      <w:pPr>
        <w:spacing w:after="120"/>
      </w:pPr>
      <w:r>
        <w:rPr>
          <w:rFonts w:ascii="Arial" w:hAnsi="Arial"/>
          <w:b/>
          <w:color w:val="1B2A4A"/>
          <w:sz w:val="22"/>
        </w:rPr>
        <w:t xml:space="preserve">Visual constraint: </w:t>
      </w:r>
      <w:r>
        <w:rPr>
          <w:rFonts w:ascii="Arial" w:hAnsi="Arial"/>
          <w:color w:val="111827"/>
          <w:sz w:val="22"/>
        </w:rPr>
        <w:t>Keep the existing visual UI and UX unchanged</w:t>
      </w:r>
    </w:p>
    <w:p>
      <w:pPr>
        <w:spacing w:after="120"/>
      </w:pPr>
      <w:r>
        <w:rPr>
          <w:rFonts w:ascii="Arial" w:hAnsi="Arial"/>
          <w:b/>
          <w:color w:val="1B2A4A"/>
          <w:sz w:val="22"/>
        </w:rPr>
        <w:t xml:space="preserve">Data constraint: </w:t>
      </w:r>
      <w:r>
        <w:rPr>
          <w:rFonts w:ascii="Arial" w:hAnsi="Arial"/>
          <w:color w:val="111827"/>
          <w:sz w:val="22"/>
        </w:rPr>
        <w:t>Do not change official government tables or their data</w:t>
      </w:r>
    </w:p>
    <w:p>
      <w:pPr>
        <w:spacing w:after="120"/>
      </w:pPr>
      <w:r>
        <w:rPr>
          <w:rFonts w:ascii="Arial" w:hAnsi="Arial"/>
          <w:b/>
          <w:color w:val="1B2A4A"/>
          <w:sz w:val="22"/>
        </w:rPr>
        <w:t xml:space="preserve">Prepared for: </w:t>
      </w:r>
      <w:r>
        <w:rPr>
          <w:rFonts w:ascii="Arial" w:hAnsi="Arial"/>
          <w:color w:val="111827"/>
          <w:sz w:val="22"/>
        </w:rPr>
        <w:t>Commonwealth Migration Group Inc.</w:t>
      </w:r>
    </w:p>
    <w:p>
      <w:pPr>
        <w:spacing w:before="1700"/>
      </w:pPr>
      <w:r>
        <w:rPr>
          <w:rFonts w:ascii="Arial" w:hAnsi="Arial"/>
          <w:b/>
          <w:color w:val="2563EB"/>
          <w:sz w:val="22"/>
        </w:rPr>
        <w:t>Decision summary</w:t>
      </w:r>
    </w:p>
    <w:p>
      <w:pPr>
        <w:spacing w:after="0"/>
      </w:pPr>
      <w:r>
        <w:rPr>
          <w:rFonts w:ascii="Arial" w:hAnsi="Arial"/>
          <w:color w:val="111827"/>
          <w:sz w:val="24"/>
        </w:rPr>
        <w:t>The website has a strong content and technical foundation, but the highest-value SEO gains depend first on fixing trust/entity inconsistencies, broken consultation links and the sitewide title suffix. Keyword expansion should then be applied naturally to the existing copy blocks without changing the page layout or official data tables.</w:t>
      </w:r>
    </w:p>
    <w:p>
      <w:r>
        <w:br w:type="page"/>
      </w:r>
    </w:p>
    <w:p>
      <w:pPr>
        <w:pStyle w:val="Heading1"/>
        <w:keepNext/>
        <w:spacing w:before="240" w:after="100"/>
      </w:pPr>
      <w:r>
        <w:t>Executive summary</w:t>
      </w:r>
    </w:p>
    <w:p>
      <w:pPr>
        <w:pStyle w:val="BodyText"/>
        <w:spacing w:after="120" w:line="259" w:lineRule="auto"/>
      </w:pPr>
      <w:r>
        <w:rPr>
          <w:rFonts w:ascii="Arial" w:hAnsi="Arial"/>
          <w:b/>
          <w:color w:val="111827"/>
          <w:sz w:val="21"/>
        </w:rPr>
        <w:t xml:space="preserve">Overall conclusion. </w:t>
      </w:r>
      <w:r>
        <w:rPr>
          <w:rFonts w:ascii="Arial" w:hAnsi="Arial"/>
          <w:color w:val="111827"/>
          <w:sz w:val="21"/>
        </w:rPr>
        <w:t>The site is structurally ready for a focused SEO content pass. It has a clear Canadian immigration topic universe, many dedicated service URLs, strong visible expertise signals, canonical tags, descriptive page metadata, accessible image alt text in the sampled crawl and direct links to official sources. The main ranking risk is not a lack of keywords; it is that several high-trust signals are inconsistent or operationally incomplete.</w:t>
      </w:r>
    </w:p>
    <w:p>
      <w:pPr>
        <w:pStyle w:val="BodyText"/>
        <w:spacing w:after="120" w:line="259" w:lineRule="auto"/>
      </w:pPr>
      <w:r>
        <w:rPr>
          <w:rFonts w:ascii="Arial" w:hAnsi="Arial"/>
          <w:b/>
          <w:color w:val="111827"/>
          <w:sz w:val="21"/>
        </w:rPr>
        <w:t xml:space="preserve">Recommended direction. </w:t>
      </w:r>
      <w:r>
        <w:rPr>
          <w:rFonts w:ascii="Arial" w:hAnsi="Arial"/>
          <w:color w:val="111827"/>
          <w:sz w:val="21"/>
        </w:rPr>
        <w:t>The homepage can target a local-commercial primary intent while supporting Canada-wide service terms. Semrush’s Canada snapshot shows “immigration consultant Brampton” at 480 monthly searches, commercial intent and KD 48; related local terms include “Brampton immigration consultancy” at 390 searches and KD 32, and “immigration consultant in Brampton” at 170 searches and KD 39. The current visible homepage already covers most of these themes, so the next step should be a controlled copy and metadata refinement rather than a visual redesign.</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0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Area</w:t>
            </w:r>
          </w:p>
        </w:tc>
        <w:tc>
          <w:tcPr>
            <w:tcW w:type="dxa" w:w="100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Score</w:t>
            </w:r>
          </w:p>
        </w:tc>
        <w:tc>
          <w:tcPr>
            <w:tcW w:type="dxa" w:w="43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Why this score</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Main unlock</w:t>
            </w:r>
          </w:p>
        </w:tc>
      </w:tr>
      <w:tr>
        <w:trPr>
          <w:cantSplit/>
        </w:trPr>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SEO</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6 / 10</w:t>
            </w:r>
          </w:p>
        </w:tc>
        <w:tc>
          <w:tcPr>
            <w:tcW w:type="dxa" w:w="43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Strong crawlable structure, clean canonical pattern and broad page coverage; reduced by long rendered titles, thin aggregation pages and broken contact destinations.</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Fix routes and metadata, then build clearer page-to-keyword ownership.</w:t>
            </w:r>
          </w:p>
        </w:tc>
      </w:tr>
      <w:tr>
        <w:trPr>
          <w:cantSplit/>
        </w:trPr>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GEO</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5 / 10</w:t>
            </w:r>
          </w:p>
        </w:tc>
        <w:tc>
          <w:tcPr>
            <w:tcW w:type="dxa" w:w="43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The site names a regulated practice and links to official sources, but the licence, identity, address and social entity signals are not fully consistent.</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Reconcile the real entity facts and substantiate experience claims.</w:t>
            </w:r>
          </w:p>
        </w:tc>
      </w:tr>
      <w:tr>
        <w:trPr>
          <w:cantSplit/>
        </w:trPr>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AEO</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5 / 10</w:t>
            </w:r>
          </w:p>
        </w:tc>
        <w:tc>
          <w:tcPr>
            <w:tcW w:type="dxa" w:w="43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The site has FAQs, tables and direct-answer copy, but page-specific FAQ/schema coverage is limited on most service pages.</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Add compliant page-level answer structures around existing content.</w:t>
            </w:r>
          </w:p>
        </w:tc>
      </w:tr>
    </w:tbl>
    <w:p>
      <w:pPr>
        <w:spacing w:after="20"/>
      </w:pPr>
    </w:p>
    <w:p>
      <w:pPr>
        <w:pStyle w:val="Heading2"/>
        <w:keepNext/>
        <w:spacing w:before="160" w:after="100"/>
      </w:pPr>
      <w:r>
        <w:t>Highest priority actions before keyword editing</w:t>
      </w:r>
    </w:p>
    <w:p>
      <w:pPr>
        <w:pStyle w:val="ListNumber"/>
        <w:spacing w:after="60" w:line="252" w:lineRule="auto"/>
      </w:pPr>
      <w:r>
        <w:rPr>
          <w:rFonts w:ascii="Arial" w:hAnsi="Arial"/>
          <w:color w:val="111827"/>
          <w:sz w:val="20"/>
        </w:rPr>
        <w:t>Resolve the RCIC identity conflict: the global configuration/footer/schema shows R705959, while visible legal and consultant copy names Vishal Arora as R711592. Verify the correct licence(s) directly in the CICC Public Register and make the public entity relationship unambiguous.</w:t>
      </w:r>
    </w:p>
    <w:p>
      <w:pPr>
        <w:pStyle w:val="ListNumber"/>
        <w:spacing w:after="60" w:line="252" w:lineRule="auto"/>
      </w:pPr>
      <w:r>
        <w:rPr>
          <w:rFonts w:ascii="Arial" w:hAnsi="Arial"/>
          <w:color w:val="111827"/>
          <w:sz w:val="20"/>
        </w:rPr>
        <w:t>Repair the two live internal destinations that return 404: /contact/book-immigration-consultation-canada and /contact/contact-immigration-consultant-brampton. These are repeatedly linked from conversion points, footer content and service pages.</w:t>
      </w:r>
    </w:p>
    <w:p>
      <w:pPr>
        <w:pStyle w:val="ListNumber"/>
        <w:spacing w:after="60" w:line="252" w:lineRule="auto"/>
      </w:pPr>
      <w:r>
        <w:rPr>
          <w:rFonts w:ascii="Arial" w:hAnsi="Arial"/>
          <w:color w:val="111827"/>
          <w:sz w:val="20"/>
        </w:rPr>
        <w:t>Normalize the public address, postal code, country code, social profiles and organization schema. The current public address differs from the legal-page address, the LinkedIn value points to Instagram, and the machine-readable country/location fields are not clean.</w:t>
      </w:r>
    </w:p>
    <w:p>
      <w:pPr>
        <w:pStyle w:val="ListNumber"/>
        <w:spacing w:after="60" w:line="252" w:lineRule="auto"/>
      </w:pPr>
      <w:r>
        <w:rPr>
          <w:rFonts w:ascii="Arial" w:hAnsi="Arial"/>
          <w:color w:val="111827"/>
          <w:sz w:val="20"/>
        </w:rPr>
        <w:t>Shorten the rendered page titles. The source titles are mostly reasonable, but the observed layout appends “ | CMG | Commonwealth Migration Group Inc.” to the dynamic pages; this makes all 96 CMG data pages longer than 60 characters and 50 longer than 90 characters.</w:t>
      </w:r>
    </w:p>
    <w:p>
      <w:pPr>
        <w:pStyle w:val="ListNumber"/>
        <w:spacing w:after="60" w:line="252" w:lineRule="auto"/>
      </w:pPr>
      <w:r>
        <w:rPr>
          <w:rFonts w:ascii="Arial" w:hAnsi="Arial"/>
          <w:color w:val="111827"/>
          <w:sz w:val="20"/>
        </w:rPr>
        <w:t>Only after the above: refine homepage and money-page copy around one primary search intent per URL. Avoid keyword stuffing, city lists, unsupported superlatives and any edits to official government table rows or values.</w:t>
      </w:r>
    </w:p>
    <w:p>
      <w:pPr>
        <w:pStyle w:val="Heading1"/>
        <w:keepNext/>
        <w:spacing w:before="240" w:after="100"/>
      </w:pPr>
      <w:r>
        <w:t>Scope and audit guardrails</w:t>
      </w:r>
    </w:p>
    <w:p>
      <w:pPr>
        <w:pStyle w:val="BodyText"/>
        <w:spacing w:after="120" w:line="259" w:lineRule="auto"/>
      </w:pPr>
      <w:r>
        <w:rPr>
          <w:rFonts w:ascii="Arial" w:hAnsi="Arial"/>
          <w:b/>
          <w:color w:val="111827"/>
          <w:sz w:val="21"/>
        </w:rPr>
        <w:t xml:space="preserve">Scope. </w:t>
      </w:r>
      <w:r>
        <w:rPr>
          <w:rFonts w:ascii="Arial" w:hAnsi="Arial"/>
          <w:color w:val="111827"/>
          <w:sz w:val="21"/>
        </w:rPr>
        <w:t>This was a full-site review of the public rendered website plus the Next.js source that generates metadata, route inventory, structured data, sitemap/robots output and content blocks. The review was performed on 7 September 2026. The source inventory contains 96 CMG content pages, 3 dedicated About pages, 6 pageData routes and the separate Express Entry draws route. Four legal pages were also checked for indexation/trust hygiene.</w:t>
      </w:r>
    </w:p>
    <w:p>
      <w:pPr>
        <w:pStyle w:val="BodyText"/>
        <w:spacing w:after="120" w:line="259" w:lineRule="auto"/>
      </w:pPr>
      <w:r>
        <w:rPr>
          <w:rFonts w:ascii="Arial" w:hAnsi="Arial"/>
          <w:b/>
          <w:color w:val="111827"/>
          <w:sz w:val="21"/>
        </w:rPr>
        <w:t xml:space="preserve">Coverage. </w:t>
      </w:r>
      <w:r>
        <w:rPr>
          <w:rFonts w:ascii="Arial" w:hAnsi="Arial"/>
          <w:color w:val="111827"/>
          <w:sz w:val="21"/>
        </w:rPr>
        <w:t>The live browser crawl assembled 106 meaningful URLs. Automated extraction succeeded for 102 rows; four route checks were affected by intermittent browser transport failures, and representative retries independently confirmed the shared service-page template plus additional provincial, visitor, sponsorship, citizenship and inadmissibility routes. Local source validation also passed for 6 pageData Markdown files and 6 route records.</w:t>
      </w:r>
    </w:p>
    <w:p>
      <w:pPr>
        <w:pStyle w:val="Heading2"/>
        <w:keepNext/>
        <w:spacing w:before="160" w:after="100"/>
      </w:pPr>
      <w:r>
        <w:t>Non-negotiable table and UI/UX freeze</w:t>
      </w:r>
    </w:p>
    <w:p>
      <w:pPr>
        <w:pStyle w:val="BodyText"/>
        <w:spacing w:after="120" w:line="259" w:lineRule="auto"/>
      </w:pPr>
      <w:r>
        <w:rPr>
          <w:rFonts w:ascii="Arial" w:hAnsi="Arial"/>
          <w:b/>
          <w:color w:val="111827"/>
          <w:sz w:val="21"/>
        </w:rPr>
        <w:t xml:space="preserve">Visual freeze. </w:t>
      </w:r>
      <w:r>
        <w:rPr>
          <w:rFonts w:ascii="Arial" w:hAnsi="Arial"/>
          <w:color w:val="111827"/>
          <w:sz w:val="21"/>
        </w:rPr>
        <w:t>No website changes were made during this audit. The report recommends changes to wording, metadata, internal links, entity signals and structured data only. Existing visual hierarchy, component structure, colors, spacing, imagery and interaction patterns should remain unchanged unless a later task explicitly authorizes a UI change.</w:t>
      </w:r>
    </w:p>
    <w:p>
      <w:pPr>
        <w:pStyle w:val="BodyText"/>
        <w:spacing w:after="120" w:line="259" w:lineRule="auto"/>
      </w:pPr>
      <w:r>
        <w:rPr>
          <w:rFonts w:ascii="Arial" w:hAnsi="Arial"/>
          <w:b/>
          <w:color w:val="111827"/>
          <w:sz w:val="21"/>
        </w:rPr>
        <w:t xml:space="preserve">Government data freeze. </w:t>
      </w:r>
      <w:r>
        <w:rPr>
          <w:rFonts w:ascii="Arial" w:hAnsi="Arial"/>
          <w:color w:val="111827"/>
          <w:sz w:val="21"/>
        </w:rPr>
        <w:t>The source library contains 216 table blocks across the 96 CMG pages. The live service template labels these areas as “OFFICIAL DATA” and presents them in the supplied source sequence. Those tables and their government data must be treated as immutable. Future content edits should be limited to the surrounding introduction, explanation, FAQ answers, captions/anchors, source links and metadata. A future implementation should add an automated before/after table-content comparison as a release gate.</w:t>
      </w:r>
    </w:p>
    <w:p>
      <w:pPr>
        <w:pStyle w:val="Heading2"/>
        <w:keepNext/>
        <w:spacing w:before="160" w:after="100"/>
      </w:pPr>
      <w:r>
        <w:t>Evidence limitations</w:t>
      </w:r>
    </w:p>
    <w:p>
      <w:pPr>
        <w:pStyle w:val="ListBullet"/>
        <w:spacing w:after="60" w:line="252" w:lineRule="auto"/>
      </w:pPr>
      <w:r>
        <w:rPr>
          <w:rFonts w:ascii="Arial" w:hAnsi="Arial"/>
          <w:color w:val="111827"/>
          <w:sz w:val="20"/>
        </w:rPr>
        <w:t>Google Search Console property data was not available in the connected workspace. This report therefore does not claim actual impressions, clicks, queries, average position, indexing coverage or manual actions.</w:t>
      </w:r>
    </w:p>
    <w:p>
      <w:pPr>
        <w:pStyle w:val="ListBullet"/>
        <w:spacing w:after="60" w:line="252" w:lineRule="auto"/>
      </w:pPr>
      <w:r>
        <w:rPr>
          <w:rFonts w:ascii="Arial" w:hAnsi="Arial"/>
          <w:color w:val="111827"/>
          <w:sz w:val="20"/>
        </w:rPr>
        <w:t>The public Ahrefs keyword-generator page was opened for Canada keyword research, but its Cloudflare Turnstile challenge prevented the metric output from loading. No Ahrefs volume or difficulty values are fabricated here.</w:t>
      </w:r>
    </w:p>
    <w:p>
      <w:pPr>
        <w:pStyle w:val="ListBullet"/>
        <w:spacing w:after="60" w:line="252" w:lineRule="auto"/>
      </w:pPr>
      <w:r>
        <w:rPr>
          <w:rFonts w:ascii="Arial" w:hAnsi="Arial"/>
          <w:color w:val="111827"/>
          <w:sz w:val="20"/>
        </w:rPr>
        <w:t>Google Trends was opened for Canada with the seeds “immigration consultant Brampton”, “Express Entry Canada” and “Canada work permit”; chart values were not exposed by the automated browser session. The report uses no numeric Trends claims.</w:t>
      </w:r>
    </w:p>
    <w:p>
      <w:pPr>
        <w:pStyle w:val="ListBullet"/>
        <w:spacing w:after="60" w:line="252" w:lineRule="auto"/>
      </w:pPr>
      <w:r>
        <w:rPr>
          <w:rFonts w:ascii="Arial" w:hAnsi="Arial"/>
          <w:color w:val="111827"/>
          <w:sz w:val="20"/>
        </w:rPr>
        <w:t>Semrush’s free Keyword Tool, powered by Keyword Magic Tool, was queried in the Canada database for “immigration consultant Brampton”, “Express Entry Canada”, “Canada work permit” and “Canada study permit”. It returned a limited first-15 sample with monthly volume, KD, intent and CPC; no full authenticated export was available. The measured snapshot now replaces qualitative-only tiers where the exact query was observed. Unqueried clusters remain planning recommendations, not claimed Semrush metrics.</w:t>
      </w:r>
    </w:p>
    <w:p>
      <w:pPr>
        <w:pStyle w:val="ListBullet"/>
        <w:spacing w:after="60" w:line="252" w:lineRule="auto"/>
      </w:pPr>
      <w:r>
        <w:rPr>
          <w:rFonts w:ascii="Arial" w:hAnsi="Arial"/>
          <w:color w:val="111827"/>
          <w:sz w:val="20"/>
        </w:rPr>
        <w:t>Ubersuggest and AnswerThePublic public information pages were reviewed as tool references, but no authenticated result set was available from those tools.</w:t>
      </w:r>
    </w:p>
    <w:p>
      <w:pPr>
        <w:pStyle w:val="ListBullet"/>
        <w:spacing w:after="60" w:line="252" w:lineRule="auto"/>
      </w:pPr>
      <w:r>
        <w:rPr>
          <w:rFonts w:ascii="Arial" w:hAnsi="Arial"/>
          <w:color w:val="111827"/>
          <w:sz w:val="20"/>
        </w:rPr>
        <w:t>Live robots.txt and sitemap.xml fetches were not consistently retrievable in the browser session. Their source generators were reviewed locally and are configured to advertise the production sitemap and emit the site page inventory.</w:t>
      </w:r>
    </w:p>
    <w:p>
      <w:pPr>
        <w:pStyle w:val="Heading1"/>
        <w:keepNext/>
        <w:spacing w:before="240" w:after="100"/>
      </w:pPr>
      <w:r>
        <w:t>Current site snapshot</w:t>
      </w:r>
    </w:p>
    <w:p>
      <w:pPr>
        <w:pStyle w:val="BodyText"/>
        <w:spacing w:after="120" w:line="259" w:lineRule="auto"/>
      </w:pPr>
      <w:r>
        <w:rPr>
          <w:rFonts w:ascii="Arial" w:hAnsi="Arial"/>
          <w:b/>
          <w:color w:val="111827"/>
          <w:sz w:val="21"/>
        </w:rPr>
        <w:t xml:space="preserve">Homepage strengths. </w:t>
      </w:r>
      <w:r>
        <w:rPr>
          <w:rFonts w:ascii="Arial" w:hAnsi="Arial"/>
          <w:color w:val="111827"/>
          <w:sz w:val="21"/>
        </w:rPr>
        <w:t>The homepage is a strong starting point for a people-first SEO pass. Its visible H1 is “Licensed RCIC Immigration Consultants Canada”; the page covers Express Entry, PNP, work permits, study permits, family sponsorship, refusals, LMIA/employer services, free tools, an assessment flow, FAQs, official-source references and an RCIC profile. The page also has descriptive image alt text and a canonical URL.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Observed element</w:t>
            </w:r>
          </w:p>
        </w:tc>
        <w:tc>
          <w:tcPr>
            <w:tcW w:type="dxa" w:w="460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Current state</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Assessment</w:t>
            </w:r>
          </w:p>
        </w:tc>
      </w:tr>
      <w:tr>
        <w:trPr>
          <w:cantSplit/>
        </w:trPr>
        <w:tc>
          <w:tcPr>
            <w:tcW w:type="dxa" w:w="180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Homepage title</w:t>
            </w:r>
          </w:p>
        </w:tc>
        <w:tc>
          <w:tcPr>
            <w:tcW w:type="dxa" w:w="46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Licensed RCIC Immigration Consultants | Canada &amp; GTA</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Relevant and concise enough for the homepage; consider choosing one dominant local-vs-national intent.</w:t>
            </w:r>
          </w:p>
        </w:tc>
      </w:tr>
      <w:tr>
        <w:trPr>
          <w:cantSplit/>
        </w:trPr>
        <w:tc>
          <w:tcPr>
            <w:tcW w:type="dxa" w:w="180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Homepage meta description</w:t>
            </w:r>
          </w:p>
        </w:tc>
        <w:tc>
          <w:tcPr>
            <w:tcW w:type="dxa" w:w="46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CICC-regulated RCICs in Brampton &amp; GTA, Canada-wide. Express Entry, PNP, LMIA, work &amp; study permits, family sponsorship, and refusals. Free assessment.</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Strong coverage; keep it natural and conversion-led rather than adding more terms.</w:t>
            </w:r>
          </w:p>
        </w:tc>
      </w:tr>
      <w:tr>
        <w:trPr>
          <w:cantSplit/>
        </w:trPr>
        <w:tc>
          <w:tcPr>
            <w:tcW w:type="dxa" w:w="180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Homepage H1</w:t>
            </w:r>
          </w:p>
        </w:tc>
        <w:tc>
          <w:tcPr>
            <w:tcW w:type="dxa" w:w="46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Licensed RCIC Immigration Consultants Canada</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Clear, but it does not include Brampton in the primary above-the-fold phrase.</w:t>
            </w:r>
          </w:p>
        </w:tc>
      </w:tr>
      <w:tr>
        <w:trPr>
          <w:cantSplit/>
        </w:trPr>
        <w:tc>
          <w:tcPr>
            <w:tcW w:type="dxa" w:w="180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Canonical and language</w:t>
            </w:r>
          </w:p>
        </w:tc>
        <w:tc>
          <w:tcPr>
            <w:tcW w:type="dxa" w:w="46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Homepage and sampled pages had self-referencing canonical URLs; html lang is en.</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Good baseline.</w:t>
            </w:r>
          </w:p>
        </w:tc>
      </w:tr>
      <w:tr>
        <w:trPr>
          <w:cantSplit/>
        </w:trPr>
        <w:tc>
          <w:tcPr>
            <w:tcW w:type="dxa" w:w="180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Source page inventory</w:t>
            </w:r>
          </w:p>
        </w:tc>
        <w:tc>
          <w:tcPr>
            <w:tcW w:type="dxa" w:w="46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96 CMG pages with distinct source titles, descriptions and H1 values; 3 About pages add entity/process/location intent.</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Good topical breadth; needs clearer keyword ownership.</w:t>
            </w:r>
          </w:p>
        </w:tc>
      </w:tr>
      <w:tr>
        <w:trPr>
          <w:cantSplit/>
        </w:trPr>
        <w:tc>
          <w:tcPr>
            <w:tcW w:type="dxa" w:w="180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Rendered service copy</w:t>
            </w:r>
          </w:p>
        </w:tc>
        <w:tc>
          <w:tcPr>
            <w:tcW w:type="dxa" w:w="46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Typically about 1,100-1,300 words including the shared template; homepage about 1,575 words; Blog about 487 words; Draws about 464 words.</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Enough depth on money pages; aggregation pages need stronger unique value.</w:t>
            </w:r>
          </w:p>
        </w:tc>
      </w:tr>
      <w:tr>
        <w:trPr>
          <w:cantSplit/>
        </w:trPr>
        <w:tc>
          <w:tcPr>
            <w:tcW w:type="dxa" w:w="180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FAQ content</w:t>
            </w:r>
          </w:p>
        </w:tc>
        <w:tc>
          <w:tcPr>
            <w:tcW w:type="dxa" w:w="46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All 96 CMG data pages contain Q/A blocks in source content; the homepage and About pages expose page-specific FAQ schema.</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Good content inventory; most service pages need schema and more query-shaped questions.</w:t>
            </w:r>
          </w:p>
        </w:tc>
      </w:tr>
      <w:tr>
        <w:trPr>
          <w:cantSplit/>
        </w:trPr>
        <w:tc>
          <w:tcPr>
            <w:tcW w:type="dxa" w:w="180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Images</w:t>
            </w:r>
          </w:p>
        </w:tc>
        <w:tc>
          <w:tcPr>
            <w:tcW w:type="dxa" w:w="46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No missing alt text was observed on the homepage or sampled service routes.</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Keep this standard in future uploads.</w:t>
            </w:r>
          </w:p>
        </w:tc>
      </w:tr>
    </w:tbl>
    <w:p>
      <w:pPr>
        <w:spacing w:after="20"/>
      </w:pPr>
    </w:p>
    <w:p>
      <w:pPr>
        <w:pStyle w:val="Heading2"/>
        <w:keepNext/>
        <w:spacing w:before="160" w:after="100"/>
      </w:pPr>
      <w:r>
        <w:t>Metadata length findings</w:t>
      </w:r>
    </w:p>
    <w:p>
      <w:pPr>
        <w:pStyle w:val="BodyText"/>
        <w:spacing w:after="120" w:line="259" w:lineRule="auto"/>
      </w:pPr>
      <w:r>
        <w:rPr>
          <w:rFonts w:ascii="Arial" w:hAnsi="Arial"/>
          <w:b/>
          <w:color w:val="111827"/>
          <w:sz w:val="21"/>
        </w:rPr>
        <w:t xml:space="preserve">Titles. </w:t>
      </w:r>
      <w:r>
        <w:rPr>
          <w:rFonts w:ascii="Arial" w:hAnsi="Arial"/>
          <w:color w:val="111827"/>
          <w:sz w:val="21"/>
        </w:rPr>
        <w:t>The source data is better than the final rendered title output. Across the 96 CMG data pages, 82 source titles are under 60 characters, but the observed Next.js title template appends “ | CMG | Commonwealth Migration Group Inc.”. After that suffix, all 96 are over 60 characters, 50 are over 90 characters and the longest is the Yukon/NWT page at 123 characters. Google may rewrite long title links, but the site should give Google a concise, page-specific title to start with.</w:t>
      </w:r>
    </w:p>
    <w:p>
      <w:pPr>
        <w:pStyle w:val="BodyText"/>
        <w:spacing w:after="120" w:line="259" w:lineRule="auto"/>
      </w:pPr>
      <w:r>
        <w:rPr>
          <w:rFonts w:ascii="Arial" w:hAnsi="Arial"/>
          <w:b/>
          <w:color w:val="111827"/>
          <w:sz w:val="21"/>
        </w:rPr>
        <w:t xml:space="preserve">Descriptions. </w:t>
      </w:r>
      <w:r>
        <w:rPr>
          <w:rFonts w:ascii="Arial" w:hAnsi="Arial"/>
          <w:color w:val="111827"/>
          <w:sz w:val="21"/>
        </w:rPr>
        <w:t>All 96 CMG data pages have a meta description. Based on the source description field, 81 are in the practical 120-170 character range, 14 are under 120 characters and 1 is over 170 characters. The descriptions are generally unique and intent-specific; the next pass should tighten the outliers and align each description with the page’s primary query and conversion action.</w:t>
      </w:r>
    </w:p>
    <w:p>
      <w:pPr>
        <w:pStyle w:val="Heading2"/>
        <w:keepNext/>
        <w:spacing w:before="160" w:after="100"/>
      </w:pPr>
      <w:r>
        <w:t>What is already working</w:t>
      </w:r>
    </w:p>
    <w:p>
      <w:pPr>
        <w:pStyle w:val="ListBullet"/>
        <w:spacing w:after="60" w:line="252" w:lineRule="auto"/>
      </w:pPr>
      <w:r>
        <w:rPr>
          <w:rFonts w:ascii="Arial" w:hAnsi="Arial"/>
          <w:color w:val="111827"/>
          <w:sz w:val="20"/>
        </w:rPr>
        <w:t>One meaningful H1 per sampled page, with page-specific headings and keyword-led slugs such as /immigrate/express-entry and /work-and-study/canada-work-permit-overview.</w:t>
      </w:r>
    </w:p>
    <w:p>
      <w:pPr>
        <w:pStyle w:val="ListBullet"/>
        <w:spacing w:after="60" w:line="252" w:lineRule="auto"/>
      </w:pPr>
      <w:r>
        <w:rPr>
          <w:rFonts w:ascii="Arial" w:hAnsi="Arial"/>
          <w:color w:val="111827"/>
          <w:sz w:val="20"/>
        </w:rPr>
        <w:t>Self-referencing canonical URLs were observed on the homepage, service pages, tools, blog and payment route.</w:t>
      </w:r>
    </w:p>
    <w:p>
      <w:pPr>
        <w:pStyle w:val="ListBullet"/>
        <w:spacing w:after="60" w:line="252" w:lineRule="auto"/>
      </w:pPr>
      <w:r>
        <w:rPr>
          <w:rFonts w:ascii="Arial" w:hAnsi="Arial"/>
          <w:color w:val="111827"/>
          <w:sz w:val="20"/>
        </w:rPr>
        <w:t>Sitewide JSON-LD includes a ProfessionalService entity and WebSite entity; dedicated About pages include richer AboutPage, HowTo and FAQ structures.</w:t>
      </w:r>
    </w:p>
    <w:p>
      <w:pPr>
        <w:pStyle w:val="ListBullet"/>
        <w:spacing w:after="60" w:line="252" w:lineRule="auto"/>
      </w:pPr>
      <w:r>
        <w:rPr>
          <w:rFonts w:ascii="Arial" w:hAnsi="Arial"/>
          <w:color w:val="111827"/>
          <w:sz w:val="20"/>
        </w:rPr>
        <w:t>Official IRCC, regulator and authority links are visible in the template and content, supporting fact-checking and trust.</w:t>
      </w:r>
    </w:p>
    <w:p>
      <w:pPr>
        <w:pStyle w:val="ListBullet"/>
        <w:spacing w:after="60" w:line="252" w:lineRule="auto"/>
      </w:pPr>
      <w:r>
        <w:rPr>
          <w:rFonts w:ascii="Arial" w:hAnsi="Arial"/>
          <w:color w:val="111827"/>
          <w:sz w:val="20"/>
        </w:rPr>
        <w:t>The /pay legacy URL redirects to the canonical /contact/pay-immigration-consultation-canada route, which is the correct consolidation pattern.</w:t>
      </w:r>
    </w:p>
    <w:p>
      <w:pPr>
        <w:pStyle w:val="Heading1"/>
        <w:keepNext/>
        <w:spacing w:before="240" w:after="100"/>
      </w:pPr>
      <w:r>
        <w:t>Technical SEO findings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93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Priority</w:t>
            </w:r>
          </w:p>
        </w:tc>
        <w:tc>
          <w:tcPr>
            <w:tcW w:type="dxa" w:w="223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Finding</w:t>
            </w:r>
          </w:p>
        </w:tc>
        <w:tc>
          <w:tcPr>
            <w:tcW w:type="dxa" w:w="352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Evidence</w:t>
            </w:r>
          </w:p>
        </w:tc>
        <w:tc>
          <w:tcPr>
            <w:tcW w:type="dxa" w:w="309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Recommendation</w:t>
            </w:r>
          </w:p>
        </w:tc>
      </w:tr>
      <w:tr>
        <w:trPr>
          <w:cantSplit/>
        </w:trPr>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Critical</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Conversion and internal-link destinations return 404</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Live checks for /contact/book-immigration-consultation-canada and /contact/contact-immigration-consultant-brampton returned 404 responses while retaining the homepage default title in the observed head.</w:t>
            </w:r>
          </w:p>
        </w:tc>
        <w:tc>
          <w:tcPr>
            <w:tcW w:type="dxa" w:w="309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Create/reinstate the intended destinations or replace every link with a confirmed live assessment/contact route. Re-crawl all CTA links after deployment.</w:t>
            </w:r>
          </w:p>
        </w:tc>
      </w:tr>
      <w:tr>
        <w:trPr>
          <w:cantSplit/>
        </w:trPr>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High</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Rendered titles are too long because of the global suffix</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96/96 CMG data pages are over 60 characters after the observed suffix; 50/96 are over 90.</w:t>
            </w:r>
          </w:p>
        </w:tc>
        <w:tc>
          <w:tcPr>
            <w:tcW w:type="dxa" w:w="309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concise page titles and a shorter brand treatment. Preserve the visible H1 styling; this is a head/metadata change.</w:t>
            </w:r>
          </w:p>
        </w:tc>
      </w:tr>
      <w:tr>
        <w:trPr>
          <w:cantSplit/>
        </w:trPr>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High</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Organization identity is inconsistent</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Global config/footer/schema shows RCIC R705959; visible legal and consultant copy names Vishal Arora, RCIC R711592. The homepage also exposes a CICC profile link with a separate ID.</w:t>
            </w:r>
          </w:p>
        </w:tc>
        <w:tc>
          <w:tcPr>
            <w:tcW w:type="dxa" w:w="309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Verify the exact legal entity, licensed representatives and profile URLs. Publish one clear, accurate relationship between firm and individual licensees.</w:t>
            </w:r>
          </w:p>
        </w:tc>
      </w:tr>
      <w:tr>
        <w:trPr>
          <w:cantSplit/>
        </w:trPr>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High</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NAP and structured address fields are inconsistent</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Footer/.env address is “615, 2250 Bovaird Dr East” with city “Brampton, Sandringham- Wellington” and no postal code; legal pages end with “338 Van Kirk Dr, Brampton, ON L7A 1V5”. Country includes an emoji in the machine-readable value.</w:t>
            </w:r>
          </w:p>
        </w:tc>
        <w:tc>
          <w:tcPr>
            <w:tcW w:type="dxa" w:w="309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Choose the correct public NAP, normalize city/region/postal/country to machine-readable values, and use the same NAP on the site, CICC profile and Google Business Profile.</w:t>
            </w:r>
          </w:p>
        </w:tc>
      </w:tr>
      <w:tr>
        <w:trPr>
          <w:cantSplit/>
        </w:trPr>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Medium</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Social entity link is wrong</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The configured LinkedIn URL points to Instagram; the rendered footer labels that URL as LinkedIn.</w:t>
            </w:r>
          </w:p>
        </w:tc>
        <w:tc>
          <w:tcPr>
            <w:tcW w:type="dxa" w:w="309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the real LinkedIn company URL or remove the LinkedIn entity until one exists.</w:t>
            </w:r>
          </w:p>
        </w:tc>
      </w:tr>
      <w:tr>
        <w:trPr>
          <w:cantSplit/>
        </w:trPr>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Medium</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Page-specific structured data is sparse on service pages</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Most observed service routes exposed only global ProfessionalService and WebSite JSON-LD; only a small minority exposed page-specific WebPage, BreadcrumbList or FAQPage types.</w:t>
            </w:r>
          </w:p>
        </w:tc>
        <w:tc>
          <w:tcPr>
            <w:tcW w:type="dxa" w:w="309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Add accurate Service/WebPage/BreadcrumbList/FAQPage markup where the same content is visible on-page. Validate with Rich Results Test and URL Inspection.</w:t>
            </w:r>
          </w:p>
        </w:tc>
      </w:tr>
      <w:tr>
        <w:trPr>
          <w:cantSplit/>
        </w:trPr>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Medium</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Homepage page-level JSON-LD is stale</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Observed WebPage name contains “licensed RCIC immigration consultant Canada 2026 | | Commonwealth”, which does not match the current visible homepage title.</w:t>
            </w:r>
          </w:p>
        </w:tc>
        <w:tc>
          <w:tcPr>
            <w:tcW w:type="dxa" w:w="309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Regenerate the homepage graph from the same source as the visible H1/title and remove duplicated separators.</w:t>
            </w:r>
          </w:p>
        </w:tc>
      </w:tr>
      <w:tr>
        <w:trPr>
          <w:cantSplit/>
        </w:trPr>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Medium</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Legal-page freshness placeholders remain</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Privacy, Terms, Disclaimer and Refund pages contain “Last updated: [insert publish date]”.</w:t>
            </w:r>
          </w:p>
        </w:tc>
        <w:tc>
          <w:tcPr>
            <w:tcW w:type="dxa" w:w="309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Replace placeholders with the approved real dates and confirm legal wording with the responsible reviewer.</w:t>
            </w:r>
          </w:p>
        </w:tc>
      </w:tr>
      <w:tr>
        <w:trPr>
          <w:cantSplit/>
        </w:trPr>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Low</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Open Graph image is a favicon-style square asset</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The default OG image is /images/favicon_LG.webp with 1280x1280 dimensions.</w:t>
            </w:r>
          </w:p>
        </w:tc>
        <w:tc>
          <w:tcPr>
            <w:tcW w:type="dxa" w:w="309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Create a dedicated 1200x630 social image that represents the service brand; this is a share-preview asset, not a UI redesign.</w:t>
            </w:r>
          </w:p>
        </w:tc>
      </w:tr>
    </w:tbl>
    <w:p>
      <w:pPr>
        <w:spacing w:after="20"/>
      </w:pPr>
    </w:p>
    <w:p>
      <w:pPr>
        <w:pStyle w:val="Heading2"/>
        <w:keepNext/>
        <w:spacing w:before="160" w:after="100"/>
      </w:pPr>
      <w:r>
        <w:t>Technical acceptance checks for the next implementation</w:t>
      </w:r>
    </w:p>
    <w:p>
      <w:pPr>
        <w:pStyle w:val="ListBullet"/>
        <w:spacing w:after="60" w:line="252" w:lineRule="auto"/>
      </w:pPr>
      <w:r>
        <w:rPr>
          <w:rFonts w:ascii="Arial" w:hAnsi="Arial"/>
          <w:color w:val="111827"/>
          <w:sz w:val="20"/>
        </w:rPr>
        <w:t>Every internal href resolves to a live intended page or an intentional redirect. No CTA should lead to a 404 or a metadata-fallback page.</w:t>
      </w:r>
    </w:p>
    <w:p>
      <w:pPr>
        <w:pStyle w:val="ListBullet"/>
        <w:spacing w:after="60" w:line="252" w:lineRule="auto"/>
      </w:pPr>
      <w:r>
        <w:rPr>
          <w:rFonts w:ascii="Arial" w:hAnsi="Arial"/>
          <w:color w:val="111827"/>
          <w:sz w:val="20"/>
        </w:rPr>
        <w:t>Every indexable page has one concise title, one unique description, one self-referencing canonical and one visible primary H1.</w:t>
      </w:r>
    </w:p>
    <w:p>
      <w:pPr>
        <w:pStyle w:val="ListBullet"/>
        <w:spacing w:after="60" w:line="252" w:lineRule="auto"/>
      </w:pPr>
      <w:r>
        <w:rPr>
          <w:rFonts w:ascii="Arial" w:hAnsi="Arial"/>
          <w:color w:val="111827"/>
          <w:sz w:val="20"/>
        </w:rPr>
        <w:t>No CSS, layout, component hierarchy, image composition or interaction behavior changes are included in the SEO content patch.</w:t>
      </w:r>
    </w:p>
    <w:p>
      <w:pPr>
        <w:pStyle w:val="ListBullet"/>
        <w:spacing w:after="60" w:line="252" w:lineRule="auto"/>
      </w:pPr>
      <w:r>
        <w:rPr>
          <w:rFonts w:ascii="Arial" w:hAnsi="Arial"/>
          <w:color w:val="111827"/>
          <w:sz w:val="20"/>
        </w:rPr>
        <w:t>A before/after test proves that every official table’s row order and cell values are byte-for-byte unchanged.</w:t>
      </w:r>
    </w:p>
    <w:p>
      <w:pPr>
        <w:pStyle w:val="ListBullet"/>
        <w:spacing w:after="60" w:line="252" w:lineRule="auto"/>
      </w:pPr>
      <w:r>
        <w:rPr>
          <w:rFonts w:ascii="Arial" w:hAnsi="Arial"/>
          <w:color w:val="111827"/>
          <w:sz w:val="20"/>
        </w:rPr>
        <w:t>Structured data is generated from the same canonical facts used in visible copy; no unsupported claims, licenses, addresses or social links are emitted.</w:t>
      </w:r>
    </w:p>
    <w:p>
      <w:pPr>
        <w:pStyle w:val="Heading1"/>
        <w:keepNext/>
        <w:spacing w:before="240" w:after="100"/>
      </w:pPr>
      <w:r>
        <w:t>Keyword research and SERP observations</w:t>
      </w:r>
    </w:p>
    <w:p>
      <w:pPr>
        <w:pStyle w:val="BodyText"/>
        <w:spacing w:after="120" w:line="259" w:lineRule="auto"/>
      </w:pPr>
      <w:r>
        <w:rPr>
          <w:rFonts w:ascii="Arial" w:hAnsi="Arial"/>
          <w:b/>
          <w:color w:val="111827"/>
          <w:sz w:val="21"/>
        </w:rPr>
        <w:t xml:space="preserve">Research conclusion. </w:t>
      </w:r>
      <w:r>
        <w:rPr>
          <w:rFonts w:ascii="Arial" w:hAnsi="Arial"/>
          <w:color w:val="111827"/>
          <w:sz w:val="21"/>
        </w:rPr>
        <w:t>Public Google Search research and the Semrush Canada snapshot point to three distinct intent families: local commercial discovery, program-specific research and tool/question intent. The SERP is not one undifferentiated “Canada immigration” market. The homepage should own the local/national consultant decision, while dedicated service pages and tools own the program and question terms. Broad program terms are substantially harder than the local consultant cluster, so the site should not force every high-volume phrase into the homepage.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23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Google query checked</w:t>
            </w:r>
          </w:p>
        </w:tc>
        <w:tc>
          <w:tcPr>
            <w:tcW w:type="dxa" w:w="482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SERP signal observed</w:t>
            </w:r>
          </w:p>
        </w:tc>
        <w:tc>
          <w:tcPr>
            <w:tcW w:type="dxa" w:w="273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What it means for CMG</w:t>
            </w:r>
          </w:p>
        </w:tc>
      </w:tr>
      <w:tr>
        <w:trPr>
          <w:cantSplit/>
        </w:trPr>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immigration consultant Brampton</w:t>
            </w:r>
          </w:p>
        </w:tc>
        <w:tc>
          <w:tcPr>
            <w:tcW w:type="dxa" w:w="48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Places/Maps results were prominent. Competitors emphasized office address, reviews, phone, RCIC/CICC status, in-person or remote service and free consultation.</w:t>
            </w:r>
          </w:p>
        </w:tc>
        <w:tc>
          <w:tcPr>
            <w:tcW w:type="dxa" w:w="27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Local trust and NAP are ranking assets. The homepage and Brampton office page need matching location/entity facts and a verified Google Business Profile.</w:t>
            </w:r>
          </w:p>
        </w:tc>
      </w:tr>
      <w:tr>
        <w:trPr>
          <w:cantSplit/>
        </w:trPr>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Express Entry consultant Canada</w:t>
            </w:r>
          </w:p>
        </w:tc>
        <w:tc>
          <w:tcPr>
            <w:tcW w:type="dxa" w:w="48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showed an AI Overview and People Also Ask questions about what Express Entry is, consultant help, fees, score sufficiency and choosing a consultancy.</w:t>
            </w:r>
          </w:p>
        </w:tc>
        <w:tc>
          <w:tcPr>
            <w:tcW w:type="dxa" w:w="27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clear definitions plus direct answers about eligibility, CRS, documents, process and limits. Do not promise outcomes.</w:t>
            </w:r>
          </w:p>
        </w:tc>
      </w:tr>
      <w:tr>
        <w:trPr>
          <w:cantSplit/>
        </w:trPr>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free Canada immigration assessment</w:t>
            </w:r>
          </w:p>
        </w:tc>
        <w:tc>
          <w:tcPr>
            <w:tcW w:type="dxa" w:w="48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Results and PAA included “Where can I get a free immigration consultation in Canada?”, whether immigration can be free, IELTS suitability and the official Canada.ca eligibility tool.</w:t>
            </w:r>
          </w:p>
        </w:tc>
        <w:tc>
          <w:tcPr>
            <w:tcW w:type="dxa" w:w="27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The assessment page should explain what the free assessment does and does not do, link to the official tool, and set a realistic expectation before the form.</w:t>
            </w:r>
          </w:p>
        </w:tc>
      </w:tr>
      <w:tr>
        <w:trPr>
          <w:cantSplit/>
        </w:trPr>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Canada work permit consultant</w:t>
            </w:r>
          </w:p>
        </w:tc>
        <w:tc>
          <w:tcPr>
            <w:tcW w:type="dxa" w:w="48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exposed local/online-appointment modifiers and a commercial service context, but the automated view did not expose stable full result detail.</w:t>
            </w:r>
          </w:p>
        </w:tc>
        <w:tc>
          <w:tcPr>
            <w:tcW w:type="dxa" w:w="27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Keep work-permit copy program-led: employer-specific, open, LMIA, LMIA-exempt and post-study routes, each with a clear next action.</w:t>
            </w:r>
          </w:p>
        </w:tc>
      </w:tr>
    </w:tbl>
    <w:p>
      <w:pPr>
        <w:spacing w:after="20"/>
      </w:pPr>
    </w:p>
    <w:p>
      <w:pPr>
        <w:pStyle w:val="Heading2"/>
        <w:keepNext/>
        <w:spacing w:before="160" w:after="100"/>
      </w:pPr>
      <w:r>
        <w:t>Semrush Canada keyword snapshots</w:t>
      </w:r>
    </w:p>
    <w:p>
      <w:pPr>
        <w:pStyle w:val="BodyText"/>
        <w:spacing w:after="120" w:line="259" w:lineRule="auto"/>
      </w:pPr>
      <w:r>
        <w:rPr>
          <w:rFonts w:ascii="Arial" w:hAnsi="Arial"/>
          <w:b/>
          <w:color w:val="111827"/>
          <w:sz w:val="21"/>
        </w:rPr>
        <w:t xml:space="preserve">Measured evidence. </w:t>
      </w:r>
      <w:r>
        <w:rPr>
          <w:rFonts w:ascii="Arial" w:hAnsi="Arial"/>
          <w:color w:val="111827"/>
          <w:sz w:val="21"/>
        </w:rPr>
        <w:t>The following values were captured from Semrush’s free public Keyword Tool powered by Keyword Magic Tool, using the Canada database on 7 September 2026. Volume is the displayed monthly search volume; KD is Semrush Keyword Difficulty; intent uses Semrush’s displayed labels (C commercial, I informational, N navigational and T transactional). The free view exposed only a limited top sample, so these values are directional snapshots and should be refreshed before publication.</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252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Keyword</w:t>
            </w:r>
          </w:p>
        </w:tc>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Intent</w:t>
            </w:r>
          </w:p>
        </w:tc>
        <w:tc>
          <w:tcPr>
            <w:tcW w:type="dxa" w:w="100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Volume / mo</w:t>
            </w:r>
          </w:p>
        </w:tc>
        <w:tc>
          <w:tcPr>
            <w:tcW w:type="dxa" w:w="64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KD</w:t>
            </w:r>
          </w:p>
        </w:tc>
        <w:tc>
          <w:tcPr>
            <w:tcW w:type="dxa" w:w="93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CPC USD</w:t>
            </w:r>
          </w:p>
        </w:tc>
        <w:tc>
          <w:tcPr>
            <w:tcW w:type="dxa" w:w="352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Recommended page use</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immigration consultant Brampton</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480</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48</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$1.88</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Homepage / Brampton local hub</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Brampton immigration consultancy</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390</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32</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$1.02</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Homepage support / local guide</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immigration consultant in Brampton</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170</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39</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$1.88</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Homepage</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immigration consultants in Brampton</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140</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45</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$1.88</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Homepage / local service copy</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free immigration consultant Brampton</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110</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38</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$1.61</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Assessment or consultation page; define “free” scope</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Express Entry Canada</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N</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4.4K</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93</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$0.62</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Express Entry pillar; very high difficulty</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express entry draw</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6.6K</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56</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$1.00</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Draws page; freshness and official source required</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express entry calculator</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2.4K</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40</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$0.67</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CRS / calculator tool</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express entry funds</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1.0K</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30</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Express Entry funds section / FAQ</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work permit Canada</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3.6K</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41</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$0.78</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Work permit overview</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open work permit Canada</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2.9K</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47</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$0.78</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Open work permit guide</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work permit processing time Canada</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2.4K</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58</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$0.79</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Processing page; official current data required</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open work permit extension 2026</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1.9K</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28</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Extension page only if the year-specific rule is current</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study permit Canada</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1.9K</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50</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$2.08</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Study permit overview</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study permit</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1.6K</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85</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$1.59</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Study permit pillar; very high difficulty</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study permit allocations 2026</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1.3K</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25</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Current policy/news context; never rewrite official tables</w:t>
            </w:r>
          </w:p>
        </w:tc>
      </w:tr>
      <w:tr>
        <w:trPr>
          <w:cantSplit/>
        </w:trPr>
        <w:tc>
          <w:tcPr>
            <w:tcW w:type="dxa" w:w="252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study permit extension</w:t>
            </w:r>
          </w:p>
        </w:tc>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1.0K</w:t>
            </w:r>
          </w:p>
        </w:tc>
        <w:tc>
          <w:tcPr>
            <w:tcW w:type="dxa" w:w="6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23</w:t>
            </w:r>
          </w:p>
        </w:tc>
        <w:tc>
          <w:tcPr>
            <w:tcW w:type="dxa" w:w="93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w:t>
            </w:r>
          </w:p>
        </w:tc>
        <w:tc>
          <w:tcPr>
            <w:tcW w:type="dxa" w:w="35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Study permit extension page</w:t>
            </w:r>
          </w:p>
        </w:tc>
      </w:tr>
      <w:tr>
        <w:trPr>
          <w:cantSplit/>
        </w:trPr>
        <w:tc>
          <w:tcPr>
            <w:tcW w:type="dxa" w:w="252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study permit process time</w:t>
            </w:r>
          </w:p>
        </w:tc>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w:t>
            </w:r>
          </w:p>
        </w:tc>
        <w:tc>
          <w:tcPr>
            <w:tcW w:type="dxa" w:w="10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720</w:t>
            </w:r>
          </w:p>
        </w:tc>
        <w:tc>
          <w:tcPr>
            <w:tcW w:type="dxa" w:w="6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38</w:t>
            </w:r>
          </w:p>
        </w:tc>
        <w:tc>
          <w:tcPr>
            <w:tcW w:type="dxa" w:w="93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$0</w:t>
            </w:r>
          </w:p>
        </w:tc>
        <w:tc>
          <w:tcPr>
            <w:tcW w:type="dxa" w:w="35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Processing guidance; confirm official timing</w:t>
            </w:r>
          </w:p>
        </w:tc>
      </w:tr>
    </w:tbl>
    <w:p>
      <w:pPr>
        <w:spacing w:after="20"/>
      </w:pPr>
    </w:p>
    <w:p>
      <w:pPr>
        <w:pStyle w:val="Heading2"/>
        <w:keepNext/>
        <w:spacing w:before="160" w:after="100"/>
      </w:pPr>
      <w:r>
        <w:t>Measured competition bands and page tiers</w:t>
      </w:r>
    </w:p>
    <w:p>
      <w:pPr>
        <w:pStyle w:val="BodyText"/>
        <w:spacing w:after="120" w:line="259" w:lineRule="auto"/>
      </w:pPr>
      <w:r>
        <w:rPr>
          <w:rFonts w:ascii="Arial" w:hAnsi="Arial"/>
          <w:b/>
          <w:color w:val="111827"/>
          <w:sz w:val="21"/>
        </w:rPr>
        <w:t xml:space="preserve">Important interpretation. </w:t>
      </w:r>
      <w:r>
        <w:rPr>
          <w:rFonts w:ascii="Arial" w:hAnsi="Arial"/>
          <w:color w:val="111827"/>
          <w:sz w:val="21"/>
        </w:rPr>
        <w:t>For editorial planning, this report maps the observed Semrush KD values into low (0-29), moderate (30-49), high (50-79) and very high (80-100) bands. These bands are not guarantees: local-pack competition, entity trust, backlinks, freshness and search intent can make a query harder or easier than KD suggests. A low-KD year-specific phrase is not an evergreen target, and a “best” query must not become an unsupported claim in visible copy.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22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Tier</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Keyword cluster</w:t>
            </w:r>
          </w:p>
        </w:tc>
        <w:tc>
          <w:tcPr>
            <w:tcW w:type="dxa" w:w="187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Best page owner</w:t>
            </w:r>
          </w:p>
        </w:tc>
        <w:tc>
          <w:tcPr>
            <w:tcW w:type="dxa" w:w="15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Intent</w:t>
            </w:r>
          </w:p>
        </w:tc>
        <w:tc>
          <w:tcPr>
            <w:tcW w:type="dxa" w:w="151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Planning note</w:t>
            </w:r>
          </w:p>
        </w:tc>
      </w:tr>
      <w:tr>
        <w:trPr>
          <w:cantSplit/>
        </w:trPr>
        <w:tc>
          <w:tcPr>
            <w:tcW w:type="dxa" w:w="12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Very high (KD 80-100)</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Express Entry Canada (4.4K, KD93); Canada express entry (2.9K, KD94); Canada study permit (1.6K, KD85)</w:t>
            </w:r>
          </w:p>
        </w:tc>
        <w:tc>
          <w:tcPr>
            <w:tcW w:type="dxa" w:w="187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Express Entry and study permit pillars</w:t>
            </w:r>
          </w:p>
        </w:tc>
        <w:tc>
          <w:tcPr>
            <w:tcW w:type="dxa" w:w="15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Broad program research</w:t>
            </w:r>
          </w:p>
        </w:tc>
        <w:tc>
          <w:tcPr>
            <w:tcW w:type="dxa" w:w="151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Build authority and answer completeness before expecting fast wins.</w:t>
            </w:r>
          </w:p>
        </w:tc>
      </w:tr>
      <w:tr>
        <w:trPr>
          <w:cantSplit/>
        </w:trPr>
        <w:tc>
          <w:tcPr>
            <w:tcW w:type="dxa" w:w="12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High (KD 50-79)</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express entry draw (6.6K, KD56); work permit processing time Canada (2.4K, KD58); work permit Canada (1.6K, KD53); study permit Canada (1.9K, KD50)</w:t>
            </w:r>
          </w:p>
        </w:tc>
        <w:tc>
          <w:tcPr>
            <w:tcW w:type="dxa" w:w="187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Draws, work permit and study permit pages</w:t>
            </w:r>
          </w:p>
        </w:tc>
        <w:tc>
          <w:tcPr>
            <w:tcW w:type="dxa" w:w="15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Program / timing research</w:t>
            </w:r>
          </w:p>
        </w:tc>
        <w:tc>
          <w:tcPr>
            <w:tcW w:type="dxa" w:w="151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Use current official sources and make freshness visible.</w:t>
            </w:r>
          </w:p>
        </w:tc>
      </w:tr>
      <w:tr>
        <w:trPr>
          <w:cantSplit/>
        </w:trPr>
        <w:tc>
          <w:tcPr>
            <w:tcW w:type="dxa" w:w="12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Moderate (KD 30-49)</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immigration consultant Brampton (480, KD48, C); Brampton immigration consultancy (390, KD32, I); immigration consultant in Brampton (170, KD39, C); immigration consultants in Brampton (140, KD45, C)</w:t>
            </w:r>
          </w:p>
        </w:tc>
        <w:tc>
          <w:tcPr>
            <w:tcW w:type="dxa" w:w="187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Homepage and Brampton local hub</w:t>
            </w:r>
          </w:p>
        </w:tc>
        <w:tc>
          <w:tcPr>
            <w:tcW w:type="dxa" w:w="15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Local commercial / discovery</w:t>
            </w:r>
          </w:p>
        </w:tc>
        <w:tc>
          <w:tcPr>
            <w:tcW w:type="dxa" w:w="151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Entity, NAP, reviews and useful local service copy are decisive.</w:t>
            </w:r>
          </w:p>
        </w:tc>
      </w:tr>
      <w:tr>
        <w:trPr>
          <w:cantSplit/>
        </w:trPr>
        <w:tc>
          <w:tcPr>
            <w:tcW w:type="dxa" w:w="12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Moderate (KD 30-49)</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express entry calculator (2.4K, KD40); work permit Canada (3.6K, KD41); open work permit Canada (2.9K, KD47); Canada study permit process time (720, KD38)</w:t>
            </w:r>
          </w:p>
        </w:tc>
        <w:tc>
          <w:tcPr>
            <w:tcW w:type="dxa" w:w="187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Calculator, work permit and study permit pages</w:t>
            </w:r>
          </w:p>
        </w:tc>
        <w:tc>
          <w:tcPr>
            <w:tcW w:type="dxa" w:w="15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Tool / program research</w:t>
            </w:r>
          </w:p>
        </w:tc>
        <w:tc>
          <w:tcPr>
            <w:tcW w:type="dxa" w:w="151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Match the exact task and link to official eligibility or timing checks.</w:t>
            </w:r>
          </w:p>
        </w:tc>
      </w:tr>
      <w:tr>
        <w:trPr>
          <w:cantSplit/>
        </w:trPr>
        <w:tc>
          <w:tcPr>
            <w:tcW w:type="dxa" w:w="12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Low (KD 0-29)</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Canada open work permit extension 2026 (1.9K, KD28); Canada study permit extension (1.0K, KD23); Canada study permit allocations 2026 (1.3K, KD25)</w:t>
            </w:r>
          </w:p>
        </w:tc>
        <w:tc>
          <w:tcPr>
            <w:tcW w:type="dxa" w:w="187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Extension and current-policy pages</w:t>
            </w:r>
          </w:p>
        </w:tc>
        <w:tc>
          <w:tcPr>
            <w:tcW w:type="dxa" w:w="15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Freshness-dependent research</w:t>
            </w:r>
          </w:p>
        </w:tc>
        <w:tc>
          <w:tcPr>
            <w:tcW w:type="dxa" w:w="151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Use only while accurate; do not create or rewrite official data to chase the phrase.</w:t>
            </w:r>
          </w:p>
        </w:tc>
      </w:tr>
      <w:tr>
        <w:trPr>
          <w:cantSplit/>
        </w:trPr>
        <w:tc>
          <w:tcPr>
            <w:tcW w:type="dxa" w:w="12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Unmeasured planning cluster</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licensed RCIC immigration consultant Canada; PNP consultant Canada; Canada study permit consultant; spousal sponsorship consultant Canada; LMIA consultant Canada</w:t>
            </w:r>
          </w:p>
        </w:tc>
        <w:tc>
          <w:tcPr>
            <w:tcW w:type="dxa" w:w="187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Homepage plus dedicated program pages</w:t>
            </w:r>
          </w:p>
        </w:tc>
        <w:tc>
          <w:tcPr>
            <w:tcW w:type="dxa" w:w="15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Trust / commercial program</w:t>
            </w:r>
          </w:p>
        </w:tc>
        <w:tc>
          <w:tcPr>
            <w:tcW w:type="dxa" w:w="151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Use as semantic support until a Canada metric export is available; win through verified entity evidence and page fit.</w:t>
            </w:r>
          </w:p>
        </w:tc>
      </w:tr>
      <w:tr>
        <w:trPr>
          <w:cantSplit/>
        </w:trPr>
        <w:tc>
          <w:tcPr>
            <w:tcW w:type="dxa" w:w="12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Unmeasured planning cluster</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Ontario PNP requirements; OINP Express Entry; inland vs outland sponsorship; parent sponsorship income requirements; criminal inadmissibility Canada TRP</w:t>
            </w:r>
          </w:p>
        </w:tc>
        <w:tc>
          <w:tcPr>
            <w:tcW w:type="dxa" w:w="187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Province, family and complex-matter pages</w:t>
            </w:r>
          </w:p>
        </w:tc>
        <w:tc>
          <w:tcPr>
            <w:tcW w:type="dxa" w:w="15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Specific research / urgent commercial</w:t>
            </w:r>
          </w:p>
        </w:tc>
        <w:tc>
          <w:tcPr>
            <w:tcW w:type="dxa" w:w="151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Keep the exact topic on the owning page and preserve official tables.</w:t>
            </w:r>
          </w:p>
        </w:tc>
      </w:tr>
    </w:tbl>
    <w:p>
      <w:pPr>
        <w:spacing w:after="20"/>
      </w:pPr>
    </w:p>
    <w:p>
      <w:pPr>
        <w:pStyle w:val="Heading2"/>
        <w:keepNext/>
        <w:spacing w:before="160" w:after="100"/>
      </w:pPr>
      <w:r>
        <w:t>Tool and account research status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Source/tool</w:t>
            </w:r>
          </w:p>
        </w:tc>
        <w:tc>
          <w:tcPr>
            <w:tcW w:type="dxa" w:w="468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Status in this audit</w:t>
            </w:r>
          </w:p>
        </w:tc>
        <w:tc>
          <w:tcPr>
            <w:tcW w:type="dxa" w:w="280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Use in the next phase</w:t>
            </w:r>
          </w:p>
        </w:tc>
      </w:tr>
      <w:tr>
        <w:trPr>
          <w:cantSplit/>
        </w:trPr>
        <w:tc>
          <w:tcPr>
            <w:tcW w:type="dxa" w:w="208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Search</w:t>
            </w:r>
          </w:p>
        </w:tc>
        <w:tc>
          <w:tcPr>
            <w:tcW w:type="dxa" w:w="46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Used for public SERP, Places, AI Overview and PAA observations in Canada-facing queries.</w:t>
            </w:r>
          </w:p>
        </w:tc>
        <w:tc>
          <w:tcPr>
            <w:tcW w:type="dxa" w:w="28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Repeat after copy changes and record rank, feature ownership and competitor page types.</w:t>
            </w:r>
          </w:p>
        </w:tc>
      </w:tr>
      <w:tr>
        <w:trPr>
          <w:cantSplit/>
        </w:trPr>
        <w:tc>
          <w:tcPr>
            <w:tcW w:type="dxa" w:w="208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Trends</w:t>
            </w:r>
          </w:p>
        </w:tc>
        <w:tc>
          <w:tcPr>
            <w:tcW w:type="dxa" w:w="46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Canada comparison page opened for three seeds; numerical charts were not accessible in the browser session.</w:t>
            </w:r>
          </w:p>
        </w:tc>
        <w:tc>
          <w:tcPr>
            <w:tcW w:type="dxa" w:w="28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a signed-in or manually accessible Trends view to compare seasonality by Canada and Ontario.</w:t>
            </w:r>
          </w:p>
        </w:tc>
      </w:tr>
      <w:tr>
        <w:trPr>
          <w:cantSplit/>
        </w:trPr>
        <w:tc>
          <w:tcPr>
            <w:tcW w:type="dxa" w:w="208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Search Console</w:t>
            </w:r>
          </w:p>
        </w:tc>
        <w:tc>
          <w:tcPr>
            <w:tcW w:type="dxa" w:w="46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No connected property data available.</w:t>
            </w:r>
          </w:p>
        </w:tc>
        <w:tc>
          <w:tcPr>
            <w:tcW w:type="dxa" w:w="28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Export 3-6 months of queries, pages, clicks, impressions, CTR and position; use this as the primary keyword-priority source.</w:t>
            </w:r>
          </w:p>
        </w:tc>
      </w:tr>
      <w:tr>
        <w:trPr>
          <w:cantSplit/>
        </w:trPr>
        <w:tc>
          <w:tcPr>
            <w:tcW w:type="dxa" w:w="208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Ahrefs Free Keyword Generator</w:t>
            </w:r>
          </w:p>
        </w:tc>
        <w:tc>
          <w:tcPr>
            <w:tcW w:type="dxa" w:w="46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Public page opened for Canada; Turnstile challenge blocked metric output.</w:t>
            </w:r>
          </w:p>
        </w:tc>
        <w:tc>
          <w:tcPr>
            <w:tcW w:type="dxa" w:w="28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Export Canada volume/KD for the keyword table and top page SERPs when manually accessible.</w:t>
            </w:r>
          </w:p>
        </w:tc>
      </w:tr>
      <w:tr>
        <w:trPr>
          <w:cantSplit/>
        </w:trPr>
        <w:tc>
          <w:tcPr>
            <w:tcW w:type="dxa" w:w="208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Semrush Keyword Tool powered by Keyword Magic Tool</w:t>
            </w:r>
          </w:p>
        </w:tc>
        <w:tc>
          <w:tcPr>
            <w:tcW w:type="dxa" w:w="46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Canada database queried for four seeds; limited first-15 samples returned volume, KD, intent and CPC. No full authenticated export was available.</w:t>
            </w:r>
          </w:p>
        </w:tc>
        <w:tc>
          <w:tcPr>
            <w:tcW w:type="dxa" w:w="280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the measured snapshot for page prioritization, then refresh the exact query and ranking position before publishing or reporting performance.</w:t>
            </w:r>
          </w:p>
        </w:tc>
      </w:tr>
      <w:tr>
        <w:trPr>
          <w:cantSplit/>
        </w:trPr>
        <w:tc>
          <w:tcPr>
            <w:tcW w:type="dxa" w:w="208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Ubersuggest / AnswerThePublic</w:t>
            </w:r>
          </w:p>
        </w:tc>
        <w:tc>
          <w:tcPr>
            <w:tcW w:type="dxa" w:w="46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No authenticated result set available.</w:t>
            </w:r>
          </w:p>
        </w:tc>
        <w:tc>
          <w:tcPr>
            <w:tcW w:type="dxa" w:w="280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questions and prepositions to expand FAQ wording after core pages are assigned.</w:t>
            </w:r>
          </w:p>
        </w:tc>
      </w:tr>
    </w:tbl>
    <w:p>
      <w:pPr>
        <w:spacing w:after="20"/>
      </w:pPr>
    </w:p>
    <w:p>
      <w:pPr>
        <w:pStyle w:val="Heading1"/>
        <w:keepNext/>
        <w:spacing w:before="240" w:after="100"/>
      </w:pPr>
      <w:r>
        <w:t>Homepage keyword and content plan</w:t>
      </w:r>
    </w:p>
    <w:p>
      <w:pPr>
        <w:pStyle w:val="BodyText"/>
        <w:spacing w:after="120" w:line="259" w:lineRule="auto"/>
      </w:pPr>
      <w:r>
        <w:rPr>
          <w:rFonts w:ascii="Arial" w:hAnsi="Arial"/>
          <w:b/>
          <w:color w:val="111827"/>
          <w:sz w:val="21"/>
        </w:rPr>
        <w:t xml:space="preserve">Primary intent. </w:t>
      </w:r>
      <w:r>
        <w:rPr>
          <w:rFonts w:ascii="Arial" w:hAnsi="Arial"/>
          <w:color w:val="111827"/>
          <w:sz w:val="21"/>
        </w:rPr>
        <w:t>The homepage should own the consultant decision, not every program-specific query. It can mention all major services, but one phrase should lead the page’s title, H1 and opening paragraph. The recommended primary intent is local-commercial because Google Search showed a strong local pack and Semrush’s Canada snapshot measured “immigration consultant Brampton” at 480 monthly searches, commercial intent and KD 48. The business presents a Brampton office, so the local opportunity is meaningful but not effortless.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65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Element</w:t>
            </w:r>
          </w:p>
        </w:tc>
        <w:tc>
          <w:tcPr>
            <w:tcW w:type="dxa" w:w="410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Recommended direction</w:t>
            </w:r>
          </w:p>
        </w:tc>
        <w:tc>
          <w:tcPr>
            <w:tcW w:type="dxa" w:w="237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Why it matters</w:t>
            </w:r>
          </w:p>
        </w:tc>
        <w:tc>
          <w:tcPr>
            <w:tcW w:type="dxa" w:w="144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UI impact</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Primary keyword</w:t>
            </w:r>
          </w:p>
        </w:tc>
        <w:tc>
          <w:tcPr>
            <w:tcW w:type="dxa" w:w="410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immigration consultant Brampton (480/mo, KD48, commercial)</w:t>
            </w:r>
          </w:p>
        </w:tc>
        <w:tc>
          <w:tcPr>
            <w:tcW w:type="dxa" w:w="237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Largest measured local consultant phrase in the Canada snapshot; matches location and commercial SERP intent.</w:t>
            </w:r>
          </w:p>
        </w:tc>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Text/metadata only; keep the same hero component.</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Secondary local terms</w:t>
            </w:r>
          </w:p>
        </w:tc>
        <w:tc>
          <w:tcPr>
            <w:tcW w:type="dxa" w:w="410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Brampton immigration consultancy (390/mo, KD32, informational); immigration consultant in Brampton (170/mo, KD39, commercial); immigration consultants in Brampton (140/mo, KD45, commercial); free immigration consultant Brampton (110/mo, KD38, commercial)</w:t>
            </w:r>
          </w:p>
        </w:tc>
        <w:tc>
          <w:tcPr>
            <w:tcW w:type="dxa" w:w="237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Provides natural local variants. The “free” phrase must explain exactly what is free and what is not.</w:t>
            </w:r>
          </w:p>
        </w:tc>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Text/metadata only.</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Secondary national/program terms</w:t>
            </w:r>
          </w:p>
        </w:tc>
        <w:tc>
          <w:tcPr>
            <w:tcW w:type="dxa" w:w="410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licensed RCIC immigration consultant Canada; Canadian immigration consultant; Express Entry consultant Canada; PNP consultant Canada; Canada work permit consultant; Canada study permit consultant; spousal sponsorship Canada; free Canada immigration assessment</w:t>
            </w:r>
          </w:p>
        </w:tc>
        <w:tc>
          <w:tcPr>
            <w:tcW w:type="dxa" w:w="237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Covers national, trust, program and conversion variants without forcing them into one sentence. These were not all individually measured in the limited Semrush sample.</w:t>
            </w:r>
          </w:p>
        </w:tc>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Text/metadata only.</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Title tag</w:t>
            </w:r>
          </w:p>
        </w:tc>
        <w:tc>
          <w:tcPr>
            <w:tcW w:type="dxa" w:w="410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Lead with the primary location/service phrase and one trust differentiator; keep the brand concise.</w:t>
            </w:r>
          </w:p>
        </w:tc>
        <w:tc>
          <w:tcPr>
            <w:tcW w:type="dxa" w:w="237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Improves title-link clarity and avoids the current long brand suffix pattern.</w:t>
            </w:r>
          </w:p>
        </w:tc>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Head metadata only.</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H1</w:t>
            </w:r>
          </w:p>
        </w:tc>
        <w:tc>
          <w:tcPr>
            <w:tcW w:type="dxa" w:w="410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 natural variation such as “Licensed RCIC Immigration Consultant in Brampton and Canada”.</w:t>
            </w:r>
          </w:p>
        </w:tc>
        <w:tc>
          <w:tcPr>
            <w:tcW w:type="dxa" w:w="237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Adds the local phrase while retaining the existing trust and national positioning.</w:t>
            </w:r>
          </w:p>
        </w:tc>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Replace H1 text only; preserve size, weight and placement.</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Opening paragraph</w:t>
            </w:r>
          </w:p>
        </w:tc>
        <w:tc>
          <w:tcPr>
            <w:tcW w:type="dxa" w:w="410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State who the firm serves, where it is based, the main program families and the next step. Mention CICC/RCIC only after verifying the exact public facts.</w:t>
            </w:r>
          </w:p>
        </w:tc>
        <w:tc>
          <w:tcPr>
            <w:tcW w:type="dxa" w:w="237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and users should understand the page’s purpose immediately.</w:t>
            </w:r>
          </w:p>
        </w:tc>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Replace paragraph text only.</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Service section H2s</w:t>
            </w:r>
          </w:p>
        </w:tc>
        <w:tc>
          <w:tcPr>
            <w:tcW w:type="dxa" w:w="410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Keep the existing section rhythm, but make selected labels descriptive: Express Entry and PR, PNP, work permits, study permits, family sponsorship, refusals and LMIA/employer services.</w:t>
            </w:r>
          </w:p>
        </w:tc>
        <w:tc>
          <w:tcPr>
            <w:tcW w:type="dxa" w:w="237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Improves topical clarity without adding sections or changing layout.</w:t>
            </w:r>
          </w:p>
        </w:tc>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Text only.</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FAQ questions</w:t>
            </w:r>
          </w:p>
        </w:tc>
        <w:tc>
          <w:tcPr>
            <w:tcW w:type="dxa" w:w="410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4-6 natural questions: how to verify an RCIC, which pathway may fit, what a consultation includes, what documents to prepare, whether approval can be guaranteed and what to do after refusal.</w:t>
            </w:r>
          </w:p>
        </w:tc>
        <w:tc>
          <w:tcPr>
            <w:tcW w:type="dxa" w:w="237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Matches PAA/search intent and reinforces trust.</w:t>
            </w:r>
          </w:p>
        </w:tc>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Text only; keep the current FAQ interaction.</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CTA anchor text</w:t>
            </w:r>
          </w:p>
        </w:tc>
        <w:tc>
          <w:tcPr>
            <w:tcW w:type="dxa" w:w="410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clear, live-destination anchors such as “Book an immigration consultation” and “Start a free Canada immigration assessment”.</w:t>
            </w:r>
          </w:p>
        </w:tc>
        <w:tc>
          <w:tcPr>
            <w:tcW w:type="dxa" w:w="237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Improves internal-link relevance and conversion clarity.</w:t>
            </w:r>
          </w:p>
        </w:tc>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Text/link target only.</w:t>
            </w:r>
          </w:p>
        </w:tc>
      </w:tr>
    </w:tbl>
    <w:p>
      <w:pPr>
        <w:spacing w:after="20"/>
      </w:pPr>
    </w:p>
    <w:p>
      <w:pPr>
        <w:pStyle w:val="Heading2"/>
        <w:keepNext/>
        <w:spacing w:before="160" w:after="100"/>
      </w:pPr>
      <w:r>
        <w:t>Natural copy placement rules</w:t>
      </w:r>
    </w:p>
    <w:p>
      <w:pPr>
        <w:pStyle w:val="ListBullet"/>
        <w:spacing w:after="60" w:line="252" w:lineRule="auto"/>
      </w:pPr>
      <w:r>
        <w:rPr>
          <w:rFonts w:ascii="Arial" w:hAnsi="Arial"/>
          <w:color w:val="111827"/>
          <w:sz w:val="20"/>
        </w:rPr>
        <w:t>Use the primary keyword once in the title, once in the H1 or a close natural variant, once in the opening copy and once in a relevant internal anchor if it reads naturally.</w:t>
      </w:r>
    </w:p>
    <w:p>
      <w:pPr>
        <w:pStyle w:val="ListBullet"/>
        <w:spacing w:after="60" w:line="252" w:lineRule="auto"/>
      </w:pPr>
      <w:r>
        <w:rPr>
          <w:rFonts w:ascii="Arial" w:hAnsi="Arial"/>
          <w:color w:val="111827"/>
          <w:sz w:val="20"/>
        </w:rPr>
        <w:t>Use secondary terms where the page actually discusses that service. Do not add every service keyword to the same paragraph or repeat “Canada”, “Brampton” or “licensed RCIC” in a list.</w:t>
      </w:r>
    </w:p>
    <w:p>
      <w:pPr>
        <w:pStyle w:val="ListBullet"/>
        <w:spacing w:after="60" w:line="252" w:lineRule="auto"/>
      </w:pPr>
      <w:r>
        <w:rPr>
          <w:rFonts w:ascii="Arial" w:hAnsi="Arial"/>
          <w:color w:val="111827"/>
          <w:sz w:val="20"/>
        </w:rPr>
        <w:t>Do not use “best”, “top”, “#1”, “guaranteed”, “100% approval” or similar claims unless there is a defensible, documented basis and the wording is legally approved.</w:t>
      </w:r>
    </w:p>
    <w:p>
      <w:pPr>
        <w:pStyle w:val="ListBullet"/>
        <w:spacing w:after="60" w:line="252" w:lineRule="auto"/>
      </w:pPr>
      <w:r>
        <w:rPr>
          <w:rFonts w:ascii="Arial" w:hAnsi="Arial"/>
          <w:color w:val="111827"/>
          <w:sz w:val="20"/>
        </w:rPr>
        <w:t>Do not target or imply “immigration lawyer” terms unless the business actually provides legal services through an appropriately authorized Canadian lawyer. Semrush surfaced lower-KD lawyer queries, but relevance and regulatory accuracy take priority over easier metrics.</w:t>
      </w:r>
    </w:p>
    <w:p>
      <w:pPr>
        <w:pStyle w:val="ListBullet"/>
        <w:spacing w:after="60" w:line="252" w:lineRule="auto"/>
      </w:pPr>
      <w:r>
        <w:rPr>
          <w:rFonts w:ascii="Arial" w:hAnsi="Arial"/>
          <w:color w:val="111827"/>
          <w:sz w:val="20"/>
        </w:rPr>
        <w:t>Keep “2026” only on pages whose government-facing content is actively reviewed and dated. Avoid putting a year in stable brand/title copy merely to capture freshness.</w:t>
      </w:r>
    </w:p>
    <w:p>
      <w:pPr>
        <w:pStyle w:val="ListBullet"/>
        <w:spacing w:after="60" w:line="252" w:lineRule="auto"/>
      </w:pPr>
      <w:r>
        <w:rPr>
          <w:rFonts w:ascii="Arial" w:hAnsi="Arial"/>
          <w:color w:val="111827"/>
          <w:sz w:val="20"/>
        </w:rPr>
        <w:t>If the visible copy and an official table differ, the table remains unchanged and the surrounding copy should direct the reader to the current official source for verification.</w:t>
      </w:r>
    </w:p>
    <w:p>
      <w:pPr>
        <w:pStyle w:val="Heading1"/>
        <w:keepNext/>
        <w:spacing w:before="240" w:after="100"/>
      </w:pPr>
      <w:r>
        <w:t>Sitewide keyword ownership and content architecture</w:t>
      </w:r>
    </w:p>
    <w:p>
      <w:pPr>
        <w:pStyle w:val="BodyText"/>
        <w:spacing w:after="120" w:line="259" w:lineRule="auto"/>
      </w:pPr>
      <w:r>
        <w:rPr>
          <w:rFonts w:ascii="Arial" w:hAnsi="Arial"/>
          <w:b/>
          <w:color w:val="111827"/>
          <w:sz w:val="21"/>
        </w:rPr>
        <w:t xml:space="preserve">Architecture principle. </w:t>
      </w:r>
      <w:r>
        <w:rPr>
          <w:rFonts w:ascii="Arial" w:hAnsi="Arial"/>
          <w:color w:val="111827"/>
          <w:sz w:val="21"/>
        </w:rPr>
        <w:t>The page library is broad enough to support a topic-cluster model. The core rule is one primary intent per URL, with supporting synonyms and questions used only where they help the reader. Semrush’s snapshot shows the local homepage cluster is mostly moderate difficulty while broad Express Entry and study permit terms are high or very high difficulty; that makes page ownership and internal linking especially important. This reduces cannibalization and lets the homepage pass relevance to deeper pages through descriptive internal anchors.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65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Cluster</w:t>
            </w:r>
          </w:p>
        </w:tc>
        <w:tc>
          <w:tcPr>
            <w:tcW w:type="dxa" w:w="302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Primary page owner</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Supporting pages / terms</w:t>
            </w:r>
          </w:p>
        </w:tc>
        <w:tc>
          <w:tcPr>
            <w:tcW w:type="dxa" w:w="194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Content emphasis</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Consultant and local trust</w:t>
            </w:r>
          </w:p>
        </w:tc>
        <w:tc>
          <w:tcPr>
            <w:tcW w:type="dxa" w:w="30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Homepage and Brampton office page</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licensed RCIC, CICC register, Canada-wide service, immigration consultant Brampton</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Verified entity, office/NAP, service scope, consultation process, no guarantees.</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Express Entry and PR</w:t>
            </w:r>
          </w:p>
        </w:tc>
        <w:tc>
          <w:tcPr>
            <w:tcW w:type="dxa" w:w="30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/immigrate/express-entry</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FSW, CEC, FST, CRS calculator, draw tracker, category-based selection, Express Entry consultant Canada</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Direct definitions, eligibility, CRS/document pathway and links to official rules.</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PNP</w:t>
            </w:r>
          </w:p>
        </w:tc>
        <w:tc>
          <w:tcPr>
            <w:tcW w:type="dxa" w:w="30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/immigrate/provincial-nominee-program-all-provinces-consolidated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Province pages for Ontario, BC, Alberta, Saskatchewan, Manitoba, Nova Scotia, NB, PEI, NL and Yukon/NWT/Nunavut</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Parent hub owns PNP consultant Canada; child pages own province-specific queries. Preserve official tables.</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Work and employers</w:t>
            </w:r>
          </w:p>
        </w:tc>
        <w:tc>
          <w:tcPr>
            <w:tcW w:type="dxa" w:w="30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/work-and-study/canada-work-permit-overview and LMIA overview</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study permit, PGWP, IEC, Global Talent Stream, TFWP compliance</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Separate individual and employer intent; use “work permit consultant Canada” and “LMIA consultant Canada” only where relevant.</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Family sponsorship</w:t>
            </w:r>
          </w:p>
        </w:tc>
        <w:tc>
          <w:tcPr>
            <w:tcW w:type="dxa" w:w="30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/sponsor/family-sponsorship-overview-all-categories</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spousal/common-law, inland/outland, PGP, Super Visa, dependent/adopted child, MNI</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Answer category, eligibility, documents, timing and comparison questions.</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Refusals and complex matters</w:t>
            </w:r>
          </w:p>
        </w:tc>
        <w:tc>
          <w:tcPr>
            <w:tcW w:type="dxa" w:w="30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/inadmissibility-and-appeals/refusal-and-pfl-response</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PFL, TRP, rehabilitation, misrepresentation, judicial review, mandamus, appeals</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Urgency, scope, deadlines, evidence and realistic pathways.</w:t>
            </w:r>
          </w:p>
        </w:tc>
      </w:tr>
      <w:tr>
        <w:trPr>
          <w:cantSplit/>
        </w:trPr>
        <w:tc>
          <w:tcPr>
            <w:tcW w:type="dxa" w:w="16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Tools and planning</w:t>
            </w:r>
          </w:p>
        </w:tc>
        <w:tc>
          <w:tcPr>
            <w:tcW w:type="dxa" w:w="30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/tools/canada-immigration-calculators plus dedicated tool routes</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CRS calculator, PNP checker, NOC finder, checklist, assessment</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Use tool intent, clear limitations, official verification and a helpful next step.</w:t>
            </w:r>
          </w:p>
        </w:tc>
      </w:tr>
      <w:tr>
        <w:trPr>
          <w:cantSplit/>
        </w:trPr>
        <w:tc>
          <w:tcPr>
            <w:tcW w:type="dxa" w:w="16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Informational support</w:t>
            </w:r>
          </w:p>
        </w:tc>
        <w:tc>
          <w:tcPr>
            <w:tcW w:type="dxa" w:w="30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/blog and blog articles</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Express Entry guide, CRS, PNP, refusals, work permits, sponsorship, LMIA</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Build topical authority and internal-link support; keep each article distinct from the money page.</w:t>
            </w:r>
          </w:p>
        </w:tc>
      </w:tr>
    </w:tbl>
    <w:p>
      <w:pPr>
        <w:spacing w:after="20"/>
      </w:pPr>
    </w:p>
    <w:p>
      <w:pPr>
        <w:pStyle w:val="Heading2"/>
        <w:keepNext/>
        <w:spacing w:before="160" w:after="100"/>
      </w:pPr>
      <w:r>
        <w:t>Page-level copy gaps to address</w:t>
      </w:r>
    </w:p>
    <w:p>
      <w:pPr>
        <w:pStyle w:val="ListBullet"/>
        <w:spacing w:after="60" w:line="252" w:lineRule="auto"/>
      </w:pPr>
      <w:r>
        <w:rPr>
          <w:rFonts w:ascii="Arial" w:hAnsi="Arial"/>
          <w:color w:val="111827"/>
          <w:sz w:val="20"/>
        </w:rPr>
        <w:t>Many service pages are content-rich but share the same abstract template headings such as “Built around the decision your file needs” and “See the pathway in context”. Keep the visual modules, but make the text in selected H2s and the first paragraph specific to the page intent.</w:t>
      </w:r>
    </w:p>
    <w:p>
      <w:pPr>
        <w:pStyle w:val="ListBullet"/>
        <w:spacing w:after="60" w:line="252" w:lineRule="auto"/>
      </w:pPr>
      <w:r>
        <w:rPr>
          <w:rFonts w:ascii="Arial" w:hAnsi="Arial"/>
          <w:color w:val="111827"/>
          <w:sz w:val="20"/>
        </w:rPr>
        <w:t>The page FAQ inventory is strong, but questions should be written around the query a user would actually type: eligibility, documents, cost/fees, time, refusal risk, current status and next step. Answers should appear in the visible DOM and remain accurate.</w:t>
      </w:r>
    </w:p>
    <w:p>
      <w:pPr>
        <w:pStyle w:val="ListBullet"/>
        <w:spacing w:after="60" w:line="252" w:lineRule="auto"/>
      </w:pPr>
      <w:r>
        <w:rPr>
          <w:rFonts w:ascii="Arial" w:hAnsi="Arial"/>
          <w:color w:val="111827"/>
          <w:sz w:val="20"/>
        </w:rPr>
        <w:t>The Blog index is comparatively thin at about 487 rendered words. Treat it as an aggregation page with useful category introductions, featured guides and clear links to the core service pages; do not inflate it with generic keyword text.</w:t>
      </w:r>
    </w:p>
    <w:p>
      <w:pPr>
        <w:pStyle w:val="ListBullet"/>
        <w:spacing w:after="60" w:line="252" w:lineRule="auto"/>
      </w:pPr>
      <w:r>
        <w:rPr>
          <w:rFonts w:ascii="Arial" w:hAnsi="Arial"/>
          <w:color w:val="111827"/>
          <w:sz w:val="20"/>
        </w:rPr>
        <w:t>The Express Entry draws page is comparatively thin at about 464 rendered words and has an operational freshness burden. Keep its official data intact, but strengthen the surrounding explanation, update cadence, source link and internal links to the Express Entry service page.</w:t>
      </w:r>
    </w:p>
    <w:p>
      <w:pPr>
        <w:pStyle w:val="ListBullet"/>
        <w:spacing w:after="60" w:line="252" w:lineRule="auto"/>
      </w:pPr>
      <w:r>
        <w:rPr>
          <w:rFonts w:ascii="Arial" w:hAnsi="Arial"/>
          <w:color w:val="111827"/>
          <w:sz w:val="20"/>
        </w:rPr>
        <w:t>Tools and calculators should be treated as trust pages: state that they provide planning estimates, show the inputs used, link to the relevant official check and offer a file-specific review only when appropriate.</w:t>
      </w:r>
    </w:p>
    <w:p>
      <w:pPr>
        <w:pStyle w:val="Heading1"/>
        <w:keepNext/>
        <w:spacing w:before="240" w:after="100"/>
      </w:pPr>
      <w:r>
        <w:t>Page specific AEO FAQ bank</w:t>
      </w:r>
    </w:p>
    <w:p>
      <w:pPr>
        <w:pStyle w:val="BodyText"/>
        <w:spacing w:after="120" w:line="259" w:lineRule="auto"/>
      </w:pPr>
      <w:r>
        <w:rPr>
          <w:rFonts w:ascii="Arial" w:hAnsi="Arial"/>
          <w:b/>
          <w:color w:val="111827"/>
          <w:sz w:val="21"/>
        </w:rPr>
        <w:t xml:space="preserve">How to use this bank. </w:t>
      </w:r>
      <w:r>
        <w:rPr>
          <w:rFonts w:ascii="Arial" w:hAnsi="Arial"/>
          <w:color w:val="111827"/>
          <w:sz w:val="21"/>
        </w:rPr>
        <w:t>This section supplies eight total FAQ recommendations for each of the 96 editable CMG content pages in the source inventory. Existing page questions are marked KEEP and are carried forward; new questions are marked ADD and fill the page to eight total. Merge and deduplicate these with any later approved copy rather than publishing another duplicate FAQ block.</w:t>
      </w:r>
    </w:p>
    <w:p>
      <w:pPr>
        <w:pStyle w:val="BodyText"/>
        <w:spacing w:after="120" w:line="259" w:lineRule="auto"/>
      </w:pPr>
      <w:r>
        <w:rPr>
          <w:rFonts w:ascii="Arial" w:hAnsi="Arial"/>
          <w:b/>
          <w:color w:val="111827"/>
          <w:sz w:val="21"/>
        </w:rPr>
        <w:t xml:space="preserve">AEO and compliance guardrail. </w:t>
      </w:r>
      <w:r>
        <w:rPr>
          <w:rFonts w:ascii="Arial" w:hAnsi="Arial"/>
          <w:color w:val="111827"/>
          <w:sz w:val="21"/>
        </w:rPr>
        <w:t>Each answer is written to be visible, direct and specific to the page topic. It is not a ranking guarantee and it is not permission to invent a licence, fee, processing time, eligibility result or government-data value. Before implementation, verify every answer against the current official source and expose the exact final answer in the page DOM before considering FAQPage markup.</w:t>
      </w:r>
    </w:p>
    <w:p>
      <w:pPr>
        <w:pStyle w:val="Heading2"/>
        <w:keepNext/>
        <w:spacing w:before="160" w:after="100"/>
      </w:pPr>
      <w:r>
        <w:t>01. Express Entry</w:t>
      </w:r>
    </w:p>
    <w:p>
      <w:pPr>
        <w:pStyle w:val="BodyText"/>
        <w:spacing w:after="60" w:line="259" w:lineRule="auto"/>
      </w:pPr>
      <w:r>
        <w:rPr>
          <w:rFonts w:ascii="Arial" w:hAnsi="Arial"/>
          <w:color w:val="111827"/>
          <w:sz w:val="21"/>
        </w:rPr>
        <w:t>/immigrate/express-entry</w:t>
      </w:r>
      <w:r>
        <w:rPr>
          <w:rFonts w:ascii="Arial" w:hAnsi="Arial"/>
          <w:color w:val="111827"/>
          <w:sz w:val="21"/>
        </w:rPr>
        <w:t xml:space="preserve">  |  </w:t>
      </w:r>
      <w:r>
        <w:rPr>
          <w:rFonts w:ascii="Arial" w:hAnsi="Arial"/>
          <w:color w:val="111827"/>
          <w:sz w:val="21"/>
        </w:rPr>
        <w:t>https://commonwealthmigration.ca/immigrate/express-entry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Express Entry and who is it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Express Entry is Canada's system for managing permanent residence applications under three federal economic programs. It's for skilled workers — whether applying from abroad, already working in Canada, or in a skilled trade — who meet the eligibility criteria for at least one of the three programs.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difference between FSW, CEC, and FST?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FSW is for foreign work experience and uses its own 67-point grid before CRS applies. CEC is for candidates with Canadian work experience and has no minimum education requirement. FST is for tradespeople and requires either a job offer or a certificate of qualification.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My CRS score feels too low — is Express Entry still realistic?</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Often yes. A qualifying French-language result, an in-demand occupation under a category draw, or a provincial nomination can each move a candidate from an unreachable score to an invited one, independent of age or education.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 miss the 60-day filing deadline?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invitation lapses and the candidate must re-enter the pool and wait for a new invitation, with no guarantee of receiving one again at the same or a better CRS score.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you check provincial nomination options as part of an Express Entry review?</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a provincial nomination adds 600 CRS points, which places nearly any nominated candidate above recent draw cutoffs, so eligibility is checked against all ten provinces as standard practice.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Express Entry?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federal program fits, language results, education or ECA, eligible work experience and the CRS profile.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a passport, language results, education or ECA, work history, police certificates and civil-status records when requested.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Express Entry compare with PNP and the other economic pathways?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Express Entry is not interchangeable with PNP and the other economic pathways. Express Entry is a federal pool in which eligible candidates are ranked and invited; a nomination or another program has its own criteria. The right choice depends on the person’s facts, timing and evidence, not on a generic promise that one route is fastest.</w:t>
            </w:r>
          </w:p>
        </w:tc>
      </w:tr>
    </w:tbl>
    <w:p>
      <w:pPr>
        <w:spacing w:after="20"/>
      </w:pPr>
    </w:p>
    <w:p>
      <w:pPr>
        <w:pStyle w:val="Heading2"/>
        <w:keepNext/>
        <w:spacing w:before="160" w:after="100"/>
      </w:pPr>
      <w:r>
        <w:t>02. the Federal Skilled Worker Program</w:t>
      </w:r>
    </w:p>
    <w:p>
      <w:pPr>
        <w:pStyle w:val="BodyText"/>
        <w:spacing w:after="60" w:line="259" w:lineRule="auto"/>
      </w:pPr>
      <w:r>
        <w:rPr>
          <w:rFonts w:ascii="Arial" w:hAnsi="Arial"/>
          <w:color w:val="111827"/>
          <w:sz w:val="21"/>
        </w:rPr>
        <w:t>/immigrate/federal-skilled-worker</w:t>
      </w:r>
      <w:r>
        <w:rPr>
          <w:rFonts w:ascii="Arial" w:hAnsi="Arial"/>
          <w:color w:val="111827"/>
          <w:sz w:val="21"/>
        </w:rPr>
        <w:t xml:space="preserve">  |  </w:t>
      </w:r>
      <w:r>
        <w:rPr>
          <w:rFonts w:ascii="Arial" w:hAnsi="Arial"/>
          <w:color w:val="111827"/>
          <w:sz w:val="21"/>
        </w:rPr>
        <w:t>https://commonwealthmigration.ca/immigrate/federal-skilled-worker</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qualify for FSW?</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A job offer is not required for FSW eligibility, and as of March 2025 it no longer adds CRS points either — though it can still support proof-of-funds exemption and settlement plans.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counts as 'skilled' work experience for FSW?</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Work experience must fall under NOC TEER 0, 1, 2, or 3 — roughly management, professional, technical, and skilled trades/service occupations, based on Canada's National Occupational Classification system.</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my grid score is below 67 but my CRS score is strong?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67-point FSW grid and the CRS score are separate assessments. A candidate must pass the FSW grid to be eligible under this specific program, even with a strong CRS score — though they may still qualify under CEC or FST instead.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does an ECA take?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Timelines vary by the assessing organization, but ECAs commonly take several weeks to a few months — this should be started early, well before a profile is expected to be submitted.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Federal Skilled Worker Program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Federal Skilled Worker Program is one of three programs managed through Express Entry, designed specifically for candidates applying with foreign work experience — most often from outside Canada. This page is for skilled workers with qualifying foreign work experience who are assessing an economic immigration route.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Federal Skilled Worker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FSW selection grid, skilled work classification, language threshold, education or ECA, settlement-fund and admissibility requirements.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Federal Skilled Worker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language results, ECA or education records, employer letters with duties and dates, proof of funds and civil-status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Federal Skilled Worker Program compare with CEC, FST and PNP pathways?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Federal Skilled Worker Program is not interchangeable with CEC, FST and PNP pathways. FSW uses its own selection grid before a candidate is ranked in Express Entry; Canadian work experience or trade qualifications are assessed differently. The right choice depends on the person’s facts, timing and evidence, not on a generic promise that one route is fastest.</w:t>
            </w:r>
          </w:p>
        </w:tc>
      </w:tr>
    </w:tbl>
    <w:p>
      <w:pPr>
        <w:spacing w:after="20"/>
      </w:pPr>
    </w:p>
    <w:p>
      <w:pPr>
        <w:pStyle w:val="Heading2"/>
        <w:keepNext/>
        <w:spacing w:before="160" w:after="100"/>
      </w:pPr>
      <w:r>
        <w:t>03. the Canadian Experience Class</w:t>
      </w:r>
    </w:p>
    <w:p>
      <w:pPr>
        <w:pStyle w:val="BodyText"/>
        <w:spacing w:after="60" w:line="259" w:lineRule="auto"/>
      </w:pPr>
      <w:r>
        <w:rPr>
          <w:rFonts w:ascii="Arial" w:hAnsi="Arial"/>
          <w:color w:val="111827"/>
          <w:sz w:val="21"/>
        </w:rPr>
        <w:t>/immigrate/canadian-experience-class</w:t>
      </w:r>
      <w:r>
        <w:rPr>
          <w:rFonts w:ascii="Arial" w:hAnsi="Arial"/>
          <w:color w:val="111827"/>
          <w:sz w:val="21"/>
        </w:rPr>
        <w:t xml:space="preserve">  |  </w:t>
      </w:r>
      <w:r>
        <w:rPr>
          <w:rFonts w:ascii="Arial" w:hAnsi="Arial"/>
          <w:color w:val="111827"/>
          <w:sz w:val="21"/>
        </w:rPr>
        <w:t>https://commonwealthmigration.ca/immigrate/canadian-experience-class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my work experience need to be full-time?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1-year requirement is generally calculated in full-time equivalent hours — an equivalent amount of part-time work across a longer period can also qualify.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experience gained on a study permit count toward CEC?</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no — CEC requires experience gained with valid work authorization, such as a co-op work permit, PGWP, or other authorized work permit, not incidental work done on-campus under study permit provisions alone.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CRS score is realistic for CEC in 2026?</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Recent CEC-specific draws have run in the 507–518 range. Candidates below this should look at category-lane eligibility (French, healthcare, trades) or a provincial nomination to close the gap.</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apply under both CEC and FSW?</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single Express Entry profile is assessed for all programs a candidate is eligible under simultaneously — there's no need to choose one exclusively if requirements for more than one are met.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Canadian Experience Class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Canadian Experience Class is built for candidates who already have skilled work experience inside Canada — most commonly, international graduates who transitioned from a study permit to a Post-Graduation Work Permit. CEC has been the most consistently active Express Entry program through 2025–2026, with no minimum education requirement of its own. This page is for people with eligible Canadian work experience who are considering permanent residence through Express Entry.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Canadian Experience Class?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the Canadian work was authorized, skilled, sufficiently long and completed within the required period, plus the language and admissibility requirements.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Canadian Experience Class?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employer letters, permits, pay records, tax documents, language results and a complete status and travel history.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Canadian Experience Class compare with FSW, FST and PNP pathways?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Canadian Experience Class is not interchangeable with FSW, FST and PNP pathways. CEC focuses on qualifying Canadian work experience; full-time student work and foreign work experience are treated differently. The right choice depends on the person’s facts, timing and evidence, not on a generic promise that one route is fastest.</w:t>
            </w:r>
          </w:p>
        </w:tc>
      </w:tr>
    </w:tbl>
    <w:p>
      <w:pPr>
        <w:spacing w:after="20"/>
      </w:pPr>
    </w:p>
    <w:p>
      <w:pPr>
        <w:pStyle w:val="Heading2"/>
        <w:keepNext/>
        <w:spacing w:before="160" w:after="100"/>
      </w:pPr>
      <w:r>
        <w:t>04. the Federal Skilled Trades Program</w:t>
      </w:r>
    </w:p>
    <w:p>
      <w:pPr>
        <w:pStyle w:val="BodyText"/>
        <w:spacing w:after="60" w:line="259" w:lineRule="auto"/>
      </w:pPr>
      <w:r>
        <w:rPr>
          <w:rFonts w:ascii="Arial" w:hAnsi="Arial"/>
          <w:color w:val="111827"/>
          <w:sz w:val="21"/>
        </w:rPr>
        <w:t>/immigrate/federal-skilled-trades</w:t>
      </w:r>
      <w:r>
        <w:rPr>
          <w:rFonts w:ascii="Arial" w:hAnsi="Arial"/>
          <w:color w:val="111827"/>
          <w:sz w:val="21"/>
        </w:rPr>
        <w:t xml:space="preserve">  |  </w:t>
      </w:r>
      <w:r>
        <w:rPr>
          <w:rFonts w:ascii="Arial" w:hAnsi="Arial"/>
          <w:color w:val="111827"/>
          <w:sz w:val="21"/>
        </w:rPr>
        <w:t>https://commonwealthmigration.ca/immigrate/federal-skilled-trades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both a job offer and a certificate of qualification?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either one satisfies this requirement, not both. A certificate of qualification issued by a provincial or territorial body is often the more accessible route for candidates without an existing Canadian employer.</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FST different from the trades category draw?</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FST is one of the three core Express Entry programs with its own eligibility criteria. The trades category draw is a category-based selection lane that can invite eligible candidates — often FST-qualified ones — at CRS scores below general pool cutoffs.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qualify for FST without a Red Seal certification?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Red Seal is one route to demonstrating trade qualification, but a provincial/territorial certificate of qualification in an eligible trade also satisfies the requirement.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Federal Skilled Trades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Federal Skilled Trades Program is the Express Entry pathway built specifically for qualified tradespeople, and is frequently paired with the trades category-based draw lane, which has run at CRS scores well below the general pool. This page is for qualified tradespeople considering an Express Entry route.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Federal Skilled Trades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eligible trade group, required recent trade experience, language level and whether the job-offer or certificate-of-qualification condition is met.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Federal Skilled Trades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trade certificates, employer letters, language results, job-offer evidence and status or identity records.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Federal Skilled Trades Program compare with FSW, CEC and trade-focused category draws?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Federal Skilled Trades Program is not interchangeable with FSW, CEC and trade-focused category draws. FST is a federal program with its own trade and qualification conditions; a trade category draw does not replace program eligibility.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trade category draw replace FST eligibility?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A category draw may affect invitations, but the candidate still needs to qualify for the relevant Express Entry program and satisfy the current draw rules.</w:t>
            </w:r>
          </w:p>
        </w:tc>
      </w:tr>
    </w:tbl>
    <w:p>
      <w:pPr>
        <w:spacing w:after="20"/>
      </w:pPr>
    </w:p>
    <w:p>
      <w:pPr>
        <w:pStyle w:val="Heading2"/>
        <w:keepNext/>
        <w:spacing w:before="160" w:after="100"/>
      </w:pPr>
      <w:r>
        <w:t>05. the Provincial Nominee Program</w:t>
      </w:r>
    </w:p>
    <w:p>
      <w:pPr>
        <w:pStyle w:val="BodyText"/>
        <w:spacing w:after="60" w:line="259" w:lineRule="auto"/>
      </w:pPr>
      <w:r>
        <w:rPr>
          <w:rFonts w:ascii="Arial" w:hAnsi="Arial"/>
          <w:color w:val="111827"/>
          <w:sz w:val="21"/>
        </w:rPr>
        <w:t>/immigrate/provincial-nominee-program-all-provinces-consolidated</w:t>
      </w:r>
      <w:r>
        <w:rPr>
          <w:rFonts w:ascii="Arial" w:hAnsi="Arial"/>
          <w:color w:val="111827"/>
          <w:sz w:val="21"/>
        </w:rPr>
        <w:t xml:space="preserve">  |  </w:t>
      </w:r>
      <w:r>
        <w:rPr>
          <w:rFonts w:ascii="Arial" w:hAnsi="Arial"/>
          <w:color w:val="111827"/>
          <w:sz w:val="21"/>
        </w:rPr>
        <w:t>https://commonwealthmigration.ca/immigrate/provincial-nominee-program-all-provinces-consolidated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stream. Some require a valid job offer from an employer in that province; others, like Ontario's Human Capital Priorities stream, nominate directly from a candidate's Express Entry profile with no offer required.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apply to more than one province at the same time?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Often yes, though each stream has its own eligibility rules and some require a genuine intention to live specifically in that province — conflicts should be checked before submitting to more than one.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difference between an aligned and a base PNP stream?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An aligned stream adds CRS points to an existing Express Entry profile. A base (non-aligned) stream, like the Atlantic Immigration Program, runs its own separate application process outside Express Entry entirely.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Every Canadian province and territory except Quebec and Nunavut operates at least one Provincial Nominee Program stream. A nomination adds a flat 600 points to a candidate's Express Entry CRS score — enough to place nearly any nominated candidate above recent draw cutoffs — while some provincial streams run entirely outside Express Entry with their own se... This page is for applicants comparing provincial and territorial nomination streams.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province or territory, stream and connection or job-offer condition fits the applicant’s facts.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settlement evidence required by the selected province or territory.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Provincial Nominee Program compare with Express Entry and base versus PNP-linked streams?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Provincial Nominee Program is not interchangeable with Express Entry and base versus PNP-linked streams. each province or territory controls its own stream criteria and nomination process, while IRCC makes the federal permanent-residence decision.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Provincial Nominee Program (PNP)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06. Canada work permits</w:t>
      </w:r>
    </w:p>
    <w:p>
      <w:pPr>
        <w:pStyle w:val="BodyText"/>
        <w:spacing w:after="60" w:line="259" w:lineRule="auto"/>
      </w:pPr>
      <w:r>
        <w:rPr>
          <w:rFonts w:ascii="Arial" w:hAnsi="Arial"/>
          <w:color w:val="111827"/>
          <w:sz w:val="21"/>
        </w:rPr>
        <w:t>/work-and-study/canada-work-permit-overview</w:t>
      </w:r>
      <w:r>
        <w:rPr>
          <w:rFonts w:ascii="Arial" w:hAnsi="Arial"/>
          <w:color w:val="111827"/>
          <w:sz w:val="21"/>
        </w:rPr>
        <w:t xml:space="preserve">  |  </w:t>
      </w:r>
      <w:r>
        <w:rPr>
          <w:rFonts w:ascii="Arial" w:hAnsi="Arial"/>
          <w:color w:val="111827"/>
          <w:sz w:val="21"/>
        </w:rPr>
        <w:t>https://commonwealthmigration.ca/work-and-study/canada-work-permit-overview</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every foreign worker need an LMIA?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Intra-company transfers, CUSMA professionals, and certain International Mobility Program categories are LMIA-exempt — eligibility depends on the specific exemption, not employer preference.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switch employers on an employer-specific permit?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without applying for a new permit tied to the new employer, or qualifying for an open permit. Working for a different employer on an unchanged employer-specific permit is a status violation.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work permit lead to permanent residence?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Often yes — 12 months of skilled Canadian work experience typically qualifies a candidate for the Canadian Experience Class, and some provincial streams are built specifically around employer-sponsored temporary workers.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Canada work permits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Canadian work permit is either tied to a single employer or open to work for almost any employer — and that distinction determines which documents are required, how long processing takes, and how the permit connects to a future permanent residence application. This page is for workers comparing employer-specific and open work authorization.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Canada work permits?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the permit is employer-specific or open, whether an LMIA or exemption applies and whether the applicant has valid status.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Canada work permits?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job or school evidence, financial records and the forms or supporting records required for the specific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Canada work permits compare with study permits, IEC and LMIA-supported work?</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Canada work permits is not interchangeable with study permits, IEC and LMIA-supported work. a work permit authorizes specific work activity under stated conditions; it does not automatically authorize every employer, occupation or future immigration route.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Canadian work permit itself grant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Canadian work experience may support a later pathway, but permanent residence has separate program requirements.</w:t>
            </w:r>
          </w:p>
        </w:tc>
      </w:tr>
    </w:tbl>
    <w:p>
      <w:pPr>
        <w:spacing w:after="20"/>
      </w:pPr>
    </w:p>
    <w:p>
      <w:pPr>
        <w:pStyle w:val="Heading2"/>
        <w:keepNext/>
        <w:spacing w:before="160" w:after="100"/>
      </w:pPr>
      <w:r>
        <w:t>07. Canada study permits</w:t>
      </w:r>
    </w:p>
    <w:p>
      <w:pPr>
        <w:pStyle w:val="BodyText"/>
        <w:spacing w:after="60" w:line="259" w:lineRule="auto"/>
      </w:pPr>
      <w:r>
        <w:rPr>
          <w:rFonts w:ascii="Arial" w:hAnsi="Arial"/>
          <w:color w:val="111827"/>
          <w:sz w:val="21"/>
        </w:rPr>
        <w:t>/work-and-study/canada-study-permit</w:t>
      </w:r>
      <w:r>
        <w:rPr>
          <w:rFonts w:ascii="Arial" w:hAnsi="Arial"/>
          <w:color w:val="111827"/>
          <w:sz w:val="21"/>
        </w:rPr>
        <w:t xml:space="preserve">  |  </w:t>
      </w:r>
      <w:r>
        <w:rPr>
          <w:rFonts w:ascii="Arial" w:hAnsi="Arial"/>
          <w:color w:val="111827"/>
          <w:sz w:val="21"/>
        </w:rPr>
        <w:t>https://commonwealthmigration.ca/work-and-study/canada-study-permit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my program choice affect future PGWP eligibility?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since November 2024. PGWP eligibility depends on studying in a field IRCC considers aligned with labour market needs — healthcare, STEM, trades, agriculture, and education are among the eligible categories.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 Provincial Attestation Letter?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PAL confirms a study permit applicant's spot counts within a province's allocation. Most, though not all, applicants need one since the 2024 rule changes; requirements vary by province and study level.</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work while studying?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Most full-time study permit holders can work off-campus up to the hours currently permitted by IRCC policy, and full-time during scheduled breaks, provided the study permit authorizes this.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Canada study permits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study permit application is strongest when it's planned around where it leads — a Post-Graduation Work Permit, then Canadian work experience, then a route to permanent residence — not evaluated purely on getting the permit approved in isolation. This page is for international students planning study at a Canadian institution.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Canada study permits?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designated learning institution, letter of acceptance, attestation requirement, proof of funds, study purpose and status history.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Canada study permits?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letter of acceptance, provincial or territorial attestation where required, passport, financial evidence, academic records and explanation of study plans.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Canada study permits compare with visitor status, work permits and later PGWP or PR planning?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Canada study permits is not interchangeable with visitor status, work permits and later PGWP or PR planning. a study permit is temporary authorization to study; school, program, post-study work and permanent-residence rules are separate.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the choice of study program affect future PGWP eligibility?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can. PGWP eligibility depends on the institution, program, duration and current field or language rules, so the program should be checked before tuition or travel commitments are made.</w:t>
            </w:r>
          </w:p>
        </w:tc>
      </w:tr>
    </w:tbl>
    <w:p>
      <w:pPr>
        <w:spacing w:after="20"/>
      </w:pPr>
    </w:p>
    <w:p>
      <w:pPr>
        <w:pStyle w:val="Heading2"/>
        <w:keepNext/>
        <w:spacing w:before="160" w:after="100"/>
      </w:pPr>
      <w:r>
        <w:t>08. family sponsorship</w:t>
      </w:r>
    </w:p>
    <w:p>
      <w:pPr>
        <w:pStyle w:val="BodyText"/>
        <w:spacing w:after="60" w:line="259" w:lineRule="auto"/>
      </w:pPr>
      <w:r>
        <w:rPr>
          <w:rFonts w:ascii="Arial" w:hAnsi="Arial"/>
          <w:color w:val="111827"/>
          <w:sz w:val="21"/>
        </w:rPr>
        <w:t>/sponsor/family-sponsorship-overview-all-categories</w:t>
      </w:r>
      <w:r>
        <w:rPr>
          <w:rFonts w:ascii="Arial" w:hAnsi="Arial"/>
          <w:color w:val="111827"/>
          <w:sz w:val="21"/>
        </w:rPr>
        <w:t xml:space="preserve">  |  </w:t>
      </w:r>
      <w:r>
        <w:rPr>
          <w:rFonts w:ascii="Arial" w:hAnsi="Arial"/>
          <w:color w:val="111827"/>
          <w:sz w:val="21"/>
        </w:rPr>
        <w:t>https://commonwealthmigration.ca/sponsor/family-sponsorship-overview-all-categories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real difference between inland and outland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Inland applications are for couples where the partner is already in Canada, and allow an open work permit during processing. Outland applications are filed while the partner is abroad and can, in some cases, process faster — the right choice depends on the couple's specific circumstances.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triggers a genuineness refusal?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Officers look for consistency across the relationship timeline and credible, well-documented shared-life evidence. Thin documentation or inconsistent details are common triggers, but not automatic disqualifiers if addressed with a strong evidence package.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PGP lottery work?</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Interested sponsors submit an interest-to-sponsor form during an annual intake window. IRCC randomly selects a limited number of sponsors, who are then invited to submit a full application — selection is not approval.</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family sponsorship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Spousal, parent/grandparent, and dependent-child sponsorship each carry different eligibility rules, but every stream is ultimately assessed on whether the relationship is genuine and the sponsor can meet the financial undertaking required. This page is for sponsors comparing spousal, partner, child, parent and other family categories.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family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relationship category, sponsor eligibility, applicant admissibility and any income, dependency or undertaking rule.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family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family sponsorship compare with inland, outland and category-specific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family sponsorship is not interchangeable with inland, outland and category-specific sponsorship. each category defines the relationship and sponsor obligations differently; the broad family label is not a single application type.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 I choose the correct family-sponsorship category?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legal relationship, the family member’s age and dependency, each person’s location and the sponsor’s eligibility. The category that matches those facts determines the required evidence.</w:t>
            </w:r>
          </w:p>
        </w:tc>
      </w:tr>
    </w:tbl>
    <w:p>
      <w:pPr>
        <w:spacing w:after="20"/>
      </w:pPr>
    </w:p>
    <w:p>
      <w:pPr>
        <w:pStyle w:val="Heading2"/>
        <w:keepNext/>
        <w:spacing w:before="160" w:after="100"/>
      </w:pPr>
      <w:r>
        <w:t>09. LMIA and employer immigration services</w:t>
      </w:r>
    </w:p>
    <w:p>
      <w:pPr>
        <w:pStyle w:val="BodyText"/>
        <w:spacing w:after="60" w:line="259" w:lineRule="auto"/>
      </w:pPr>
      <w:r>
        <w:rPr>
          <w:rFonts w:ascii="Arial" w:hAnsi="Arial"/>
          <w:color w:val="111827"/>
          <w:sz w:val="21"/>
        </w:rPr>
        <w:t>/work-and-study/lmia-and-employer-services-overview</w:t>
      </w:r>
      <w:r>
        <w:rPr>
          <w:rFonts w:ascii="Arial" w:hAnsi="Arial"/>
          <w:color w:val="111827"/>
          <w:sz w:val="21"/>
        </w:rPr>
        <w:t xml:space="preserve">  |  </w:t>
      </w:r>
      <w:r>
        <w:rPr>
          <w:rFonts w:ascii="Arial" w:hAnsi="Arial"/>
          <w:color w:val="111827"/>
          <w:sz w:val="21"/>
        </w:rPr>
        <w:t>https://commonwealthmigration.ca/work-and-study/lmia-and-employer-services-overview</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we need an LMIA for every foreign hire?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Intra-company transfers, CUSMA professionals, and certain International Mobility Program categories are LMIA-exempt — this is assessed before recommending the LMIA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are our ongoing obligations after a positive LMIA?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Employers must pay the stated wage and provide the stated conditions, and keep supporting records for six years. ESDC can inspect at any time; non-compliance can lead to fines or a program ban.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much does an LMIA cost?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ESDC charges a government processing fee per position for most streams (agricultural streams are generally exempt). Professional service fees are quoted separately based on stream and complexity.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LMIA and employer immigration services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Whether it's a single high-wage hire or a seasonal agricultural crew, the LMIA process runs on documented recruitment, defensible wage benchmarking, and compliance records employers can produce years later on demand. This page is for Canadian employers assessing whether and how an LMIA-supported hire fits their workforce plan.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LMIA and employer immigration services?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an LMIA is required, the wage or stream category, recruitment evidence and the genuineness of the business need.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LMIA and employer immigration services?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business records, recruitment proof, payroll or wage information, job duties, workplace details and worker qualifications.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LMIA and employer immigration services compare with LMIA-exempt work permits and other employer programs?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LMIA and employer immigration services is not interchangeable with LMIA-exempt work permits and other employer programs. an LMIA tests the Canadian labour-market need and employer compliance; an exemption follows a different legal basis.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positive LMIA guarantee the worker’s permit?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supports the employer’s position, but the worker still needs a complete application and must satisfy admissibility and work-permit requirements.</w:t>
            </w:r>
          </w:p>
        </w:tc>
      </w:tr>
    </w:tbl>
    <w:p>
      <w:pPr>
        <w:spacing w:after="20"/>
      </w:pPr>
    </w:p>
    <w:p>
      <w:pPr>
        <w:pStyle w:val="Heading2"/>
        <w:keepNext/>
        <w:spacing w:before="160" w:after="100"/>
      </w:pPr>
      <w:r>
        <w:t>10. Visa Refusal &amp; Appeals</w:t>
      </w:r>
    </w:p>
    <w:p>
      <w:pPr>
        <w:pStyle w:val="BodyText"/>
        <w:spacing w:after="60" w:line="259" w:lineRule="auto"/>
      </w:pPr>
      <w:r>
        <w:rPr>
          <w:rFonts w:ascii="Arial" w:hAnsi="Arial"/>
          <w:color w:val="111827"/>
          <w:sz w:val="21"/>
        </w:rPr>
        <w:t>/inadmissibility-and-appeals/refusal-and-pfl-response</w:t>
      </w:r>
      <w:r>
        <w:rPr>
          <w:rFonts w:ascii="Arial" w:hAnsi="Arial"/>
          <w:color w:val="111827"/>
          <w:sz w:val="21"/>
        </w:rPr>
        <w:t xml:space="preserve">  |  </w:t>
      </w:r>
      <w:r>
        <w:rPr>
          <w:rFonts w:ascii="Arial" w:hAnsi="Arial"/>
          <w:color w:val="111827"/>
          <w:sz w:val="21"/>
        </w:rPr>
        <w:t>https://commonwealthmigration.ca/inadmissibility-and-appeals/refusal-and-pfl-response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just reapply with the same documents?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You can, but without knowing the officer's actual concern, a resubmission often repeats the same weaknesses — which is why GCMS notes are requested before drafting a response.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difference between a reapplication and an appeal?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reapplication addresses the refusal's concerns in a new submission. An appeal — available for some refusal types, like spousal sponsorship, through the Immigration Appeal Division — asks a tribunal to review the original decision itself.</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refusal always because of something the applicant did wrong?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Refusals often come down to how evidence was presented, not the underlying facts — genuine relationships, real ties, or real funds can still be refused if the original submission didn't document them convincingly.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Visa Refusal &amp; Appeals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Officers refuse the specific application in front of them, not an applicant's full circumstances. Requesting GCMS notes, isolating the officer's actual stated concern, and building evidence directly against that concern turns most refusals into a workable next step. This page is for a person or family responding to a refusal, inadmissibility concern, removal process or legal remedy.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Visa Refusal &amp; Appeals?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Visa Refusal &amp; Appeals?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Visa Refusal &amp; Appeals compare with the alternative remedy or procedural step described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Visa Refusal &amp; Appeals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Visa Refusal &amp; Appeals without reviewing the decision record?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bl>
    <w:p>
      <w:pPr>
        <w:spacing w:after="20"/>
      </w:pPr>
    </w:p>
    <w:p>
      <w:pPr>
        <w:pStyle w:val="Heading2"/>
        <w:keepNext/>
        <w:spacing w:before="160" w:after="100"/>
      </w:pPr>
      <w:r>
        <w:t>11. About Commonwealth Migration</w:t>
      </w:r>
    </w:p>
    <w:p>
      <w:pPr>
        <w:pStyle w:val="BodyText"/>
        <w:spacing w:after="60" w:line="259" w:lineRule="auto"/>
      </w:pPr>
      <w:r>
        <w:rPr>
          <w:rFonts w:ascii="Arial" w:hAnsi="Arial"/>
          <w:color w:val="111827"/>
          <w:sz w:val="21"/>
        </w:rPr>
        <w:t>/about/about-commonwealth-migration</w:t>
      </w:r>
      <w:r>
        <w:rPr>
          <w:rFonts w:ascii="Arial" w:hAnsi="Arial"/>
          <w:color w:val="111827"/>
          <w:sz w:val="21"/>
        </w:rPr>
        <w:t xml:space="preserve">  |  </w:t>
      </w:r>
      <w:r>
        <w:rPr>
          <w:rFonts w:ascii="Arial" w:hAnsi="Arial"/>
          <w:color w:val="111827"/>
          <w:sz w:val="21"/>
        </w:rPr>
        <w:t>https://commonwealthmigration.ca/about/about-commonwealth-migration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does a licensed RCIC actually help with?</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Regulated Canadian Immigration Consultant can assess eligibility, develop strategy, prepare and review documentation, represent a client where authorized, and respond when a file becomes complex — always verify registration at the CICC public register before engaging anyone.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you only handle Canada-based clients?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we work with clients applying from anywhere in the world, alongside a sister office in Dubai, UAE serving the wider Commonwealth Migration Group network.</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 I verify your licence?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Search RCIC R705959 on the CICC public register at college-ic.ca before engaging any immigration representative — this applies to any consultant, not just ours.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About Commonwealth Migration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Commonwealth Migration Group Inc. is a CICC-regulated Canadian immigration practice based in Brampton, Ontario, working alongside a sister office in Dubai, UAE. We handle federal and provincial immigration pathways, employer LMIA programs, and refusal or appeal files for clients across Canada. This page is for people assessing whether this Canadian immigration pathway fits their facts.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About Commonwealth Migration?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About Commonwealth Migration?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About Commonwealth Migration compare with the related Canadian pathways linked from this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About Commonwealth Migration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About Commonwealth Migration?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bl>
    <w:p>
      <w:pPr>
        <w:spacing w:after="20"/>
      </w:pPr>
    </w:p>
    <w:p>
      <w:pPr>
        <w:pStyle w:val="Heading2"/>
        <w:keepNext/>
        <w:spacing w:before="160" w:after="100"/>
      </w:pPr>
      <w:r>
        <w:t>12. Business Immigration &amp; Start-Up Visa</w:t>
      </w:r>
    </w:p>
    <w:p>
      <w:pPr>
        <w:pStyle w:val="BodyText"/>
        <w:spacing w:after="60" w:line="259" w:lineRule="auto"/>
      </w:pPr>
      <w:r>
        <w:rPr>
          <w:rFonts w:ascii="Arial" w:hAnsi="Arial"/>
          <w:color w:val="111827"/>
          <w:sz w:val="21"/>
        </w:rPr>
        <w:t>/immigrate/business-immigration-and-start-up-visa</w:t>
      </w:r>
      <w:r>
        <w:rPr>
          <w:rFonts w:ascii="Arial" w:hAnsi="Arial"/>
          <w:color w:val="111827"/>
          <w:sz w:val="21"/>
        </w:rPr>
        <w:t xml:space="preserve">  |  </w:t>
      </w:r>
      <w:r>
        <w:rPr>
          <w:rFonts w:ascii="Arial" w:hAnsi="Arial"/>
          <w:color w:val="111827"/>
          <w:sz w:val="21"/>
        </w:rPr>
        <w:t>https://commonwealthmigration.ca/immigrate/business-immigration-and-start-up-visa</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to speak English or French fluently?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CLB 5 is the minimum threshold — a solid intermediate level across speaking, listening, reading, and writing, not full fluency.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more than one entrepreneur apply for the same business?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up to five applicants can be named on a single qualifying business, provided each holds at least 10% of voting rights and the combined applicant ownership exceeds 50%.</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Start-Up Visa different from a provincial entrepreneur stream?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Start-Up Visa requires support from a designated national-level organization and leads directly to permanent residence. Provincial entrepreneur streams are run by individual provinces, often require an initial work permit and a probationary period actively operating the business before a nomination is issued.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Business Immigration &amp; Start-Up Visa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Canada's Start-Up Visa program offers permanent residence to entrepreneurs whose business idea receives support from a designated Canadian organization — a venture capital fund, angel investor group, or business incubator. It sits alongside self-employed and provincial entrepreneur streams as the main routes for business-driven immigration. This page is for people assessing whether this Canadian immigration pathway fits their facts.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Business Immigration &amp; Start-Up Visa?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Business Immigration &amp; Start-Up Visa?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Business Immigration &amp; Start-Up Visa compare with the related Canadian pathways linked from this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Business Immigration &amp; Start-Up Visa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Business Immigration &amp; Start-Up Visa?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bl>
    <w:p>
      <w:pPr>
        <w:spacing w:after="20"/>
      </w:pPr>
    </w:p>
    <w:p>
      <w:pPr>
        <w:pStyle w:val="Heading2"/>
        <w:keepNext/>
        <w:spacing w:before="160" w:after="100"/>
      </w:pPr>
      <w:r>
        <w:t>13. Atlantic Immigration Program (AIP)</w:t>
      </w:r>
    </w:p>
    <w:p>
      <w:pPr>
        <w:pStyle w:val="BodyText"/>
        <w:spacing w:after="60" w:line="259" w:lineRule="auto"/>
      </w:pPr>
      <w:r>
        <w:rPr>
          <w:rFonts w:ascii="Arial" w:hAnsi="Arial"/>
          <w:color w:val="111827"/>
          <w:sz w:val="21"/>
        </w:rPr>
        <w:t>/immigrate/atlantic-immigration-program</w:t>
      </w:r>
      <w:r>
        <w:rPr>
          <w:rFonts w:ascii="Arial" w:hAnsi="Arial"/>
          <w:color w:val="111827"/>
          <w:sz w:val="21"/>
        </w:rPr>
        <w:t xml:space="preserve">  |  </w:t>
      </w:r>
      <w:r>
        <w:rPr>
          <w:rFonts w:ascii="Arial" w:hAnsi="Arial"/>
          <w:color w:val="111827"/>
          <w:sz w:val="21"/>
        </w:rPr>
        <w:t>https://commonwealthmigration.ca/immigrate/atlantic-immigration-program</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Why would an employer prefer AIP over an LMIA-backed hire?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LMIA is required, which removes the recruitment-advertising and wage-benchmarking steps that an LMIA otherwise demands — though the employer must still be formally designated by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international graduates qualify without a full year of work experience?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recent graduates from a recognized Atlantic Canada post-secondary program can qualify under a graduate-specific exemption from the standard work experience requirement.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settlement plan mandatory?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applicants and their families must complete a settlement plan with a designated provincial settlement service provider before the application proceeds.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Atlantic Immigration Program (AIP)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Atlantic Immigration Program is a permanent employer-driven pathway for skilled workers and international graduates settling in New Brunswick, Nova Scotia, Prince Edward Island, or Newfoundland and Labrador. It runs outside Express Entry, with its own dedicated application process, and does not require a Labour Market Impact Assessment. This page is for people assessing whether this Canadian immigration pathway fits their facts.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Atlantic Immigration Program (AIP)?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Atlantic Immigration Program (AIP)?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Atlantic Immigration Program (AIP) compare with the related Canadian pathways linked from this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Atlantic Immigration Program (AIP)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Atlantic Immigration Program (AIP)?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bl>
    <w:p>
      <w:pPr>
        <w:spacing w:after="20"/>
      </w:pPr>
    </w:p>
    <w:p>
      <w:pPr>
        <w:pStyle w:val="Heading2"/>
        <w:keepNext/>
        <w:spacing w:before="160" w:after="100"/>
      </w:pPr>
      <w:r>
        <w:t>14. the Post-Graduation Work Permit</w:t>
      </w:r>
    </w:p>
    <w:p>
      <w:pPr>
        <w:pStyle w:val="BodyText"/>
        <w:spacing w:after="60" w:line="259" w:lineRule="auto"/>
      </w:pPr>
      <w:r>
        <w:rPr>
          <w:rFonts w:ascii="Arial" w:hAnsi="Arial"/>
          <w:color w:val="111827"/>
          <w:sz w:val="21"/>
        </w:rPr>
        <w:t>/work-and-study/post-graduation-work-permit-pgwp</w:t>
      </w:r>
      <w:r>
        <w:rPr>
          <w:rFonts w:ascii="Arial" w:hAnsi="Arial"/>
          <w:color w:val="111827"/>
          <w:sz w:val="21"/>
        </w:rPr>
        <w:t xml:space="preserve">  |  </w:t>
      </w:r>
      <w:r>
        <w:rPr>
          <w:rFonts w:ascii="Arial" w:hAnsi="Arial"/>
          <w:color w:val="111827"/>
          <w:sz w:val="21"/>
        </w:rPr>
        <w:t>https://commonwealthmigration.ca/work-and-study/post-graduation-work-permit-pgwp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every program qualify for a PGWP?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since November 2024, the program must fall within a field of study IRCC has identified as aligned with labour market needs. This should be confirmed before enrolling, not after graduating.</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work for any employer on a PGWP?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a PGWP is an open work permit, not tied to a specific employer, which is what makes it a common bridge into qualifying Canadian work experience.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PGWP connect to permanent residence?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12 months of skilled work (NOC TEER 0–3) while on a PGWP typically builds eligibility for the Canadian Experience Class under Express Entry.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Post-Graduation Work Permit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PGWP is an open work permit for international graduates of eligible Canadian programs, and is the most common bridge between a study permit and permanent residence through the Canadian Experience Class. Since November 2024, PGWP eligibility depends on having studied in a field IRCC considers aligned with labour market needs. This page is for graduates assessing whether their Canadian study can support an open work permit.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Post-Graduation Work Permit?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institution and program eligibility, completion evidence, application timing and current language or field-of-study rules.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Post-Graduation Work Permit?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completion letter, transcript, passport, study permit and evidence of the program and institution.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Post-Graduation Work Permit compare with other work permits and CEC or PNP planning?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Post-Graduation Work Permit is not interchangeable with other work permits and CEC or PNP planning. PGWP eligibility is tied to the completed study and current program rules; it is not the same as an employer-specific permit.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PGWP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may provide time to gain qualifying experience, but a separate PR route and its requirements still apply.</w:t>
            </w:r>
          </w:p>
        </w:tc>
      </w:tr>
    </w:tbl>
    <w:p>
      <w:pPr>
        <w:spacing w:after="20"/>
      </w:pPr>
    </w:p>
    <w:p>
      <w:pPr>
        <w:pStyle w:val="Heading2"/>
        <w:keepNext/>
        <w:spacing w:before="160" w:after="100"/>
      </w:pPr>
      <w:r>
        <w:t>15. Visitor Visa &amp; Super Visa</w:t>
      </w:r>
    </w:p>
    <w:p>
      <w:pPr>
        <w:pStyle w:val="BodyText"/>
        <w:spacing w:after="60" w:line="259" w:lineRule="auto"/>
      </w:pPr>
      <w:r>
        <w:rPr>
          <w:rFonts w:ascii="Arial" w:hAnsi="Arial"/>
          <w:color w:val="111827"/>
          <w:sz w:val="21"/>
        </w:rPr>
        <w:t>/visit/visitor-visa-trv-and-super-visa-combined</w:t>
      </w:r>
      <w:r>
        <w:rPr>
          <w:rFonts w:ascii="Arial" w:hAnsi="Arial"/>
          <w:color w:val="111827"/>
          <w:sz w:val="21"/>
        </w:rPr>
        <w:t xml:space="preserve">  |  </w:t>
      </w:r>
      <w:r>
        <w:rPr>
          <w:rFonts w:ascii="Arial" w:hAnsi="Arial"/>
          <w:color w:val="111827"/>
          <w:sz w:val="21"/>
        </w:rPr>
        <w:t>https://commonwealthmigration.ca/visit/visitor-visa-trv-and-super-visa-combined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difference between a visitor visa and an eTA?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TRV is a physical/electronic visa required for citizens of many countries; an eTA is a lighter electronic authorization for citizens of visa-exempt countries flying to Canada. Which applies depends entirely on the traveller's nationality.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can a Super Visa holder stay per visit?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Up to 5 years per entry, which can be extended by up to 2 additional years from within Canada if needed — far longer than a standard visitor's typical maximum stay per visit.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income does a Super Visa sponsor need?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sponsor must meet Canada's minimum necessary income threshold (based on the Low Income Cut-Off, LICO), scaled to household size — this is verified through recent tax documentation.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Visitor Visa &amp; Super Visa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Temporary Resident Visa (TRV), commonly called a visitor visa, is required for citizens of many countries to enter Canada temporarily. The Super Visa is a specialized long-validity version for parents and grandparents of Canadian citizens or permanent residents, allowing extended stays without annual renewal. This page is for travellers or visitors deciding whether this temporary entry document fits their trip.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Visitor Visa &amp; Super Visa?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travel document, purpose of travel, intended length of stay and whether the person needs a visa, an eTA or another authorization.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Visitor Visa &amp; Super Visa?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or travel-document details, itinerary or purpose, funds, ties outside Canada and any invitation or business evidence relevant to the trip.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Visitor Visa &amp; Super Visa compare with the other visitor and transit options described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Visitor Visa &amp; Super Visa is not interchangeable with the other visitor and transit options described on the page. the document controls a different travel or entry situation; visa, eTA, visitor record and transit permissions are not substitutes for one another.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traveller use Visitor Visa &amp; Super Visa for a different purpose than the one stated?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Only if the activity is permitted under the document and the person meets the conditions of entry. A visitor document does not automatically authorize work, study or a longer stay.</w:t>
            </w:r>
          </w:p>
        </w:tc>
      </w:tr>
    </w:tbl>
    <w:p>
      <w:pPr>
        <w:spacing w:after="20"/>
      </w:pPr>
    </w:p>
    <w:p>
      <w:pPr>
        <w:pStyle w:val="Heading2"/>
        <w:keepNext/>
        <w:spacing w:before="160" w:after="100"/>
      </w:pPr>
      <w:r>
        <w:t>16. spousal and partner sponsorship</w:t>
      </w:r>
    </w:p>
    <w:p>
      <w:pPr>
        <w:pStyle w:val="BodyText"/>
        <w:spacing w:after="60" w:line="259" w:lineRule="auto"/>
      </w:pPr>
      <w:r>
        <w:rPr>
          <w:rFonts w:ascii="Arial" w:hAnsi="Arial"/>
          <w:color w:val="111827"/>
          <w:sz w:val="21"/>
        </w:rPr>
        <w:t>/sponsor/spousal-and-partner-sponsorship-overview</w:t>
      </w:r>
      <w:r>
        <w:rPr>
          <w:rFonts w:ascii="Arial" w:hAnsi="Arial"/>
          <w:color w:val="111827"/>
          <w:sz w:val="21"/>
        </w:rPr>
        <w:t xml:space="preserve">  |  </w:t>
      </w:r>
      <w:r>
        <w:rPr>
          <w:rFonts w:ascii="Arial" w:hAnsi="Arial"/>
          <w:color w:val="111827"/>
          <w:sz w:val="21"/>
        </w:rPr>
        <w:t>https://commonwealthmigration.ca/sponsor/spousal-and-partner-sponsorship-overview</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work in Canada while my inland application is processing?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inland applicants can generally apply for an open work permit that allows them to work for almost any employer while the sponsorship is being processed.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my sponsorship is refused?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Refusals on genuineness grounds can generally be appealed to the Immigration Appeal Division (IAD), which independently reviews the evidence and can overturn the original decision.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shorter relationship automatically a problem?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automatically, but shorter relationships with limited documented history typically need a stronger, more detailed evidence package to satisfy an officer of the relationship's genuineness.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spousal and partner sponsorship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Spousal sponsorship is the route for Canadian citizens and permanent residents to sponsor a spouse, common-law partner, or conjugal partner for permanent residence. Applications are decided primarily on whether the relationship is genuine and ongoing — documentation quality matters as much as the underlying facts. This page is for Canadian sponsors and spouses or partners documenting a genuine relationship.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spousal and partner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the relationship is married, common-law or another recognized category and whether the sponsor and applicant are eligible.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spousal and partner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marriage or cohabitation records, shared finances or residence, communications, photographs, travel and evidence explaining periods apart.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spousal and partner sponsorship compare with inland and outland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spousal and partner sponsorship is not interchangeable with inland and outland sponsorship. the relationship definition and location affect the application strategy, temporary status and work-permit options.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evidence helps show that a spousal or partner relationship is genuine?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Use consistent evidence from the relationship timeline: civil records, shared life or financial records, communications, visits and explanations for unusual gaps. The evidence should tell one coherent story rather than repeat generic photos.</w:t>
            </w:r>
          </w:p>
        </w:tc>
      </w:tr>
    </w:tbl>
    <w:p>
      <w:pPr>
        <w:spacing w:after="20"/>
      </w:pPr>
    </w:p>
    <w:p>
      <w:pPr>
        <w:pStyle w:val="Heading2"/>
        <w:keepNext/>
        <w:spacing w:before="160" w:after="100"/>
      </w:pPr>
      <w:r>
        <w:t>17. the Parents and Grandparents Program</w:t>
      </w:r>
    </w:p>
    <w:p>
      <w:pPr>
        <w:pStyle w:val="BodyText"/>
        <w:spacing w:after="60" w:line="259" w:lineRule="auto"/>
      </w:pPr>
      <w:r>
        <w:rPr>
          <w:rFonts w:ascii="Arial" w:hAnsi="Arial"/>
          <w:color w:val="111827"/>
          <w:sz w:val="21"/>
        </w:rPr>
        <w:t>/sponsor/parents-and-grandparents-program-pgp</w:t>
      </w:r>
      <w:r>
        <w:rPr>
          <w:rFonts w:ascii="Arial" w:hAnsi="Arial"/>
          <w:color w:val="111827"/>
          <w:sz w:val="21"/>
        </w:rPr>
        <w:t xml:space="preserve">  |  </w:t>
      </w:r>
      <w:r>
        <w:rPr>
          <w:rFonts w:ascii="Arial" w:hAnsi="Arial"/>
          <w:color w:val="111827"/>
          <w:sz w:val="21"/>
        </w:rPr>
        <w:t>https://commonwealthmigration.ca/sponsor/parents-and-grandparents-program-pgp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I'm not selected in the PGP lottery?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Sponsors not selected can submit interest again in future intake windows, or pursue a Super Visa as an alternative that doesn't require lottery selection.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being selected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selection only grants the opportunity to submit a full application, which is still assessed on income, relationship, and admissibility criteria.</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include multiple parents or grandparents on one submission?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Each set of parents (or grandparents) generally requires the sponsor to meet the income threshold scaled to the full household size being sponsored, including any accompanying dependents.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Parents and Grandparents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PGP is the dedicated pathway for Canadian citizens and permanent residents to sponsor their parents or grandparents for permanent residence. Because demand consistently exceeds the annual intake, IRCC selects sponsors through a randomized interest-to-sponsor process rather than first-come, first-served. This page is for sponsors assessing the invitation and income requirements for parents or grandparents.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Parents and Grandparents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an invitation is available, the sponsor’s status and residence, the required income history and undertaking.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Parents and Grandparents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invitation records, Notices of Assessment or other income evidence, family-size calculation, relationship records and medical or police documents when requested.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Parents and Grandparents Program compare with the Super Visa for parents?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Parents and Grandparents Program is not interchangeable with the Super Visa for parents. PGP is a permanent-residence sponsorship route with invitation and income requirements; the Super Visa is a temporary visit route.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 am not selected for the PGP?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cannot submit a PGP application without the applicable invitation process. They should monitor the current official instructions and consider whether a different temporary or permanent route fits.</w:t>
            </w:r>
          </w:p>
        </w:tc>
      </w:tr>
    </w:tbl>
    <w:p>
      <w:pPr>
        <w:spacing w:after="20"/>
      </w:pPr>
    </w:p>
    <w:p>
      <w:pPr>
        <w:pStyle w:val="Heading2"/>
        <w:keepNext/>
        <w:spacing w:before="160" w:after="100"/>
      </w:pPr>
      <w:r>
        <w:t>18. PR Card Renewal &amp; Canadian Citizenship</w:t>
      </w:r>
    </w:p>
    <w:p>
      <w:pPr>
        <w:pStyle w:val="BodyText"/>
        <w:spacing w:after="60" w:line="259" w:lineRule="auto"/>
      </w:pPr>
      <w:r>
        <w:rPr>
          <w:rFonts w:ascii="Arial" w:hAnsi="Arial"/>
          <w:color w:val="111827"/>
          <w:sz w:val="21"/>
        </w:rPr>
        <w:t>/citizenship/pr-card-renewal-and-citizenship-combined-overview</w:t>
      </w:r>
      <w:r>
        <w:rPr>
          <w:rFonts w:ascii="Arial" w:hAnsi="Arial"/>
          <w:color w:val="111827"/>
          <w:sz w:val="21"/>
        </w:rPr>
        <w:t xml:space="preserve">  |  </w:t>
      </w:r>
      <w:r>
        <w:rPr>
          <w:rFonts w:ascii="Arial" w:hAnsi="Arial"/>
          <w:color w:val="111827"/>
          <w:sz w:val="21"/>
        </w:rPr>
        <w:t>https://commonwealthmigration.ca/citizenship/pr-card-renewal-and-citizenship-combined-overview</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my PR card expires while I'm outside Canada?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An expired PR card doesn't end permanent resident status itself, but it can complicate returning to Canada — a Permanent Resident Travel Document is typically needed to board a flight back without a valid card.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time spent as a temporary resident count toward citizenship?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portion of time spent in Canada as a temporary resident or protected person before becoming a permanent resident can count toward the physical presence requirement, up to a capped number of days.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lose permanent residence status?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failing to meet the residency obligation, or being found inadmissible on grounds such as serious criminality, can result in a loss of permanent resident status upon review.</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 Card Renewal &amp; Canadian Citizenship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Once granted permanent residence, staying in status means meeting an ongoing residency obligation and keeping a valid PR card for travel. Citizenship is the natural next step for permanent residents who meet Canada's physical presence and other eligibility requirements. This page is for a permanent resident, former citizen or family assessing this citizenship or PR-document process.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 Card Renewal &amp; Canadian Citizenship?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 Card Renewal &amp; Canadian Citizenship?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 Card Renewal &amp; Canadian Citizenship compare with the related citizenship, PR card or travel-document route linked from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 Card Renewal &amp; Canadian Citizenship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PR Card Renewal &amp; Canadian Citizenship if their travel or status history is incomplete?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bl>
    <w:p>
      <w:pPr>
        <w:spacing w:after="20"/>
      </w:pPr>
    </w:p>
    <w:p>
      <w:pPr>
        <w:pStyle w:val="Heading2"/>
        <w:keepNext/>
        <w:spacing w:before="160" w:after="100"/>
      </w:pPr>
      <w:r>
        <w:t>19. criminal inadmissibility</w:t>
      </w:r>
    </w:p>
    <w:p>
      <w:pPr>
        <w:pStyle w:val="BodyText"/>
        <w:spacing w:after="60" w:line="259" w:lineRule="auto"/>
      </w:pPr>
      <w:r>
        <w:rPr>
          <w:rFonts w:ascii="Arial" w:hAnsi="Arial"/>
          <w:color w:val="111827"/>
          <w:sz w:val="21"/>
        </w:rPr>
        <w:t>/inadmissibility-and-appeals/criminal-inadmissibility-overview</w:t>
      </w:r>
      <w:r>
        <w:rPr>
          <w:rFonts w:ascii="Arial" w:hAnsi="Arial"/>
          <w:color w:val="111827"/>
          <w:sz w:val="21"/>
        </w:rPr>
        <w:t xml:space="preserve">  |  </w:t>
      </w:r>
      <w:r>
        <w:rPr>
          <w:rFonts w:ascii="Arial" w:hAnsi="Arial"/>
          <w:color w:val="111827"/>
          <w:sz w:val="21"/>
        </w:rPr>
        <w:t>https://commonwealthmigration.ca/inadmissibility-and-appeals/criminal-inadmissibility-overview</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single old conviction always make someone inadmissible?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necessarily — inadmissibility depends on how the offence is classified under Canadian equivalency law, and Deemed Rehabilitation can automatically resolve some older, less serious convictions after enough time has passed.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does Criminal Rehabilitation take?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Processing timelines vary, but the eligibility clock itself generally starts 5 years after completing all parts of the sentence — the application can take additional months to process once submitted.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still travel to Canada while waiting for rehabilitation?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Temporary Resident Permit can allow entry for a specific, justified purpose even while inadmissible, though it's assessed case by case and isn't guaranteed.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criminal inadmissibility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criminal record — even one from decades ago, or for an offence considered minor in another country — can make a person inadmissible to Canada. Several routes exist to overcome inadmissibility depending on the offence, how much time has passed, and the purpose of travel. This page is for people whose criminal record may affect entry, temporary status or permanent residence in Canada.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criminal inadmissibility?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foreign offence, Canadian equivalency, sentence completion dates and whether rehabilitation, a TRP or another remedy may be available.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criminal inadmissibility?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court dispositions, police records, sentence information, certified translations and a complete travel or immigration history.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criminal inadmissibility compare with criminal rehabilitation, deemed rehabilitation and a TRP?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criminal inadmissibility is not interchangeable with criminal rehabilitation, deemed rehabilitation and a TRP. the remedy depends on the offence, timing, purpose of travel and legal test; no single application fits every record.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one old conviction always make someone inadmissible to Canada?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always. The offence, Canadian equivalency, sentence and elapsed time must be assessed under current law. Obtain the complete record before assuming either admissibility or a remedy.</w:t>
            </w:r>
          </w:p>
        </w:tc>
      </w:tr>
    </w:tbl>
    <w:p>
      <w:pPr>
        <w:spacing w:after="20"/>
      </w:pPr>
    </w:p>
    <w:p>
      <w:pPr>
        <w:pStyle w:val="Heading2"/>
        <w:keepNext/>
        <w:spacing w:before="160" w:after="100"/>
      </w:pPr>
      <w:r>
        <w:t>20. International Experience Canada</w:t>
      </w:r>
    </w:p>
    <w:p>
      <w:pPr>
        <w:pStyle w:val="BodyText"/>
        <w:spacing w:after="60" w:line="259" w:lineRule="auto"/>
      </w:pPr>
      <w:r>
        <w:rPr>
          <w:rFonts w:ascii="Arial" w:hAnsi="Arial"/>
          <w:color w:val="111827"/>
          <w:sz w:val="21"/>
        </w:rPr>
        <w:t>/work-and-study/international-experience-canada-iec</w:t>
      </w:r>
      <w:r>
        <w:rPr>
          <w:rFonts w:ascii="Arial" w:hAnsi="Arial"/>
          <w:color w:val="111827"/>
          <w:sz w:val="21"/>
        </w:rPr>
        <w:t xml:space="preserve">  |  </w:t>
      </w:r>
      <w:r>
        <w:rPr>
          <w:rFonts w:ascii="Arial" w:hAnsi="Arial"/>
          <w:color w:val="111827"/>
          <w:sz w:val="21"/>
        </w:rPr>
        <w:t>https://commonwealthmigration.ca/work-and-study/international-experience-canada-iec</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IEC available to every nationality?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eligibility depends on a reciprocal youth mobility agreement between Canada and the applicant's country of citizenship, and each agreement has its own age range and annual quota.</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be invited from the pool more than once per year?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Rules vary by category and country agreement — some allow multiple pool entries or repeat participation within eligibility limits, which should be checked against the specific country's current agreement.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Working Holiday permit lead to permanent residence?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directly, but qualifying Canadian work experience gained during a Working Holiday can potentially support a later Canadian Experience Class application under Express Entry.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International Experience Canada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International Experience Canada is a reciprocal program allowing young adults from partner countries to work in Canada temporarily — most commonly through the Working Holiday category, an open work permit not tied to a single employer. Eligibility depends entirely on citizenship, as each partner country has its own agreement and annual quota with Canada. This page is for young adults from participating countries or territories considering a temporary work-and-travel route.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International Experience Canada?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or territory, age, participation history, category, pool and invitation requirements.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International Experience Canada?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insurance, funds, police or medical records when required and evidence supporting the category.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International Experience Canada compare with other open or employer-specific work permits?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International Experience Canada is not interchangeable with other open or employer-specific work permits. IEC participation depends on country agreements and category quotas, not simply on having a job offer.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IEC lead directly to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temporary work authorization; later PR planning requires a separate eligible program.</w:t>
            </w:r>
          </w:p>
        </w:tc>
      </w:tr>
    </w:tbl>
    <w:p>
      <w:pPr>
        <w:spacing w:after="20"/>
      </w:pPr>
    </w:p>
    <w:p>
      <w:pPr>
        <w:pStyle w:val="Heading2"/>
        <w:keepNext/>
        <w:spacing w:before="160" w:after="100"/>
      </w:pPr>
      <w:r>
        <w:t>21. Agri-Food Immigration Pilot</w:t>
      </w:r>
    </w:p>
    <w:p>
      <w:pPr>
        <w:pStyle w:val="BodyText"/>
        <w:spacing w:after="60" w:line="259" w:lineRule="auto"/>
      </w:pPr>
      <w:r>
        <w:rPr>
          <w:rFonts w:ascii="Arial" w:hAnsi="Arial"/>
          <w:color w:val="111827"/>
          <w:sz w:val="21"/>
        </w:rPr>
        <w:t>/immigrate/agri-food-immigration-pilot</w:t>
      </w:r>
      <w:r>
        <w:rPr>
          <w:rFonts w:ascii="Arial" w:hAnsi="Arial"/>
          <w:color w:val="111827"/>
          <w:sz w:val="21"/>
        </w:rPr>
        <w:t xml:space="preserve">  |  </w:t>
      </w:r>
      <w:r>
        <w:rPr>
          <w:rFonts w:ascii="Arial" w:hAnsi="Arial"/>
          <w:color w:val="111827"/>
          <w:sz w:val="21"/>
        </w:rPr>
        <w:t>https://commonwealthmigration.ca/immigrate/agri-food-immigration-pilot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seasonal farm work qualify?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the pilot specifically requires a non-seasonal, full-time, indeterminate job offer, which distinguishes it from seasonal agricultural worker programs.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this the same as the Seasonal Agricultural Worker Program (SAWP)?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SAWP is a temporary work stream, while the Agri-Food Pilot is a direct route to permanent residence for workers already in an eligible non-seasonal role.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Agri-Food Immigration Pilot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Agri-Food Immigration Pilot is a targeted pathway to permanent residence for experienced, non-seasonal workers in specific agriculture and food-processing occupations — created to address chronic labour shortages in an industry that has historically relied heavily on temporary foreign workers.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Agri-Food Immigration Pilot?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Agri-Food Immigration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Agri-Food Immigration Pilot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Agri-Food Immigration Pilot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Agri-Food Immigration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Agri-Food Immigration Pilot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22. Rural and Northern Immigration Pilot</w:t>
      </w:r>
    </w:p>
    <w:p>
      <w:pPr>
        <w:pStyle w:val="BodyText"/>
        <w:spacing w:after="60" w:line="259" w:lineRule="auto"/>
      </w:pPr>
      <w:r>
        <w:rPr>
          <w:rFonts w:ascii="Arial" w:hAnsi="Arial"/>
          <w:color w:val="111827"/>
          <w:sz w:val="21"/>
        </w:rPr>
        <w:t>/immigrate/rural-and-northern-immigration-pilot</w:t>
      </w:r>
      <w:r>
        <w:rPr>
          <w:rFonts w:ascii="Arial" w:hAnsi="Arial"/>
          <w:color w:val="111827"/>
          <w:sz w:val="21"/>
        </w:rPr>
        <w:t xml:space="preserve">  |  </w:t>
      </w:r>
      <w:r>
        <w:rPr>
          <w:rFonts w:ascii="Arial" w:hAnsi="Arial"/>
          <w:color w:val="111827"/>
          <w:sz w:val="21"/>
        </w:rPr>
        <w:t>https://commonwealthmigration.ca/immigrate/rural-and-northern-immigration-pilot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choose any small town in Canada?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only communities formally participating in the pilot can issue a recommendation; the list of eligible communities is set and periodically updated by IRCC.</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job offer alone enough to qualify?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the community's own recommendation is a separate, required step beyond simply having a job offer from an employer located there.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Rural and Northern Immigration Pilot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Rural and Northern Immigration Pilot connects skilled foreign workers with job opportunities in smaller Canadian communities that have opted in to attract newcomers — a community-driven route to permanent residence that doesn't require a Labour Market Impact Assessment.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Rural and Northern Immigration Pilot?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Rural and Northern Immigration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Rural and Northern Immigration Pilot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Rural and Northern Immigration Pilot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Rural and Northern Immigration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Rural and Northern Immigration Pilot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23. Municipal Nominee Program</w:t>
      </w:r>
    </w:p>
    <w:p>
      <w:pPr>
        <w:pStyle w:val="BodyText"/>
        <w:spacing w:after="60" w:line="259" w:lineRule="auto"/>
      </w:pPr>
      <w:r>
        <w:rPr>
          <w:rFonts w:ascii="Arial" w:hAnsi="Arial"/>
          <w:color w:val="111827"/>
          <w:sz w:val="21"/>
        </w:rPr>
        <w:t>/immigrate/municipal-nominee-program</w:t>
      </w:r>
      <w:r>
        <w:rPr>
          <w:rFonts w:ascii="Arial" w:hAnsi="Arial"/>
          <w:color w:val="111827"/>
          <w:sz w:val="21"/>
        </w:rPr>
        <w:t xml:space="preserve">  |  </w:t>
      </w:r>
      <w:r>
        <w:rPr>
          <w:rFonts w:ascii="Arial" w:hAnsi="Arial"/>
          <w:color w:val="111827"/>
          <w:sz w:val="21"/>
        </w:rPr>
        <w:t>https://commonwealthmigration.ca/immigrate/municipal-nominee-program</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this different from RNIP?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It's built on the same community-nomination concept but expands the pool of participating municipalities beyond RNIP's original community list — check both programs' current community lists, as eligibility depends on which one your target community participates in.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to already be in Canada to apply?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candidates can generally apply from abroad, though a genuine intention to live and work in the nominating municipality is required.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Municipal Nominee Program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Municipal Nominee Program is a newer federal initiative extending the community-driven nomination model beyond the original Rural and Northern pilot communities, letting a broader range of smaller and mid-sized municipalities nominate economic immigrants directly.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Municipal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Municipal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Municipal Nominee Program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Municipal Nominee Program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Municipal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Municipal Nominee Program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24. In-Canada Refugee Claim</w:t>
      </w:r>
    </w:p>
    <w:p>
      <w:pPr>
        <w:pStyle w:val="BodyText"/>
        <w:spacing w:after="60" w:line="259" w:lineRule="auto"/>
      </w:pPr>
      <w:r>
        <w:rPr>
          <w:rFonts w:ascii="Arial" w:hAnsi="Arial"/>
          <w:color w:val="111827"/>
          <w:sz w:val="21"/>
        </w:rPr>
        <w:t>/immigrate/in-canada-refugee-claim</w:t>
      </w:r>
      <w:r>
        <w:rPr>
          <w:rFonts w:ascii="Arial" w:hAnsi="Arial"/>
          <w:color w:val="111827"/>
          <w:sz w:val="21"/>
        </w:rPr>
        <w:t xml:space="preserve">  |  </w:t>
      </w:r>
      <w:r>
        <w:rPr>
          <w:rFonts w:ascii="Arial" w:hAnsi="Arial"/>
          <w:color w:val="111827"/>
          <w:sz w:val="21"/>
        </w:rPr>
        <w:t>https://commonwealthmigration.ca/immigrate/in-canada-refugee-claim</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work while my claim is being decided?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Most claimants become eligible to apply for a work permit once their claim is found eligible and referred to the IRB.</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my claim is refused?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Depending on the circumstances, options can include an appeal to the Refugee Appeal Division, judicial review, or a Pre-Removal Risk Assessment before any removal proceeds.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In-Canada Refugee Claim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refugee claim can be made by someone already in Canada, or at a Canadian port of entry, who cannot safely return to their home country due to a well-founded fear of persecution or a risk of serious harm.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In-Canada Refugee Claim?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In-Canada Refugee Claim?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In-Canada Refugee Claim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In-Canada Refugee Claim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In-Canada Refugee Claim?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In-Canada Refugee Claim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25. Pre-Removal Risk Assessment (PRRA)</w:t>
      </w:r>
    </w:p>
    <w:p>
      <w:pPr>
        <w:pStyle w:val="BodyText"/>
        <w:spacing w:after="60" w:line="259" w:lineRule="auto"/>
      </w:pPr>
      <w:r>
        <w:rPr>
          <w:rFonts w:ascii="Arial" w:hAnsi="Arial"/>
          <w:color w:val="111827"/>
          <w:sz w:val="21"/>
        </w:rPr>
        <w:t>/immigrate/pre-removal-risk-assessment-prra</w:t>
      </w:r>
      <w:r>
        <w:rPr>
          <w:rFonts w:ascii="Arial" w:hAnsi="Arial"/>
          <w:color w:val="111827"/>
          <w:sz w:val="21"/>
        </w:rPr>
        <w:t xml:space="preserve">  |  </w:t>
      </w:r>
      <w:r>
        <w:rPr>
          <w:rFonts w:ascii="Arial" w:hAnsi="Arial"/>
          <w:color w:val="111827"/>
          <w:sz w:val="21"/>
        </w:rPr>
        <w:t>https://commonwealthmigration.ca/immigrate/pre-removal-risk-assessment-prra</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submit the same evidence as my original refugee claim?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no — a PRRA is meant to assess new risk developments since the last decision, not re-litigate evidence already considered.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applying for a PRRA automatically pause removal?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 most cases, a pending PRRA application does provide a stay of removal until a decision is made, though specific timing rules apply.</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Pre-Removal Risk Assessment (PRRA)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PRRA assesses whether a person facing removal from Canada would face a risk of persecution, torture, or cruel and unusual treatment if returned to their country of origin. It is generally available only once other avenues — such as a refused refugee claim — have been exhausted.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Pre-Removal Risk Assessment (PRRA)?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Pre-Removal Risk Assessment (PRRA)?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Pre-Removal Risk Assessment (PRRA)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Pre-Removal Risk Assessment (PRRA)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Pre-Removal Risk Assessment (PRRA)?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Pre-Removal Risk Assessment (PRRA)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26. Protected Persons — Apply for Permanent Residence</w:t>
      </w:r>
    </w:p>
    <w:p>
      <w:pPr>
        <w:pStyle w:val="BodyText"/>
        <w:spacing w:after="60" w:line="259" w:lineRule="auto"/>
      </w:pPr>
      <w:r>
        <w:rPr>
          <w:rFonts w:ascii="Arial" w:hAnsi="Arial"/>
          <w:color w:val="111827"/>
          <w:sz w:val="21"/>
        </w:rPr>
        <w:t>/immigrate/protected-persons-apply-for-pr</w:t>
      </w:r>
      <w:r>
        <w:rPr>
          <w:rFonts w:ascii="Arial" w:hAnsi="Arial"/>
          <w:color w:val="111827"/>
          <w:sz w:val="21"/>
        </w:rPr>
        <w:t xml:space="preserve">  |  </w:t>
      </w:r>
      <w:r>
        <w:rPr>
          <w:rFonts w:ascii="Arial" w:hAnsi="Arial"/>
          <w:color w:val="111827"/>
          <w:sz w:val="21"/>
        </w:rPr>
        <w:t>https://commonwealthmigration.ca/immigrate/protected-persons-apply-for-pr</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to meet Express Entry-style criteria to apply?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protected persons apply through a dedicated pathway that doesn't require meeting standard economic program criteria like CRS scoring or language testing thresholds.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include my spouse and children in my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yes, for family members who were part of the original claim or who fall within the applicable family reunification provisions.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Protected Persons — Apply for Permanent Residence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Individuals recognized as Convention refugees or protected persons — whether through an IRB decision or a positive PRRA — can apply for permanent residence, generally without needing to separately meet standard economic-class eligibility criteria.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Protected Persons — Apply for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Protected Persons — Apply for Permanent Residence?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Protected Persons — Apply for Permanent Residence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Protected Persons — Apply for Permanent Residence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Protected Persons — Apply for Permanent Residence?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Protected Persons — Apply for Permanent Residence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27. Refugee Travel Document</w:t>
      </w:r>
    </w:p>
    <w:p>
      <w:pPr>
        <w:pStyle w:val="BodyText"/>
        <w:spacing w:after="60" w:line="259" w:lineRule="auto"/>
      </w:pPr>
      <w:r>
        <w:rPr>
          <w:rFonts w:ascii="Arial" w:hAnsi="Arial"/>
          <w:color w:val="111827"/>
          <w:sz w:val="21"/>
        </w:rPr>
        <w:t>/immigrate/refugee-travel-document</w:t>
      </w:r>
      <w:r>
        <w:rPr>
          <w:rFonts w:ascii="Arial" w:hAnsi="Arial"/>
          <w:color w:val="111827"/>
          <w:sz w:val="21"/>
        </w:rPr>
        <w:t xml:space="preserve">  |  </w:t>
      </w:r>
      <w:r>
        <w:rPr>
          <w:rFonts w:ascii="Arial" w:hAnsi="Arial"/>
          <w:color w:val="111827"/>
          <w:sz w:val="21"/>
        </w:rPr>
        <w:t>https://commonwealthmigration.ca/immigrate/refugee-travel-document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travel anywhere with this document?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Most destinations, yes, subject to that country's own entry requirements — but travel to the country the holder fled from is generally not permitted and can affect protected person status.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far ahead should I renew?</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Applying several months before expiry is advisable, since processing takes time and an expired document can disrupt planned travel.</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Refugee Travel Document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Refugee Travel Document is issued to protected persons and permanent residents who came to Canada as refugees, allowing international travel when a passport from their country of origin isn't a safe or realistic option.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Refugee Travel Document?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Refugee Travel Document?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Refugee Travel Document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Refugee Travel Document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Refugee Travel Document?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Refugee Travel Document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28. One-Year Window Reunification</w:t>
      </w:r>
    </w:p>
    <w:p>
      <w:pPr>
        <w:pStyle w:val="BodyText"/>
        <w:spacing w:after="60" w:line="259" w:lineRule="auto"/>
      </w:pPr>
      <w:r>
        <w:rPr>
          <w:rFonts w:ascii="Arial" w:hAnsi="Arial"/>
          <w:color w:val="111827"/>
          <w:sz w:val="21"/>
        </w:rPr>
        <w:t>/immigrate/one-year-window-reunification</w:t>
      </w:r>
      <w:r>
        <w:rPr>
          <w:rFonts w:ascii="Arial" w:hAnsi="Arial"/>
          <w:color w:val="111827"/>
          <w:sz w:val="21"/>
        </w:rPr>
        <w:t xml:space="preserve">  |  </w:t>
      </w:r>
      <w:r>
        <w:rPr>
          <w:rFonts w:ascii="Arial" w:hAnsi="Arial"/>
          <w:color w:val="111827"/>
          <w:sz w:val="21"/>
        </w:rPr>
        <w:t>https://commonwealthmigration.ca/immigrate/one-year-window-reunification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I didn't know about a family member when I first applied?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window exists precisely for this kind of situation — family members not declared or located at the time of the original application can often still be included if the request is made within the window.</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there any flexibility if I miss the deadline?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Flexibility is limited and case-specific — missing the window generally means pursuing a standard sponsorship application, which carries its own separate eligibility and processing requirements.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One-Year Window Reunification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One-Year Window provision lets protected persons include eligible family members on their permanent residence application without those family members needing to independently meet protected-person criteria — provided the application is made within roughly one year of the principal applicant becoming a permanent resident.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One-Year Window Reunification?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One-Year Window Reunification?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One-Year Window Reunification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One-Year Window Reunification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One-Year Window Reunification?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One-Year Window Reunification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29. Humanitarian &amp; Compassionate (H&amp;C) Consideration</w:t>
      </w:r>
    </w:p>
    <w:p>
      <w:pPr>
        <w:pStyle w:val="BodyText"/>
        <w:spacing w:after="60" w:line="259" w:lineRule="auto"/>
      </w:pPr>
      <w:r>
        <w:rPr>
          <w:rFonts w:ascii="Arial" w:hAnsi="Arial"/>
          <w:color w:val="111827"/>
          <w:sz w:val="21"/>
        </w:rPr>
        <w:t>/immigrate/humanitarian-and-compassionate</w:t>
      </w:r>
      <w:r>
        <w:rPr>
          <w:rFonts w:ascii="Arial" w:hAnsi="Arial"/>
          <w:color w:val="111827"/>
          <w:sz w:val="21"/>
        </w:rPr>
        <w:t xml:space="preserve">  |  </w:t>
      </w:r>
      <w:r>
        <w:rPr>
          <w:rFonts w:ascii="Arial" w:hAnsi="Arial"/>
          <w:color w:val="111827"/>
          <w:sz w:val="21"/>
        </w:rPr>
        <w:t>https://commonwealthmigration.ca/immigrate/humanitarian-and-compassionate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H&amp;C a guaranteed way to get PR if I have no other options?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it's entirely discretionary, and applications are assessed individually on the strength of the evidence presented; there's no fixed formula that guarantees approval.</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apply for H&amp;C while another application is in process?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depends on the specific circumstances and current application; H&amp;C is generally considered when other pathways have been exhausted or don't apply, and timing should be reviewed case by case.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Humanitarian &amp; Compassionate (H&amp;C) Consideration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H&amp;C is a discretionary route allowing IRCC to grant permanent residence outside standard eligibility criteria, for applicants whose circumstances don't fit any other established pathway but who can demonstrate compelling humanitarian and compassionate grounds.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Humanitarian &amp; Compassionate (H&amp;C) Consideration?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Humanitarian &amp; Compassionate (H&amp;C) Consideration?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Humanitarian &amp; Compassionate (H&amp;C) Consideration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Humanitarian &amp; Compassionate (H&amp;C) Consideration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Humanitarian &amp; Compassionate (H&amp;C) Consideration?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Humanitarian &amp; Compassionate (H&amp;C) Consideration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30. Temporary Resident to PR Pathway</w:t>
      </w:r>
    </w:p>
    <w:p>
      <w:pPr>
        <w:pStyle w:val="BodyText"/>
        <w:spacing w:after="60" w:line="259" w:lineRule="auto"/>
      </w:pPr>
      <w:r>
        <w:rPr>
          <w:rFonts w:ascii="Arial" w:hAnsi="Arial"/>
          <w:color w:val="111827"/>
          <w:sz w:val="21"/>
        </w:rPr>
        <w:t>/immigrate/temporary-resident-to-pr-pathway</w:t>
      </w:r>
      <w:r>
        <w:rPr>
          <w:rFonts w:ascii="Arial" w:hAnsi="Arial"/>
          <w:color w:val="111827"/>
          <w:sz w:val="21"/>
        </w:rPr>
        <w:t xml:space="preserve">  |  </w:t>
      </w:r>
      <w:r>
        <w:rPr>
          <w:rFonts w:ascii="Arial" w:hAnsi="Arial"/>
          <w:color w:val="111827"/>
          <w:sz w:val="21"/>
        </w:rPr>
        <w:t>https://commonwealthmigration.ca/immigrate/temporary-resident-to-pr-pathway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fastest route from a work permit to PR?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most candidates, CEC through Express Entry is the fastest standard route once 12 months of qualifying experience is reached — a provincial nomination can be faster still if the candidate's province and occupation qualify.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special public policies come up often?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They're periodic and specific — IRCC opens them for particular circumstances (like a defined graduate cohort) rather than as an ongoing standing program, so eligibility depends heavily on current announcements.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Temporary Resident to PR Pathway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covers the range of routes allowing someone already in Canada on temporary status — a work or study permit holder, most commonly — to transition to permanent residence, typically by qualifying for the Canadian Experience Class, a provincial nominee stream built for temporary residents, or occasionally a targeted public policy pathway IRCC opens for a...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Temporary Resident to PR Pathway?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Temporary Resident to PR Pathway?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Temporary Resident to PR Pathway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Temporary Resident to PR Pathway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Temporary Resident to PR Pathway?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Temporary Resident to PR Pathway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31. Home Child Care Provider Pilot</w:t>
      </w:r>
    </w:p>
    <w:p>
      <w:pPr>
        <w:pStyle w:val="BodyText"/>
        <w:spacing w:after="60" w:line="259" w:lineRule="auto"/>
      </w:pPr>
      <w:r>
        <w:rPr>
          <w:rFonts w:ascii="Arial" w:hAnsi="Arial"/>
          <w:color w:val="111827"/>
          <w:sz w:val="21"/>
        </w:rPr>
        <w:t>/immigrate/home-child-care-provider-pilot</w:t>
      </w:r>
      <w:r>
        <w:rPr>
          <w:rFonts w:ascii="Arial" w:hAnsi="Arial"/>
          <w:color w:val="111827"/>
          <w:sz w:val="21"/>
        </w:rPr>
        <w:t xml:space="preserve">  |  </w:t>
      </w:r>
      <w:r>
        <w:rPr>
          <w:rFonts w:ascii="Arial" w:hAnsi="Arial"/>
          <w:color w:val="111827"/>
          <w:sz w:val="21"/>
        </w:rPr>
        <w:t>https://commonwealthmigration.ca/immigrate/home-child-care-provider-pilot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to work for the same family the whole time?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Work permit conditions under this pilot are occupation-specific rather than tied to one named employer in the way a standard employer-specific permit is — current program rules should be checked for the exact conditions in effect.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this different from older caregiver programs?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Earlier caregiver programs generally required a separate PR application after a set period of work; this pilot is designed to combine the work permit and PR pathway into one structured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Home Child Care Provider Pilot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Home Child Care Provider Pilot offers caregivers providing child care in a private household a combined work permit and direct route to permanent residence — built to remove the separate, later PR application many earlier caregiver programs required.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Home Child Care Provider Pilot?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Home Child Care Provider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Home Child Care Provider Pilot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Home Child Care Provider Pilot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Home Child Care Provider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Home Child Care Provider Pilot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32. Home Support Worker Pilot</w:t>
      </w:r>
    </w:p>
    <w:p>
      <w:pPr>
        <w:pStyle w:val="BodyText"/>
        <w:spacing w:after="60" w:line="259" w:lineRule="auto"/>
      </w:pPr>
      <w:r>
        <w:rPr>
          <w:rFonts w:ascii="Arial" w:hAnsi="Arial"/>
          <w:color w:val="111827"/>
          <w:sz w:val="21"/>
        </w:rPr>
        <w:t>/immigrate/home-support-worker-pilot</w:t>
      </w:r>
      <w:r>
        <w:rPr>
          <w:rFonts w:ascii="Arial" w:hAnsi="Arial"/>
          <w:color w:val="111827"/>
          <w:sz w:val="21"/>
        </w:rPr>
        <w:t xml:space="preserve">  |  </w:t>
      </w:r>
      <w:r>
        <w:rPr>
          <w:rFonts w:ascii="Arial" w:hAnsi="Arial"/>
          <w:color w:val="111827"/>
          <w:sz w:val="21"/>
        </w:rPr>
        <w:t>https://commonwealthmigration.ca/immigrate/home-support-worker-pilot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kind of care work qualifies under this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Care work supporting seniors, people with disabilities, or people managing chronic illness in a private household setting — distinct from the Home Child Care Provider Pilot, which covers child care specifically.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switch between the two caregiver pilots?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Eligibility is assessed against the specific pilot matching the type of care work performed — a caregiver's actual job duties determine which pilot applies, not personal preference.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Home Support Worker Pilot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Home Support Worker Pilot is the counterpart to the Home Child Care Provider Pilot, built for caregivers supporting seniors, people with disabilities, or those managing chronic illness in a private household — with the same combined work-permit-to-PR structure. This page is for people assessing whether this Canadian immigration pathway fits their facts.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Home Support Worker Pilot?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route’s definition, status requirements, eligibility factors and any deadline or stream-specific condition.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Home Support Worker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status, education or employment history, family records and the official forms or evidence required for the particular route.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Home Support Worker Pilot compare with the related Canadian pathways linked from this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Home Support Worker Pilot is not interchangeable with the related Canadian pathways linked from this page. the eligibility test and evidence are different, even when two routes appear to lead to a similar outcome.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 a non-standard situation use Home Support Worker Pilot?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Possibly, but the answer depends on the exact facts and the current program rules. The page should explain the relevant exception or limitation instead of promising that every profile fits.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Home Support Worker Pilot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33. the Global Talent Stream</w:t>
      </w:r>
    </w:p>
    <w:p>
      <w:pPr>
        <w:pStyle w:val="BodyText"/>
        <w:spacing w:after="60" w:line="259" w:lineRule="auto"/>
      </w:pPr>
      <w:r>
        <w:rPr>
          <w:rFonts w:ascii="Arial" w:hAnsi="Arial"/>
          <w:color w:val="111827"/>
          <w:sz w:val="21"/>
        </w:rPr>
        <w:t>/work-and-study/global-talent-stream</w:t>
      </w:r>
      <w:r>
        <w:rPr>
          <w:rFonts w:ascii="Arial" w:hAnsi="Arial"/>
          <w:color w:val="111827"/>
          <w:sz w:val="21"/>
        </w:rPr>
        <w:t xml:space="preserve">  |  </w:t>
      </w:r>
      <w:r>
        <w:rPr>
          <w:rFonts w:ascii="Arial" w:hAnsi="Arial"/>
          <w:color w:val="111827"/>
          <w:sz w:val="21"/>
        </w:rPr>
        <w:t>https://commonwealthmigration.ca/work-and-study/global-talent-stream</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every tech hire qualify for GTS?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Category B requires the specific occupation to be on the Global Talent Occupations List, and Category A requires a referral from a designated partner organization; not every tech role automatically qualifies.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the 2-week target guaranteed?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It's ESDC's service standard target for complete, well-documented applications — not a guarantee, and incomplete submissions can extend the timeline.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Global Talent Stream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Global Talent Stream is an expedited LMIA stream for employers hiring in-demand tech and specialized talent roles, built around a significantly faster processing target than standard LMIA categories. This page is for Canadian employers seeking specialized foreign talent through an LMIA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Global Talent Stream?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employer’s category, the occupation and wage, the business need and the recruitment or compliance evidence.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Global Talent Stream?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business and recruitment records, job description, wage evidence, worker qualifications and the required employer commitments.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Global Talent Stream compare with other LMIA streams and LMIA-exempt work permits?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Global Talent Stream is not interchangeable with other LMIA streams and LMIA-exempt work permits. GTS is an employer-led LMIA stream with defined category and processing expectations; it is not a general fast track for every technology hire.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every technology hire qualify for the Global Talent Stream?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employer, occupation, wage, worker qualifications and stream category must fit the current GTS requirements.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positive GTS LMIA guarantee a work permit?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LMIA is employer support; the worker must still submit a complete work-permit application and meet admissibility requirements.</w:t>
            </w:r>
          </w:p>
        </w:tc>
      </w:tr>
    </w:tbl>
    <w:p>
      <w:pPr>
        <w:spacing w:after="20"/>
      </w:pPr>
    </w:p>
    <w:p>
      <w:pPr>
        <w:pStyle w:val="Heading2"/>
        <w:keepNext/>
        <w:spacing w:before="160" w:after="100"/>
      </w:pPr>
      <w:r>
        <w:t>34. Temporary Foreign Worker Program employer compliance</w:t>
      </w:r>
    </w:p>
    <w:p>
      <w:pPr>
        <w:pStyle w:val="BodyText"/>
        <w:spacing w:after="60" w:line="259" w:lineRule="auto"/>
      </w:pPr>
      <w:r>
        <w:rPr>
          <w:rFonts w:ascii="Arial" w:hAnsi="Arial"/>
          <w:color w:val="111827"/>
          <w:sz w:val="21"/>
        </w:rPr>
        <w:t>/work-and-study/tfwp-employer-compliance</w:t>
      </w:r>
      <w:r>
        <w:rPr>
          <w:rFonts w:ascii="Arial" w:hAnsi="Arial"/>
          <w:color w:val="111827"/>
          <w:sz w:val="21"/>
        </w:rPr>
        <w:t xml:space="preserve">  |  </w:t>
      </w:r>
      <w:r>
        <w:rPr>
          <w:rFonts w:ascii="Arial" w:hAnsi="Arial"/>
          <w:color w:val="111827"/>
          <w:sz w:val="21"/>
        </w:rPr>
        <w:t>https://commonwealthmigration.ca/work-and-study/tfwp-employer-compliance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often can ESDC inspect our records?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Inspections can happen at any time during a foreign worker's employment and for a period afterward — there's no fixed schedule, so ongoing audit-readiness matters more than periodic preparation.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most common compliance mistake employers make?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Paying a wage that drifted below the amount stated in the original LMIA application over time, often due to not tracking provincial median wage updates — this is one of the most frequently cited violations.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Temporary Foreign Worker Program employer compliance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Employers hiring through the Temporary Foreign Worker Program take on ongoing compliance obligations that extend well past the LMIA approval itself — ESDC can inspect an employer's records at any point during, and for years after, a foreign worker's employment. This page is for Canadian employers that have hired or plan to hire workers under the TFWP.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Temporary Foreign Worker Program employer compliance?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wage, occupation, work conditions, records and commitments attached to the LMIA or work permit.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Temporary Foreign Worker Program employer compliance?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payroll, schedules, job descriptions, recruitment files, workplace records and proof that required conditions were followed.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Temporary Foreign Worker Program employer compliance compare with the initial LMIA application and other employer programs?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Temporary Foreign Worker Program employer compliance is not interchangeable with the initial LMIA application and other employer programs. compliance reviews what the employer actually did after approval, not just what was promised in the application.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records should an employer keep for a TFWP compliance review?</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 records that prove the promised wage, duties, working conditions, recruitment and other commitments were met. The exact retention and inspection rules should be checked against current official guidance.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TFWP Employer Compliance itself grant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A temporary permit or employer process may support later planning, but permanent residence requires a separate route and its own eligibility assessment.</w:t>
            </w:r>
          </w:p>
        </w:tc>
      </w:tr>
    </w:tbl>
    <w:p>
      <w:pPr>
        <w:spacing w:after="20"/>
      </w:pPr>
    </w:p>
    <w:p>
      <w:pPr>
        <w:pStyle w:val="Heading2"/>
        <w:keepNext/>
        <w:spacing w:before="160" w:after="100"/>
      </w:pPr>
      <w:r>
        <w:t>35. PNP-linked Express Entry</w:t>
      </w:r>
    </w:p>
    <w:p>
      <w:pPr>
        <w:pStyle w:val="BodyText"/>
        <w:spacing w:after="60" w:line="259" w:lineRule="auto"/>
      </w:pPr>
      <w:r>
        <w:rPr>
          <w:rFonts w:ascii="Arial" w:hAnsi="Arial"/>
          <w:color w:val="111827"/>
          <w:sz w:val="21"/>
        </w:rPr>
        <w:t>/immigrate/pnp-linked-express-entry</w:t>
      </w:r>
      <w:r>
        <w:rPr>
          <w:rFonts w:ascii="Arial" w:hAnsi="Arial"/>
          <w:color w:val="111827"/>
          <w:sz w:val="21"/>
        </w:rPr>
        <w:t xml:space="preserve">  |  </w:t>
      </w:r>
      <w:r>
        <w:rPr>
          <w:rFonts w:ascii="Arial" w:hAnsi="Arial"/>
          <w:color w:val="111827"/>
          <w:sz w:val="21"/>
        </w:rPr>
        <w:t>https://commonwealthmigration.ca/immigrate/pnp-linked-express-entry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an Express Entry profile before applying to a PNP-linked stream?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yes — most aligned streams either draw candidates directly from the Express Entry pool or require an active profile to attach the nomination to.</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job offer required?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province's aligned stream — some, like Ontario's Human Capital Priorities stream, nominate directly from profile data with no offer required, while others do require one.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much faster is a PNP-linked application?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doesn't change Express Entry's own processing target, but the 600-point bonus typically means an invitation follows much sooner than waiting in the general pool.</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PNP-linked Express Entry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PNP-linked application is a provincial nomination obtained through a stream specifically aligned with Express Entry — the nomination adds 600 CRS points directly to an existing profile, rather than running as a separate application outside the federal system entirely. This page is for Express Entry candidates assessing a provincial nomination connected to the federal pool.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PNP-linked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the applicant can create or maintain a valid Express Entry profile and satisfy the province’s linked-stream conditions.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PNP-linked Express Entry?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Express Entry profile facts, language and education records, work evidence, province-specific forms and any job-offer or connection evidence.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PNP-linked Express Entry compare with base PNP streams and direct Express Entry planning?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PNP-linked Express Entry is not interchangeable with base PNP streams and direct Express Entry planning. a linked nomination uses the Express Entry system and can change the CRS profile; a base stream follows a different federal application sequence.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PNP-Linked Express Entry guarantee the requested immigration outcome?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provides a possible process or pathway, but the decision depends on the complete facts, evidence, admissibility and the rules in force when the application is assessed.</w:t>
            </w:r>
          </w:p>
        </w:tc>
      </w:tr>
    </w:tbl>
    <w:p>
      <w:pPr>
        <w:spacing w:after="20"/>
      </w:pPr>
    </w:p>
    <w:p>
      <w:pPr>
        <w:pStyle w:val="Heading2"/>
        <w:keepNext/>
        <w:spacing w:before="160" w:after="100"/>
      </w:pPr>
      <w:r>
        <w:t>36. British Columbia Provincial Nominee Program</w:t>
      </w:r>
    </w:p>
    <w:p>
      <w:pPr>
        <w:pStyle w:val="BodyText"/>
        <w:spacing w:after="60" w:line="259" w:lineRule="auto"/>
      </w:pPr>
      <w:r>
        <w:rPr>
          <w:rFonts w:ascii="Arial" w:hAnsi="Arial"/>
          <w:color w:val="111827"/>
          <w:sz w:val="21"/>
        </w:rPr>
        <w:t>/immigrate/british-columbia-pnp</w:t>
      </w:r>
      <w:r>
        <w:rPr>
          <w:rFonts w:ascii="Arial" w:hAnsi="Arial"/>
          <w:color w:val="111827"/>
          <w:sz w:val="21"/>
        </w:rPr>
        <w:t xml:space="preserve">  |  </w:t>
      </w:r>
      <w:r>
        <w:rPr>
          <w:rFonts w:ascii="Arial" w:hAnsi="Arial"/>
          <w:color w:val="111827"/>
          <w:sz w:val="21"/>
        </w:rPr>
        <w:t>https://commonwealthmigration.ca/immigrate/british-columbia-pnp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British Columbia's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British Columbia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Runs frequent, smaller draws rather than large periodic invitations.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British Columbia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British Columbia's nominee program focuses on Skills Immigration Registration System (SIRS) — tech, healthcare, and skilled worker categories. A nomination under this program can add 600 CRS points to an Express Entry profile where the stream is aligned, or lead to permanent residence through the province's own separate process where it isn't. This page is for applicants with a possible British Columbia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British Columbia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British Columbia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British Columbia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British Columbia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British Columbia Provincial Nominee Program is not interchangeable with other PNPs and federal Express Entry. British Columbia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British Columbia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37. Alberta Provincial Nominee Program</w:t>
      </w:r>
    </w:p>
    <w:p>
      <w:pPr>
        <w:pStyle w:val="BodyText"/>
        <w:spacing w:after="60" w:line="259" w:lineRule="auto"/>
      </w:pPr>
      <w:r>
        <w:rPr>
          <w:rFonts w:ascii="Arial" w:hAnsi="Arial"/>
          <w:color w:val="111827"/>
          <w:sz w:val="21"/>
        </w:rPr>
        <w:t>/immigrate/alberta-pnp-aaip</w:t>
      </w:r>
      <w:r>
        <w:rPr>
          <w:rFonts w:ascii="Arial" w:hAnsi="Arial"/>
          <w:color w:val="111827"/>
          <w:sz w:val="21"/>
        </w:rPr>
        <w:t xml:space="preserve">  |  </w:t>
      </w:r>
      <w:r>
        <w:rPr>
          <w:rFonts w:ascii="Arial" w:hAnsi="Arial"/>
          <w:color w:val="111827"/>
          <w:sz w:val="21"/>
        </w:rPr>
        <w:t>https://commonwealthmigration.ca/immigrate/alberta-pnp-aaip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Alberta's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Alberta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Opportunity Stream targets workers already employed in Alberta on a valid work permit.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Alberta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Alberta's nominee program focuses on Alberta Opportunity Stream and an Express Entry-aligned stream. A nomination under this program can add 600 CRS points to an Express Entry profile where the stream is aligned, or lead to permanent residence through the province's own separate process where it isn't. This page is for applicants with a possible Alberta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Alberta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Alberta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Alberta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Alberta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Alberta Provincial Nominee Program is not interchangeable with other PNPs and federal Express Entry. Alberta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Alberta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38. Saskatchewan Provincial Nominee Program</w:t>
      </w:r>
    </w:p>
    <w:p>
      <w:pPr>
        <w:pStyle w:val="BodyText"/>
        <w:spacing w:after="60" w:line="259" w:lineRule="auto"/>
      </w:pPr>
      <w:r>
        <w:rPr>
          <w:rFonts w:ascii="Arial" w:hAnsi="Arial"/>
          <w:color w:val="111827"/>
          <w:sz w:val="21"/>
        </w:rPr>
        <w:t>/immigrate/saskatchewan-pnp-sinp</w:t>
      </w:r>
      <w:r>
        <w:rPr>
          <w:rFonts w:ascii="Arial" w:hAnsi="Arial"/>
          <w:color w:val="111827"/>
          <w:sz w:val="21"/>
        </w:rPr>
        <w:t xml:space="preserve">  |  </w:t>
      </w:r>
      <w:r>
        <w:rPr>
          <w:rFonts w:ascii="Arial" w:hAnsi="Arial"/>
          <w:color w:val="111827"/>
          <w:sz w:val="21"/>
        </w:rPr>
        <w:t>https://commonwealthmigration.ca/immigrate/saskatchewan-pnp-sinp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Saskatchewan's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Saskatchewan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Runs an in-demand occupations list reviewed periodically.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Saskatchewan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Saskatchewan's nominee program focuses on Occupation In-Demand and Express Entry sub-category. A nomination under this program can add 600 CRS points to an Express Entry profile where the stream is aligned, or lead to permanent residence through the province's own separate process where it isn't. This page is for applicants with a possible Saskatchewan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Saskatchewan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Saskatchewan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Saskatchewan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Saskatchewan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Saskatchewan Provincial Nominee Program is not interchangeable with other PNPs and federal Express Entry. Saskatchewan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Saskatchewan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39. Manitoba Provincial Nominee Program</w:t>
      </w:r>
    </w:p>
    <w:p>
      <w:pPr>
        <w:pStyle w:val="BodyText"/>
        <w:spacing w:after="60" w:line="259" w:lineRule="auto"/>
      </w:pPr>
      <w:r>
        <w:rPr>
          <w:rFonts w:ascii="Arial" w:hAnsi="Arial"/>
          <w:color w:val="111827"/>
          <w:sz w:val="21"/>
        </w:rPr>
        <w:t>/immigrate/manitoba-pnp-mpnp</w:t>
      </w:r>
      <w:r>
        <w:rPr>
          <w:rFonts w:ascii="Arial" w:hAnsi="Arial"/>
          <w:color w:val="111827"/>
          <w:sz w:val="21"/>
        </w:rPr>
        <w:t xml:space="preserve">  |  </w:t>
      </w:r>
      <w:r>
        <w:rPr>
          <w:rFonts w:ascii="Arial" w:hAnsi="Arial"/>
          <w:color w:val="111827"/>
          <w:sz w:val="21"/>
        </w:rPr>
        <w:t>https://commonwealthmigration.ca/immigrate/manitoba-pnp-mpnp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Manitoba's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Manitoba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Strong emphasis on connection to Manitoba — family, prior study, or work ties.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Manitoba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Manitoba's nominee program focuses on Skilled Worker in Manitoba and Skilled Worker Overseas categories. A nomination under this program can add 600 CRS points to an Express Entry profile where the stream is aligned, or lead to permanent residence through the province's own separate process where it isn't. This page is for applicants with a possible Manitoba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Manitoba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Manitoba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Manitoba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Manitoba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Manitoba Provincial Nominee Program is not interchangeable with other PNPs and federal Express Entry. Manitoba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Manitoba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40. Ontario Provincial Nominee Program</w:t>
      </w:r>
    </w:p>
    <w:p>
      <w:pPr>
        <w:pStyle w:val="BodyText"/>
        <w:spacing w:after="60" w:line="259" w:lineRule="auto"/>
      </w:pPr>
      <w:r>
        <w:rPr>
          <w:rFonts w:ascii="Arial" w:hAnsi="Arial"/>
          <w:color w:val="111827"/>
          <w:sz w:val="21"/>
        </w:rPr>
        <w:t>/immigrate/ontario-pnp-oinp</w:t>
      </w:r>
      <w:r>
        <w:rPr>
          <w:rFonts w:ascii="Arial" w:hAnsi="Arial"/>
          <w:color w:val="111827"/>
          <w:sz w:val="21"/>
        </w:rPr>
        <w:t xml:space="preserve">  |  </w:t>
      </w:r>
      <w:r>
        <w:rPr>
          <w:rFonts w:ascii="Arial" w:hAnsi="Arial"/>
          <w:color w:val="111827"/>
          <w:sz w:val="21"/>
        </w:rPr>
        <w:t>https://commonwealthmigration.ca/immigrate/ontario-pnp-oinp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Ontario (OINP)'s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Ontario (OINP)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Canada's largest PNP by volume of nominations issued annually.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Ontario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Ontario (OINP)'s nominee program focuses on Human Capital Priorities, Employer Job Offer, Masters/PhD Graduate streams. A nomination under this program can add 600 CRS points to an Express Entry profile where the stream is aligned, or lead to permanent residence through the province's own separate process where it isn't. This page is for applicants with a possible Ontario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Ontario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Ontario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Ontario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Ontario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Ontario Provincial Nominee Program is not interchangeable with other PNPs and federal Express Entry. Ontario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Ontario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41. Nova Scotia Provincial Nominee Program</w:t>
      </w:r>
    </w:p>
    <w:p>
      <w:pPr>
        <w:pStyle w:val="BodyText"/>
        <w:spacing w:after="60" w:line="259" w:lineRule="auto"/>
      </w:pPr>
      <w:r>
        <w:rPr>
          <w:rFonts w:ascii="Arial" w:hAnsi="Arial"/>
          <w:color w:val="111827"/>
          <w:sz w:val="21"/>
        </w:rPr>
        <w:t>/immigrate/nova-scotia-pnp-nsnp</w:t>
      </w:r>
      <w:r>
        <w:rPr>
          <w:rFonts w:ascii="Arial" w:hAnsi="Arial"/>
          <w:color w:val="111827"/>
          <w:sz w:val="21"/>
        </w:rPr>
        <w:t xml:space="preserve">  |  </w:t>
      </w:r>
      <w:r>
        <w:rPr>
          <w:rFonts w:ascii="Arial" w:hAnsi="Arial"/>
          <w:color w:val="111827"/>
          <w:sz w:val="21"/>
        </w:rPr>
        <w:t>https://commonwealthmigration.ca/immigrate/nova-scotia-pnp-nsnp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Nova Scotia's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Nova Scotia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Labour Market Priorities draws target specific in-demand occupations periodically.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Nova Scotia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Nova Scotia's nominee program focuses on Labour Market Priorities and Physician streams. A nomination under this program can add 600 CRS points to an Express Entry profile where the stream is aligned, or lead to permanent residence through the province's own separate process where it isn't. This page is for applicants with a possible Nova Scotia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Nova Scotia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Nova Scotia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Nova Scotia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Nova Scotia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Nova Scotia Provincial Nominee Program is not interchangeable with other PNPs and federal Express Entry. Nova Scotia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Nova Scotia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42. New Brunswick Provincial Nominee Program</w:t>
      </w:r>
    </w:p>
    <w:p>
      <w:pPr>
        <w:pStyle w:val="BodyText"/>
        <w:spacing w:after="60" w:line="259" w:lineRule="auto"/>
      </w:pPr>
      <w:r>
        <w:rPr>
          <w:rFonts w:ascii="Arial" w:hAnsi="Arial"/>
          <w:color w:val="111827"/>
          <w:sz w:val="21"/>
        </w:rPr>
        <w:t>/immigrate/new-brunswick-pnp</w:t>
      </w:r>
      <w:r>
        <w:rPr>
          <w:rFonts w:ascii="Arial" w:hAnsi="Arial"/>
          <w:color w:val="111827"/>
          <w:sz w:val="21"/>
        </w:rPr>
        <w:t xml:space="preserve">  |  </w:t>
      </w:r>
      <w:r>
        <w:rPr>
          <w:rFonts w:ascii="Arial" w:hAnsi="Arial"/>
          <w:color w:val="111827"/>
          <w:sz w:val="21"/>
        </w:rPr>
        <w:t>https://commonwealthmigration.ca/immigrate/new-brunswick-pnp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New Brunswick's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New Brunswick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Strong focus on French-language and bilingual candidates.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New Brunswick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New Brunswick's nominee program focuses on Express Entry Labour Market stream and Skilled Worker stream. A nomination under this program can add 600 CRS points to an Express Entry profile where the stream is aligned, or lead to permanent residence through the province's own separate process where it isn't. This page is for applicants with a possible New Brunswick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New Brunswick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New Brunswick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New Brunswick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New Brunswick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New Brunswick Provincial Nominee Program is not interchangeable with other PNPs and federal Express Entry. New Brunswick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New Brunswick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43. Prince Edward Island Provincial Nominee Program</w:t>
      </w:r>
    </w:p>
    <w:p>
      <w:pPr>
        <w:pStyle w:val="BodyText"/>
        <w:spacing w:after="60" w:line="259" w:lineRule="auto"/>
      </w:pPr>
      <w:r>
        <w:rPr>
          <w:rFonts w:ascii="Arial" w:hAnsi="Arial"/>
          <w:color w:val="111827"/>
          <w:sz w:val="21"/>
        </w:rPr>
        <w:t>/immigrate/prince-edward-island-pnp</w:t>
      </w:r>
      <w:r>
        <w:rPr>
          <w:rFonts w:ascii="Arial" w:hAnsi="Arial"/>
          <w:color w:val="111827"/>
          <w:sz w:val="21"/>
        </w:rPr>
        <w:t xml:space="preserve">  |  </w:t>
      </w:r>
      <w:r>
        <w:rPr>
          <w:rFonts w:ascii="Arial" w:hAnsi="Arial"/>
          <w:color w:val="111827"/>
          <w:sz w:val="21"/>
        </w:rPr>
        <w:t>https://commonwealthmigration.ca/immigrate/prince-edward-island-pnp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Prince Edward Island's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Prince Edward Island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Smallest population base — nomination volumes are proportionally limited.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Prince Edward Island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Prince Edward Island's nominee program focuses on Express Entry and Labour Impact categories. A nomination under this program can add 600 CRS points to an Express Entry profile where the stream is aligned, or lead to permanent residence through the province's own separate process where it isn't. This page is for applicants with a possible Prince Edward Island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Prince Edward Island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Prince Edward Island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Prince Edward Island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Prince Edward Island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Prince Edward Island Provincial Nominee Program is not interchangeable with other PNPs and federal Express Entry. Prince Edward Island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Prince Edward Island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44. Newfoundland and Labrador Provincial Nominee Program</w:t>
      </w:r>
    </w:p>
    <w:p>
      <w:pPr>
        <w:pStyle w:val="BodyText"/>
        <w:spacing w:after="60" w:line="259" w:lineRule="auto"/>
      </w:pPr>
      <w:r>
        <w:rPr>
          <w:rFonts w:ascii="Arial" w:hAnsi="Arial"/>
          <w:color w:val="111827"/>
          <w:sz w:val="21"/>
        </w:rPr>
        <w:t>/immigrate/newfoundland-and-labrador-pnp</w:t>
      </w:r>
      <w:r>
        <w:rPr>
          <w:rFonts w:ascii="Arial" w:hAnsi="Arial"/>
          <w:color w:val="111827"/>
          <w:sz w:val="21"/>
        </w:rPr>
        <w:t xml:space="preserve">  |  </w:t>
      </w:r>
      <w:r>
        <w:rPr>
          <w:rFonts w:ascii="Arial" w:hAnsi="Arial"/>
          <w:color w:val="111827"/>
          <w:sz w:val="21"/>
        </w:rPr>
        <w:t>https://commonwealthmigration.ca/immigrate/newfoundland-and-labrador-pnp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Newfoundland and Labrador's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Newfoundland and Labrador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International graduate category favours local post-secondary graduates.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Newfoundland and Labrador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Newfoundland and Labrador's nominee program focuses on Skilled Worker, International Graduate, and Express Entry categories. A nomination under this program can add 600 CRS points to an Express Entry profile where the stream is aligned, or lead to permanent residence through the province's own separate process where it isn't. This page is for applicants with a possible Newfoundland and Labrador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Newfoundland and Labrador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Newfoundland and Labrador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Newfoundland and Labrador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Newfoundland and Labrador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Newfoundland and Labrador Provincial Nominee Program is not interchangeable with other PNPs and federal Express Entry. Newfoundland and Labrador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Newfoundland and Labrador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45. Yukon, Northwest Territories or Nunavut Provincial Nominee Program</w:t>
      </w:r>
    </w:p>
    <w:p>
      <w:pPr>
        <w:pStyle w:val="BodyText"/>
        <w:spacing w:after="60" w:line="259" w:lineRule="auto"/>
      </w:pPr>
      <w:r>
        <w:rPr>
          <w:rFonts w:ascii="Arial" w:hAnsi="Arial"/>
          <w:color w:val="111827"/>
          <w:sz w:val="21"/>
        </w:rPr>
        <w:t>/immigrate/yukon-nwt-nunavut-nominee-programs</w:t>
      </w:r>
      <w:r>
        <w:rPr>
          <w:rFonts w:ascii="Arial" w:hAnsi="Arial"/>
          <w:color w:val="111827"/>
          <w:sz w:val="21"/>
        </w:rPr>
        <w:t xml:space="preserve">  |  </w:t>
      </w:r>
      <w:r>
        <w:rPr>
          <w:rFonts w:ascii="Arial" w:hAnsi="Arial"/>
          <w:color w:val="111827"/>
          <w:sz w:val="21"/>
        </w:rPr>
        <w:t>https://commonwealthmigration.ca/immigrate/yukon-nwt-nunavut-nominee-programs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be nominated under Yukon / NWT (territorial nominee programs)'s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depends on the specific stream — some require a valid job offer from an employer in the province, while others nominate directly based on profile strength or a demonstrated connection to the province.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nomination affect my Express Entry profile?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aligned streams, a nomination adds 600 CRS points directly to the existing profile. For non-aligned streams, the nomination instead leads to a separate provincial application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makes Yukon / NWT (territorial nominee programs) different from other provinces?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Nunavut currently has no active nominee program.</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Yukon, Northwest Territories or Nunavut Provincial Nominee Program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Yukon / NWT (territorial nominee programs)'s nominee program focuses on Employer-driven territorial nominee streams. A nomination under this program can add 600 CRS points to an Express Entry profile where the stream is aligned, or lead to permanent residence through the province's own separate process where it isn't. This page is for applicants with a possible Yukon, Northwest Territories or Nunavut connection, job offer or stream profile.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Yukon, Northwest Territories or Nunavut Provincial Nominee Program?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which current Yukon, Northwest Territories or Nunavut stream fits the applicant’s status, occupation, job offer, work or study history and Express Entry connection.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Yukon, Northwest Territories or Nunavut Provincial Nominee Program?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language, education, work, employer or job-offer and province-specific evidence required for the selected stream.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Yukon, Northwest Territories or Nunavut Provincial Nominee Program compare with other PNPs and federal Express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Yukon, Northwest Territories or Nunavut Provincial Nominee Program is not interchangeable with other PNPs and federal Express Entry. Yukon, Northwest Territories or Nunavut sets its own stream and invitation rules, so another province’s requirements or draw history cannot be copied across.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without a current Yukon, Northwest Territories or Nunavut job offer qualify for this PNP?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That depends on the selected stream. Some streams may use other factors, while others require a qualifying job offer or employer condition. The current provincial stream page controls.</w:t>
            </w:r>
          </w:p>
        </w:tc>
      </w:tr>
    </w:tbl>
    <w:p>
      <w:pPr>
        <w:spacing w:after="20"/>
      </w:pPr>
    </w:p>
    <w:p>
      <w:pPr>
        <w:pStyle w:val="Heading2"/>
        <w:keepNext/>
        <w:spacing w:before="160" w:after="100"/>
      </w:pPr>
      <w:r>
        <w:t>46. Visitor Visa (TRV)</w:t>
      </w:r>
    </w:p>
    <w:p>
      <w:pPr>
        <w:pStyle w:val="BodyText"/>
        <w:spacing w:after="60" w:line="259" w:lineRule="auto"/>
      </w:pPr>
      <w:r>
        <w:rPr>
          <w:rFonts w:ascii="Arial" w:hAnsi="Arial"/>
          <w:color w:val="111827"/>
          <w:sz w:val="21"/>
        </w:rPr>
        <w:t>/visit/visitor-visa-trv-standalone-page</w:t>
      </w:r>
      <w:r>
        <w:rPr>
          <w:rFonts w:ascii="Arial" w:hAnsi="Arial"/>
          <w:color w:val="111827"/>
          <w:sz w:val="21"/>
        </w:rPr>
        <w:t xml:space="preserve">  |  </w:t>
      </w:r>
      <w:r>
        <w:rPr>
          <w:rFonts w:ascii="Arial" w:hAnsi="Arial"/>
          <w:color w:val="111827"/>
          <w:sz w:val="21"/>
        </w:rPr>
        <w:t>https://commonwealthmigration.ca/visit/visitor-visa-trv-standalone-page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is a visitor visa valid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Standard multiple-entry visitor visas are commonly valid for up to 10 years or until the passport expires, whichever comes first — though each visit itself is limited to the stay authorized at entry, typically up to 6 months.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most common reason for a TRV refusal?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Insufficient evidence of ties to the home country is among the most frequently cited grounds, alongside financial concerns and an unclear or inconsistent stated purpose of travel.</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apply again after a refusal?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a new application can directly address the specific concerns raised, though simply resubmitting the same documents without changes rarely produces a different outcome.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Visitor Visa (TRV)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Temporary Resident Visa (TRV) is required for citizens of many countries to enter Canada as a visitor. Officers assess each application primarily on whether the traveller is likely to leave Canada by the end of their authorized stay. This page is for travellers or visitors deciding whether this temporary entry document fits their trip.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Visitor Visa (TRV)?</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travel document, purpose of travel, intended length of stay and whether the person needs a visa, an eTA or another authorization.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Visitor Visa (TRV)?</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or travel-document details, itinerary or purpose, funds, ties outside Canada and any invitation or business evidence relevant to the trip.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Visitor Visa (TRV) compare with the other visitor and transit options described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Visitor Visa (TRV) is not interchangeable with the other visitor and transit options described on the page. the document controls a different travel or entry situation; visa, eTA, visitor record and transit permissions are not substitutes for one another.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traveller use Visitor Visa (TRV) for a different purpose than the one stated?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Only if the activity is permitted under the document and the person meets the conditions of entry. A visitor document does not automatically authorize work, study or a longer stay.</w:t>
            </w:r>
          </w:p>
        </w:tc>
      </w:tr>
    </w:tbl>
    <w:p>
      <w:pPr>
        <w:spacing w:after="20"/>
      </w:pPr>
    </w:p>
    <w:p>
      <w:pPr>
        <w:pStyle w:val="Heading2"/>
        <w:keepNext/>
        <w:spacing w:before="160" w:after="100"/>
      </w:pPr>
      <w:r>
        <w:t>47. Electronic Travel Authorization (eTA)</w:t>
      </w:r>
    </w:p>
    <w:p>
      <w:pPr>
        <w:pStyle w:val="BodyText"/>
        <w:spacing w:after="60" w:line="259" w:lineRule="auto"/>
      </w:pPr>
      <w:r>
        <w:rPr>
          <w:rFonts w:ascii="Arial" w:hAnsi="Arial"/>
          <w:color w:val="111827"/>
          <w:sz w:val="21"/>
        </w:rPr>
        <w:t>/visit/eta-electronic-travel-authorization</w:t>
      </w:r>
      <w:r>
        <w:rPr>
          <w:rFonts w:ascii="Arial" w:hAnsi="Arial"/>
          <w:color w:val="111827"/>
          <w:sz w:val="21"/>
        </w:rPr>
        <w:t xml:space="preserve">  |  </w:t>
      </w:r>
      <w:r>
        <w:rPr>
          <w:rFonts w:ascii="Arial" w:hAnsi="Arial"/>
          <w:color w:val="111827"/>
          <w:sz w:val="21"/>
        </w:rPr>
        <w:t>https://commonwealthmigration.ca/visit/eta-electronic-travel-authorization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an eTA work for land or sea entry?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an eTA only authorizes air travel to Canada; different requirements apply for entry by land or sea.</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 get a new passport?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new passport requires a new eTA — the authorization is electronically linked to the specific passport number used at the time of application.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eligibility determined?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Eligibility depends entirely on citizenship — only travellers from countries with a visa-exemption agreement with Canada can apply for an eTA instead of a full visitor visa.</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Electronic Travel Authorization (eTA)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An eTA is a lightweight entry requirement for citizens of visa-exempt countries arriving in Canada by air — electronically linked to the traveller's passport rather than issued as a physical visa document. This page is for travellers or visitors deciding whether this temporary entry document fits their trip.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Electronic Travel Authorization (eTA)?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travel document, purpose of travel, intended length of stay and whether the person needs a visa, an eTA or another authorization.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Electronic Travel Authorization (eTA)?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or travel-document details, itinerary or purpose, funds, ties outside Canada and any invitation or business evidence relevant to the trip.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Electronic Travel Authorization (eTA) compare with the other visitor and transit options described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Electronic Travel Authorization (eTA) is not interchangeable with the other visitor and transit options described on the page. the document controls a different travel or entry situation; visa, eTA, visitor record and transit permissions are not substitutes for one another.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traveller use Electronic Travel Authorization (eTA) for a different purpose than the one stated?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Only if the activity is permitted under the document and the person meets the conditions of entry. A visitor document does not automatically authorize work, study or a longer stay.</w:t>
            </w:r>
          </w:p>
        </w:tc>
      </w:tr>
    </w:tbl>
    <w:p>
      <w:pPr>
        <w:spacing w:after="20"/>
      </w:pPr>
    </w:p>
    <w:p>
      <w:pPr>
        <w:pStyle w:val="Heading2"/>
        <w:keepNext/>
        <w:spacing w:before="160" w:after="100"/>
      </w:pPr>
      <w:r>
        <w:t>48. Super Visa</w:t>
      </w:r>
    </w:p>
    <w:p>
      <w:pPr>
        <w:pStyle w:val="BodyText"/>
        <w:spacing w:after="60" w:line="259" w:lineRule="auto"/>
      </w:pPr>
      <w:r>
        <w:rPr>
          <w:rFonts w:ascii="Arial" w:hAnsi="Arial"/>
          <w:color w:val="111827"/>
          <w:sz w:val="21"/>
        </w:rPr>
        <w:t>/visit/super-visa-standalone-page</w:t>
      </w:r>
      <w:r>
        <w:rPr>
          <w:rFonts w:ascii="Arial" w:hAnsi="Arial"/>
          <w:color w:val="111827"/>
          <w:sz w:val="21"/>
        </w:rPr>
        <w:t xml:space="preserve">  |  </w:t>
      </w:r>
      <w:r>
        <w:rPr>
          <w:rFonts w:ascii="Arial" w:hAnsi="Arial"/>
          <w:color w:val="111827"/>
          <w:sz w:val="21"/>
        </w:rPr>
        <w:t>https://commonwealthmigration.ca/visit/super-visa-standalone-page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Super Visa lead to permanent residence?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directly — it's a temporary resident visa, though many families use it as a bridge while pursuing a Parents and Grandparents Program application separately.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my insurance provider isn't Canadian?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Coverage generally must be from a Canadian insurance company, valid for at least one year, and provide a minimum level of medical coverage as specified by IRCC.</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extend a stay beyond 5 years while in Canada?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Extensions of up to 2 additional years can generally be applied for from within Canada, provided the applicant remains eligible.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Super Visa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Super Visa is a long-validity, multiple-entry visa for parents and grandparents of Canadian citizens or permanent residents, allowing stays of up to 5 years per visit without the annual renewals a standard visitor visa would require. This page is for travellers or visitors deciding whether this temporary entry document fits their trip.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Super Visa?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travel document, purpose of travel, intended length of stay and whether the person needs a visa, an eTA or another authorization.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Super Visa?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or travel-document details, itinerary or purpose, funds, ties outside Canada and any invitation or business evidence relevant to the trip.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Super Visa compare with the other visitor and transit options described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Super Visa is not interchangeable with the other visitor and transit options described on the page. the document controls a different travel or entry situation; visa, eTA, visitor record and transit permissions are not substitutes for one another.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traveller use Super Visa for a different purpose than the one stated?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Only if the activity is permitted under the document and the person meets the conditions of entry. A visitor document does not automatically authorize work, study or a longer stay.</w:t>
            </w:r>
          </w:p>
        </w:tc>
      </w:tr>
    </w:tbl>
    <w:p>
      <w:pPr>
        <w:spacing w:after="20"/>
      </w:pPr>
    </w:p>
    <w:p>
      <w:pPr>
        <w:pStyle w:val="Heading2"/>
        <w:keepNext/>
        <w:spacing w:before="160" w:after="100"/>
      </w:pPr>
      <w:r>
        <w:t>49. Business Visa</w:t>
      </w:r>
    </w:p>
    <w:p>
      <w:pPr>
        <w:pStyle w:val="BodyText"/>
        <w:spacing w:after="60" w:line="259" w:lineRule="auto"/>
      </w:pPr>
      <w:r>
        <w:rPr>
          <w:rFonts w:ascii="Arial" w:hAnsi="Arial"/>
          <w:color w:val="111827"/>
          <w:sz w:val="21"/>
        </w:rPr>
        <w:t>/visit/business-visa</w:t>
      </w:r>
      <w:r>
        <w:rPr>
          <w:rFonts w:ascii="Arial" w:hAnsi="Arial"/>
          <w:color w:val="111827"/>
          <w:sz w:val="21"/>
        </w:rPr>
        <w:t xml:space="preserve">  |  </w:t>
      </w:r>
      <w:r>
        <w:rPr>
          <w:rFonts w:ascii="Arial" w:hAnsi="Arial"/>
          <w:color w:val="111827"/>
          <w:sz w:val="21"/>
        </w:rPr>
        <w:t>https://commonwealthmigration.ca/visit/business-visa</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get paid by a Canadian company as a business visitor?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remuneration from a Canadian source generally indicates entry into the labour market, which would require a work permit rather than business visitor status.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still need a visa or eTA as a business visitor?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business visitor status doesn't replace the underlying entry document requirement, which still depends on the traveller's citizenship.</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a common mistake business visitors make?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Performing hands-on work rather than attending meetings or providing after-sales support — actual labour, even briefly, generally falls outside business visitor status.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Business Visa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Business visitor status covers temporary entry for those attending meetings, conferences, or exploring business opportunities in Canada, without entering the Canadian labour market — meaning no separate work permit is required. This page is for travellers or visitors deciding whether this temporary entry document fits their trip.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Business Visa?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travel document, purpose of travel, intended length of stay and whether the person needs a visa, an eTA or another authorization.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Business Visa?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or travel-document details, itinerary or purpose, funds, ties outside Canada and any invitation or business evidence relevant to the trip.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Business Visa compare with the other visitor and transit options described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Business Visa is not interchangeable with the other visitor and transit options described on the page. the document controls a different travel or entry situation; visa, eTA, visitor record and transit permissions are not substitutes for one another.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traveller use Business Visa for a different purpose than the one stated?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Only if the activity is permitted under the document and the person meets the conditions of entry. A visitor document does not automatically authorize work, study or a longer stay.</w:t>
            </w:r>
          </w:p>
        </w:tc>
      </w:tr>
    </w:tbl>
    <w:p>
      <w:pPr>
        <w:spacing w:after="20"/>
      </w:pPr>
    </w:p>
    <w:p>
      <w:pPr>
        <w:pStyle w:val="Heading2"/>
        <w:keepNext/>
        <w:spacing w:before="160" w:after="100"/>
      </w:pPr>
      <w:r>
        <w:t>50. Transit Visa</w:t>
      </w:r>
    </w:p>
    <w:p>
      <w:pPr>
        <w:pStyle w:val="BodyText"/>
        <w:spacing w:after="60" w:line="259" w:lineRule="auto"/>
      </w:pPr>
      <w:r>
        <w:rPr>
          <w:rFonts w:ascii="Arial" w:hAnsi="Arial"/>
          <w:color w:val="111827"/>
          <w:sz w:val="21"/>
        </w:rPr>
        <w:t>/visit/transit-visa</w:t>
      </w:r>
      <w:r>
        <w:rPr>
          <w:rFonts w:ascii="Arial" w:hAnsi="Arial"/>
          <w:color w:val="111827"/>
          <w:sz w:val="21"/>
        </w:rPr>
        <w:t xml:space="preserve">  |  </w:t>
      </w:r>
      <w:r>
        <w:rPr>
          <w:rFonts w:ascii="Arial" w:hAnsi="Arial"/>
          <w:color w:val="111827"/>
          <w:sz w:val="21"/>
        </w:rPr>
        <w:t>https://commonwealthmigration.ca/visit/transit-visa</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 I know if I qualify for visa-free transit?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Eligibility depends on citizenship, the connecting airline, and the specific routing — this should be confirmed against current program rules before booking, since even small itinerary changes can affect eligibility.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 don't qualify for TWOV?</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standard Temporary Resident Visa covering the transit period is generally required instead, applied for through the normal visitor visa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Transit Visa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transit visa may be required for travellers passing through a Canadian airport on their way to another country, without formally entering Canada — whether a visa or the visa-free transit program applies depends on nationality and connecting flight details. This page is for travellers or visitors deciding whether this temporary entry document fits their trip.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Transit Visa?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travel document, purpose of travel, intended length of stay and whether the person needs a visa, an eTA or another authorization.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Transit Visa?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or travel-document details, itinerary or purpose, funds, ties outside Canada and any invitation or business evidence relevant to the trip.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Transit Visa compare with the other visitor and transit options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Transit Visa is not interchangeable with the other visitor and transit options described on the page. the document controls a different travel or entry situation; visa, eTA, visitor record and transit permissions are not substitutes for one another.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traveller use Transit Visa for a different purpose than the one stated?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Only if the activity is permitted under the document and the person meets the conditions of entry. A visitor document does not automatically authorize work, study or a longer stay.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Transit Visa lead directly to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temporary travel or status document. A person who later seeks permanent residence must qualify under a separate immigration program.</w:t>
            </w:r>
          </w:p>
        </w:tc>
      </w:tr>
    </w:tbl>
    <w:p>
      <w:pPr>
        <w:spacing w:after="20"/>
      </w:pPr>
    </w:p>
    <w:p>
      <w:pPr>
        <w:pStyle w:val="Heading2"/>
        <w:keepNext/>
        <w:spacing w:before="160" w:after="100"/>
      </w:pPr>
      <w:r>
        <w:t>51. Visitor Record</w:t>
      </w:r>
    </w:p>
    <w:p>
      <w:pPr>
        <w:pStyle w:val="BodyText"/>
        <w:spacing w:after="60" w:line="259" w:lineRule="auto"/>
      </w:pPr>
      <w:r>
        <w:rPr>
          <w:rFonts w:ascii="Arial" w:hAnsi="Arial"/>
          <w:color w:val="111827"/>
          <w:sz w:val="21"/>
        </w:rPr>
        <w:t>/visit/visitor-record</w:t>
      </w:r>
      <w:r>
        <w:rPr>
          <w:rFonts w:ascii="Arial" w:hAnsi="Arial"/>
          <w:color w:val="111827"/>
          <w:sz w:val="21"/>
        </w:rPr>
        <w:t xml:space="preserve">  |  </w:t>
      </w:r>
      <w:r>
        <w:rPr>
          <w:rFonts w:ascii="Arial" w:hAnsi="Arial"/>
          <w:color w:val="111827"/>
          <w:sz w:val="21"/>
        </w:rPr>
        <w:t>https://commonwealthmigration.ca/visit/visitor-record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 apply after my status has already expired?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Applying late can still be possible in some circumstances through a restoration process, but it carries more risk and should be addressed as early as possible rather than relied upon.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Visitor Record let me work or study?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 only extends visitor status; working or studying requires the appropriate separate work or study permit.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Visitor Record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Visitor Record is the document confirming an extension of authorized visitor status in Canada, generally applied for from within the country before the original authorized stay expires. This page is for travellers or visitors deciding whether this temporary entry document fits their trip.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Visitor Record?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nationality, travel document, purpose of travel, intended length of stay and whether the person needs a visa, an eTA or another authorization.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Visitor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or travel-document details, itinerary or purpose, funds, ties outside Canada and any invitation or business evidence relevant to the trip.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Visitor Record compare with the other visitor and transit options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Visitor Record is not interchangeable with the other visitor and transit options described on the page. the document controls a different travel or entry situation; visa, eTA, visitor record and transit permissions are not substitutes for one another.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traveller use Visitor Record for a different purpose than the one stated?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Only if the activity is permitted under the document and the person meets the conditions of entry. A visitor document does not automatically authorize work, study or a longer stay.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Visitor Record lead directly to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temporary travel or status document. A person who later seeks permanent residence must qualify under a separate immigration program.</w:t>
            </w:r>
          </w:p>
        </w:tc>
      </w:tr>
    </w:tbl>
    <w:p>
      <w:pPr>
        <w:spacing w:after="20"/>
      </w:pPr>
    </w:p>
    <w:p>
      <w:pPr>
        <w:pStyle w:val="Heading2"/>
        <w:keepNext/>
        <w:spacing w:before="160" w:after="100"/>
      </w:pPr>
      <w:r>
        <w:t>52. spousal and partner sponsorship</w:t>
      </w:r>
    </w:p>
    <w:p>
      <w:pPr>
        <w:pStyle w:val="BodyText"/>
        <w:spacing w:after="60" w:line="259" w:lineRule="auto"/>
      </w:pPr>
      <w:r>
        <w:rPr>
          <w:rFonts w:ascii="Arial" w:hAnsi="Arial"/>
          <w:color w:val="111827"/>
          <w:sz w:val="21"/>
        </w:rPr>
        <w:t>/sponsor/spousal-common-law-sponsorship</w:t>
      </w:r>
      <w:r>
        <w:rPr>
          <w:rFonts w:ascii="Arial" w:hAnsi="Arial"/>
          <w:color w:val="111827"/>
          <w:sz w:val="21"/>
        </w:rPr>
        <w:t xml:space="preserve">  |  </w:t>
      </w:r>
      <w:r>
        <w:rPr>
          <w:rFonts w:ascii="Arial" w:hAnsi="Arial"/>
          <w:color w:val="111827"/>
          <w:sz w:val="21"/>
        </w:rPr>
        <w:t>https://commonwealthmigration.ca/sponsor/spousal-common-law-sponsorship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counts as cohabitation for common-law status?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Living together continuously at the same address for at least 12 months, with evidence such as a shared lease, joint bills, or mail addressed to both partners at that address.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brief separation reset the 12-month clock?</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Short, explainable separations (such as work travel) don't necessarily reset the count, but longer or unclear gaps can raise questions that need to be addressed directly in the application.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common-law application weaker than a married one?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inherently — both are assessed on the same genuineness standard; common-law files simply need to establish the cohabitation requirement in addition to relationship genuineness.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spousal and partner sponsorship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covers the two most common relationship categories in spousal sponsorship: legally married spouses, and common-law partners who have cohabited continuously for at least 12 months. Both routes lead to the same permanent residence outcome, but the evidence required differs slightly. This page is for Canadian sponsors and spouses or partners documenting a genuine relationship.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spousal and partner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the relationship is married, common-law or another recognized category and whether the sponsor and applicant are eligible.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spousal and partner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marriage or cohabitation records, shared finances or residence, communications, photographs, travel and evidence explaining periods apart.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spousal and partner sponsorship compare with inland and outland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spousal and partner sponsorship is not interchangeable with inland and outland sponsorship. the relationship definition and location affect the application strategy, temporary status and work-permit options.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evidence helps show that a spousal or partner relationship is genuine?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Use consistent evidence from the relationship timeline: civil records, shared life or financial records, communications, visits and explanations for unusual gaps. The evidence should tell one coherent story rather than repeat generic photos.</w:t>
            </w:r>
          </w:p>
        </w:tc>
      </w:tr>
    </w:tbl>
    <w:p>
      <w:pPr>
        <w:spacing w:after="20"/>
      </w:pPr>
    </w:p>
    <w:p>
      <w:pPr>
        <w:pStyle w:val="Heading2"/>
        <w:keepNext/>
        <w:spacing w:before="160" w:after="100"/>
      </w:pPr>
      <w:r>
        <w:t>53. Conjugal Partner Sponsorship</w:t>
      </w:r>
    </w:p>
    <w:p>
      <w:pPr>
        <w:pStyle w:val="BodyText"/>
        <w:spacing w:after="60" w:line="259" w:lineRule="auto"/>
      </w:pPr>
      <w:r>
        <w:rPr>
          <w:rFonts w:ascii="Arial" w:hAnsi="Arial"/>
          <w:color w:val="111827"/>
          <w:sz w:val="21"/>
        </w:rPr>
        <w:t>/sponsor/conjugal-partner-sponsorship</w:t>
      </w:r>
      <w:r>
        <w:rPr>
          <w:rFonts w:ascii="Arial" w:hAnsi="Arial"/>
          <w:color w:val="111827"/>
          <w:sz w:val="21"/>
        </w:rPr>
        <w:t xml:space="preserve">  |  </w:t>
      </w:r>
      <w:r>
        <w:rPr>
          <w:rFonts w:ascii="Arial" w:hAnsi="Arial"/>
          <w:color w:val="111827"/>
          <w:sz w:val="21"/>
        </w:rPr>
        <w:t>https://commonwealthmigration.ca/sponsor/conjugal-partner-sponsorship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this different from common-law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Common-law sponsorship requires proof of actual cohabitation; conjugal partner sponsorship is specifically for couples who could not cohabit or marry due to a genuine, often legal, barrier.</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counts as a valid barrier?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Examples can include legal prohibitions on marriage or same-sex relationships in the partner's home country, or immigration restrictions preventing the couple from living together — each case is assessed on its specific facts.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this a commonly used category?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it's a narrower category than spousal or common-law sponsorship, generally used only when those routes genuinely aren't available to the couple.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Conjugal Partner Sponsorship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Conjugal partner sponsorship exists for couples in a committed relationship comparable to marriage or common-law status, but who have been unable to marry or live together continuously due to significant, often legal or immigration-related, barriers outside their control. This page is for a sponsor and family member assessing whether this particular family route fits their relationship.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Conjugal Partner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Conjugal Partner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Conjugal Partner Sponsorship compare with the related sponsorship category or inland/outland option discussed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Conjugal Partner Sponsorship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Conjugal Partner Sponsorship if one requirement is not met?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bl>
    <w:p>
      <w:pPr>
        <w:spacing w:after="20"/>
      </w:pPr>
    </w:p>
    <w:p>
      <w:pPr>
        <w:pStyle w:val="Heading2"/>
        <w:keepNext/>
        <w:spacing w:before="160" w:after="100"/>
      </w:pPr>
      <w:r>
        <w:t>54. Outland Sponsorship</w:t>
      </w:r>
    </w:p>
    <w:p>
      <w:pPr>
        <w:pStyle w:val="BodyText"/>
        <w:spacing w:after="60" w:line="259" w:lineRule="auto"/>
      </w:pPr>
      <w:r>
        <w:rPr>
          <w:rFonts w:ascii="Arial" w:hAnsi="Arial"/>
          <w:color w:val="111827"/>
          <w:sz w:val="21"/>
        </w:rPr>
        <w:t>/sponsor/outland-sponsorship</w:t>
      </w:r>
      <w:r>
        <w:rPr>
          <w:rFonts w:ascii="Arial" w:hAnsi="Arial"/>
          <w:color w:val="111827"/>
          <w:sz w:val="21"/>
        </w:rPr>
        <w:t xml:space="preserve">  |  </w:t>
      </w:r>
      <w:r>
        <w:rPr>
          <w:rFonts w:ascii="Arial" w:hAnsi="Arial"/>
          <w:color w:val="111827"/>
          <w:sz w:val="21"/>
        </w:rPr>
        <w:t>https://commonwealthmigration.ca/sponsor/outland-sponsorship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the sponsored partner visit Canada while an outland application is processing?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Often yes, as a visitor, though this should be approached carefully and with proper documentation to avoid any appearance of trying to bypass the process.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outland always faster than inland?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always — processing times vary by visa office and case complexity, but outland applications avoid some of the specific timing pressures inland applicants face.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we switch from outland to inland later?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 some circumstances, if the sponsored partner later enters Canada on valid status, but this requires careful handling and isn't a simple default option.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Outland Sponsorship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Outland sponsorship is filed while the sponsored spouse or partner is living outside Canada. It's processed through the visa office responsible for their region, and in some cases can move faster than an inland application. This page is for a sponsor and family member assessing whether this particular family route fits their relationship.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Outland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Outland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Outland Sponsorship compare with the related sponsorship category or inland/outland option discussed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Outland Sponsorship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Outland Sponsorship if one requirement is not met?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bl>
    <w:p>
      <w:pPr>
        <w:spacing w:after="20"/>
      </w:pPr>
    </w:p>
    <w:p>
      <w:pPr>
        <w:pStyle w:val="Heading2"/>
        <w:keepNext/>
        <w:spacing w:before="160" w:after="100"/>
      </w:pPr>
      <w:r>
        <w:t>55. Inland Sponsorship</w:t>
      </w:r>
    </w:p>
    <w:p>
      <w:pPr>
        <w:pStyle w:val="BodyText"/>
        <w:spacing w:after="60" w:line="259" w:lineRule="auto"/>
      </w:pPr>
      <w:r>
        <w:rPr>
          <w:rFonts w:ascii="Arial" w:hAnsi="Arial"/>
          <w:color w:val="111827"/>
          <w:sz w:val="21"/>
        </w:rPr>
        <w:t>/sponsor/inland-sponsorship</w:t>
      </w:r>
      <w:r>
        <w:rPr>
          <w:rFonts w:ascii="Arial" w:hAnsi="Arial"/>
          <w:color w:val="111827"/>
          <w:sz w:val="21"/>
        </w:rPr>
        <w:t xml:space="preserve">  |  </w:t>
      </w:r>
      <w:r>
        <w:rPr>
          <w:rFonts w:ascii="Arial" w:hAnsi="Arial"/>
          <w:color w:val="111827"/>
          <w:sz w:val="21"/>
        </w:rPr>
        <w:t>https://commonwealthmigration.ca/sponsor/inland-sponsorship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leave Canada while my inland application is being processed?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It's possible but carries risk — an officer may question the application, and re-entry isn't guaranteed, so most applicants are advised to stay in Canada until the process concludes.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my temporary status expires during processing?</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Depending on the circumstances, the applicant may still be able to remain in Canada under specific provisions, but this should be actively managed rather than assumed.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soon can I apply for the open work permit?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can generally be submitted alongside the sponsorship application itself, rather than waiting for the sponsorship to be approved first.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Inland Sponsorship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Inland sponsorship is filed while the sponsored spouse or partner is already living in Canada, generally on valid temporary status. It's the route that allows an accompanying open work permit application while the sponsorship itself is processed. This page is for a sponsor and family member assessing whether this particular family route fits their relationship.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Inland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Inland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Inland Sponsorship compare with the related sponsorship category or inland/outland option discussed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Inland Sponsorship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Inland Sponsorship if one requirement is not met?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bl>
    <w:p>
      <w:pPr>
        <w:spacing w:after="20"/>
      </w:pPr>
    </w:p>
    <w:p>
      <w:pPr>
        <w:pStyle w:val="Heading2"/>
        <w:keepNext/>
        <w:spacing w:before="160" w:after="100"/>
      </w:pPr>
      <w:r>
        <w:t>56. the spousal open work permit</w:t>
      </w:r>
    </w:p>
    <w:p>
      <w:pPr>
        <w:pStyle w:val="BodyText"/>
        <w:spacing w:after="60" w:line="259" w:lineRule="auto"/>
      </w:pPr>
      <w:r>
        <w:rPr>
          <w:rFonts w:ascii="Arial" w:hAnsi="Arial"/>
          <w:color w:val="111827"/>
          <w:sz w:val="21"/>
        </w:rPr>
        <w:t>/sponsor/spousal-open-work-permit</w:t>
      </w:r>
      <w:r>
        <w:rPr>
          <w:rFonts w:ascii="Arial" w:hAnsi="Arial"/>
          <w:color w:val="111827"/>
          <w:sz w:val="21"/>
        </w:rPr>
        <w:t xml:space="preserve">  |  </w:t>
      </w:r>
      <w:r>
        <w:rPr>
          <w:rFonts w:ascii="Arial" w:hAnsi="Arial"/>
          <w:color w:val="111827"/>
          <w:sz w:val="21"/>
        </w:rPr>
        <w:t>https://commonwealthmigration.ca/sponsor/spousal-open-work-permit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job offer to apply for this permit?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as an open work permit, it doesn't require a specific job offer or employer sponsorship.</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apply for this permit under an outland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no — this permit is tied to the inland sponsorship process specifically, since it's designed to support applicants who are staying in Canada during processing.</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spousal open work permit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spousal open work permit lets a sponsored partner work for almost any Canadian employer while their inland sponsorship application is being processed, rather than waiting without authorization for the sponsorship decision itself. This page is for eligible spouses or partners who may seek work authorization while a sponsorship process is underway.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spousal open work permit?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sponsorship stage, applicant status in Canada and the current eligibility conditions for the permit.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spousal open work permit?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proof of the sponsorship application, relationship and status, passport, identity records and any permit-specific evidence.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spousal open work permit compare with employer-specific work permits and outland sponsorship work planning?</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spousal open work permit is not interchangeable with employer-specific work permits and outland sponsorship work planning. this permit depends on a specific sponsorship and in-Canada situation; it is not a general work permit for every spouse.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this permit be used with an outland sponsorship application?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automatically. Eligibility depends on the current in-Canada and sponsorship conditions, so the applicant should confirm the exact policy before applying.</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the spousal open work permit grant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authorizes work subject to its conditions; the sponsorship or another PR application must still be approved separately.</w:t>
            </w:r>
          </w:p>
        </w:tc>
      </w:tr>
    </w:tbl>
    <w:p>
      <w:pPr>
        <w:spacing w:after="20"/>
      </w:pPr>
    </w:p>
    <w:p>
      <w:pPr>
        <w:pStyle w:val="Heading2"/>
        <w:keepNext/>
        <w:spacing w:before="160" w:after="100"/>
      </w:pPr>
      <w:r>
        <w:t>57. Dependent Child Sponsorship</w:t>
      </w:r>
    </w:p>
    <w:p>
      <w:pPr>
        <w:pStyle w:val="BodyText"/>
        <w:spacing w:after="60" w:line="259" w:lineRule="auto"/>
      </w:pPr>
      <w:r>
        <w:rPr>
          <w:rFonts w:ascii="Arial" w:hAnsi="Arial"/>
          <w:color w:val="111827"/>
          <w:sz w:val="21"/>
        </w:rPr>
        <w:t>/sponsor/dependent-child-sponsorship</w:t>
      </w:r>
      <w:r>
        <w:rPr>
          <w:rFonts w:ascii="Arial" w:hAnsi="Arial"/>
          <w:color w:val="111827"/>
          <w:sz w:val="21"/>
        </w:rPr>
        <w:t xml:space="preserve">  |  </w:t>
      </w:r>
      <w:r>
        <w:rPr>
          <w:rFonts w:ascii="Arial" w:hAnsi="Arial"/>
          <w:color w:val="111827"/>
          <w:sz w:val="21"/>
        </w:rPr>
        <w:t>https://commonwealthmigration.ca/sponsor/dependent-child-sponsorship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my child turns older during processing?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Age is generally locked in at the date the application is received (a 'lock-in' date), so processing delays after that point typically don't affect eligibility.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sponsor a stepchild?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 many cases, yes, provided the relationship meets the applicable legal and dependency requirements — this is assessed on the specific family situation.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Dependent Child Sponsorship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Dependent child sponsorship allows Canadian citizens and permanent residents to sponsor their children for permanent residence, based on age and dependency criteria assessed at the time of application. This page is for a sponsor and family member assessing whether this particular family route fits their relationship.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Dependent Child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Dependent Child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Dependent Child Sponsorship compare with the related sponsorship category or inland/outland option discussed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Dependent Child Sponsorship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Dependent Child Sponsorship if one requirement is not met?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Dependent Child Sponsorship application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Sponsorship is a process for assessing a family relationship and the applicant’s eligibility; approval still depends on completeness, admissibility and the current rules.</w:t>
            </w:r>
          </w:p>
        </w:tc>
      </w:tr>
    </w:tbl>
    <w:p>
      <w:pPr>
        <w:spacing w:after="20"/>
      </w:pPr>
    </w:p>
    <w:p>
      <w:pPr>
        <w:pStyle w:val="Heading2"/>
        <w:keepNext/>
        <w:spacing w:before="160" w:after="100"/>
      </w:pPr>
      <w:r>
        <w:t>58. Adopted Child Sponsorship</w:t>
      </w:r>
    </w:p>
    <w:p>
      <w:pPr>
        <w:pStyle w:val="BodyText"/>
        <w:spacing w:after="60" w:line="259" w:lineRule="auto"/>
      </w:pPr>
      <w:r>
        <w:rPr>
          <w:rFonts w:ascii="Arial" w:hAnsi="Arial"/>
          <w:color w:val="111827"/>
          <w:sz w:val="21"/>
        </w:rPr>
        <w:t>/sponsor/adopted-child-sponsorship</w:t>
      </w:r>
      <w:r>
        <w:rPr>
          <w:rFonts w:ascii="Arial" w:hAnsi="Arial"/>
          <w:color w:val="111827"/>
          <w:sz w:val="21"/>
        </w:rPr>
        <w:t xml:space="preserve">  |  </w:t>
      </w:r>
      <w:r>
        <w:rPr>
          <w:rFonts w:ascii="Arial" w:hAnsi="Arial"/>
          <w:color w:val="111827"/>
          <w:sz w:val="21"/>
        </w:rPr>
        <w:t>https://commonwealthmigration.ca/sponsor/adopted-child-sponsorship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the adoption need to be finalized before sponsoring?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yes — a legally finalized adoption, recognized both in the child's country and under Canadian law, is typically required before proceeding.</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I'm adopting internationally?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International adoptions often involve additional provincial approval steps and Hague Convention considerations, depending on the countries involved — this adds complexity beyond a domestic adoption.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Adopted Child Sponsorship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Canadian citizens and permanent residents can sponsor an adopted child for permanent residence, generally through one of two routes: sponsorship as a family member, or a citizenship grant through adoption, depending on the sponsor's status and the adoption's circumstances. This page is for a sponsor and family member assessing whether this particular family route fits their relationship.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Adopted Child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Adopted Child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Adopted Child Sponsorship compare with the related sponsorship category or inland/outland option discussed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Adopted Child Sponsorship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Adopted Child Sponsorship if one requirement is not met?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Adopted Child Sponsorship application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Sponsorship is a process for assessing a family relationship and the applicant’s eligibility; approval still depends on completeness, admissibility and the current rules.</w:t>
            </w:r>
          </w:p>
        </w:tc>
      </w:tr>
    </w:tbl>
    <w:p>
      <w:pPr>
        <w:spacing w:after="20"/>
      </w:pPr>
    </w:p>
    <w:p>
      <w:pPr>
        <w:pStyle w:val="Heading2"/>
        <w:keepNext/>
        <w:spacing w:before="160" w:after="100"/>
      </w:pPr>
      <w:r>
        <w:t>59. PGP Invitation to Apply</w:t>
      </w:r>
    </w:p>
    <w:p>
      <w:pPr>
        <w:pStyle w:val="BodyText"/>
        <w:spacing w:after="60" w:line="259" w:lineRule="auto"/>
      </w:pPr>
      <w:r>
        <w:rPr>
          <w:rFonts w:ascii="Arial" w:hAnsi="Arial"/>
          <w:color w:val="111827"/>
          <w:sz w:val="21"/>
        </w:rPr>
        <w:t>/sponsor/pgp-invitation-to-apply-canada</w:t>
      </w:r>
      <w:r>
        <w:rPr>
          <w:rFonts w:ascii="Arial" w:hAnsi="Arial"/>
          <w:color w:val="111827"/>
          <w:sz w:val="21"/>
        </w:rPr>
        <w:t xml:space="preserve">  |  </w:t>
      </w:r>
      <w:r>
        <w:rPr>
          <w:rFonts w:ascii="Arial" w:hAnsi="Arial"/>
          <w:color w:val="111827"/>
          <w:sz w:val="21"/>
        </w:rPr>
        <w:t>https://commonwealthmigration.ca/sponsor/pgp-invitation-to-apply-canada</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 miss the invitation deadline?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invitation generally lapses, and the sponsor would need to submit new interest in a future intake window rather than receiving an extension.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selection guarantee my parents will get PR?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 only grants the opportunity to apply; the application is still assessed on income, relationship, and admissibility criteria like any other sponsorship.</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PGP Invitation to Apply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Being selected in the Parents and Grandparents Program's interest-to-sponsor lottery isn't approval — it's an invitation to submit a complete application within a set deadline, which is then independently assessed on its own merits. This page is for a sponsor and family member assessing whether this particular family route fits their relationship.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PGP Invitation to Apply?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PGP Invitation to Apply?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PGP Invitation to Apply compare with the related sponsorship category or inland/outland option discussed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PGP Invitation to Apply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PGP Invitation to Apply if one requirement is not met?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PGP Invitation to Apply application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Sponsorship is a process for assessing a family relationship and the applicant’s eligibility; approval still depends on completeness, admissibility and the current rules.</w:t>
            </w:r>
          </w:p>
        </w:tc>
      </w:tr>
    </w:tbl>
    <w:p>
      <w:pPr>
        <w:spacing w:after="20"/>
      </w:pPr>
    </w:p>
    <w:p>
      <w:pPr>
        <w:pStyle w:val="Heading2"/>
        <w:keepNext/>
        <w:spacing w:before="160" w:after="100"/>
      </w:pPr>
      <w:r>
        <w:t>60. Super Visa for Parents</w:t>
      </w:r>
    </w:p>
    <w:p>
      <w:pPr>
        <w:pStyle w:val="BodyText"/>
        <w:spacing w:after="60" w:line="259" w:lineRule="auto"/>
      </w:pPr>
      <w:r>
        <w:rPr>
          <w:rFonts w:ascii="Arial" w:hAnsi="Arial"/>
          <w:color w:val="111827"/>
          <w:sz w:val="21"/>
        </w:rPr>
        <w:t>/sponsor/super-visa-for-parents</w:t>
      </w:r>
      <w:r>
        <w:rPr>
          <w:rFonts w:ascii="Arial" w:hAnsi="Arial"/>
          <w:color w:val="111827"/>
          <w:sz w:val="21"/>
        </w:rPr>
        <w:t xml:space="preserve">  |  </w:t>
      </w:r>
      <w:r>
        <w:rPr>
          <w:rFonts w:ascii="Arial" w:hAnsi="Arial"/>
          <w:color w:val="111827"/>
          <w:sz w:val="21"/>
        </w:rPr>
        <w:t>https://commonwealthmigration.ca/sponsor/super-visa-for-parents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we pursue both a Super Visa and PGP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many families use a Super Visa as an interim solution while also submitting interest to sponsor under PGP for a future intake.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holding a Super Visa affect PGP eligibility?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the two are separate processes, and having a Super Visa doesn't disqualify a sponsor from also pursuing PGP sponsorship.</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Super Visa for Parents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For parents who aren't selected in the PGP lottery, or families who want an interim option, the Super Visa allows extended visits of up to 5 years per entry — without requiring the sponsor to win a randomized selection process first. This page is for a sponsor and family member assessing whether this particular family route fits their relationship.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Super Visa for Parents?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Super Visa for Parents?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Super Visa for Parents compare with the related sponsorship category or inland/outland option discussed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Super Visa for Parents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Super Visa for Parents if one requirement is not met?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Super Visa for Parents application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Sponsorship is a process for assessing a family relationship and the applicant’s eligibility; approval still depends on completeness, admissibility and the current rules.</w:t>
            </w:r>
          </w:p>
        </w:tc>
      </w:tr>
    </w:tbl>
    <w:p>
      <w:pPr>
        <w:spacing w:after="20"/>
      </w:pPr>
    </w:p>
    <w:p>
      <w:pPr>
        <w:pStyle w:val="Heading2"/>
        <w:keepNext/>
        <w:spacing w:before="160" w:after="100"/>
      </w:pPr>
      <w:r>
        <w:t>61. Orphaned Relatives Sponsorship</w:t>
      </w:r>
    </w:p>
    <w:p>
      <w:pPr>
        <w:pStyle w:val="BodyText"/>
        <w:spacing w:after="60" w:line="259" w:lineRule="auto"/>
      </w:pPr>
      <w:r>
        <w:rPr>
          <w:rFonts w:ascii="Arial" w:hAnsi="Arial"/>
          <w:color w:val="111827"/>
          <w:sz w:val="21"/>
        </w:rPr>
        <w:t>/sponsor/orphaned-relatives</w:t>
      </w:r>
      <w:r>
        <w:rPr>
          <w:rFonts w:ascii="Arial" w:hAnsi="Arial"/>
          <w:color w:val="111827"/>
          <w:sz w:val="21"/>
        </w:rPr>
        <w:t xml:space="preserve">  |  </w:t>
      </w:r>
      <w:r>
        <w:rPr>
          <w:rFonts w:ascii="Arial" w:hAnsi="Arial"/>
          <w:color w:val="111827"/>
          <w:sz w:val="21"/>
        </w:rPr>
        <w:t>https://commonwealthmigration.ca/sponsor/orphaned-relatives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this a commonly used sponsorship category?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it's a narrower family class category, used specifically when a qualifying orphaned relative situation exists and no closer sponsor is available.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counts as proof of orphaned status?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Death certificates for both parents, or documented evidence of abandonment, are typically required to establish eligibility.</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Orphaned Relatives Sponsorship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 specific circumstances, Canadian citizens and permanent residents can sponsor an orphaned relative — such as a sibling, nephew, niece, or grandchild — who is under a set age threshold, unmarried, and has no surviving parent, or whose parents have separately abandoned them. This page is for a sponsor and family member assessing whether this particular family route fits their relationship.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Orphaned Relatives Sponsorship?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Orphaned Relatives Sponsorship?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Orphaned Relatives Sponsorship compare with the related sponsorship category or inland/outland option discussed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Orphaned Relatives Sponsorship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Orphaned Relatives Sponsorship if one requirement is not met?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Orphaned Relatives Sponsorship application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Sponsorship is a process for assessing a family relationship and the applicant’s eligibility; approval still depends on completeness, admissibility and the current rules.</w:t>
            </w:r>
          </w:p>
        </w:tc>
      </w:tr>
    </w:tbl>
    <w:p>
      <w:pPr>
        <w:spacing w:after="20"/>
      </w:pPr>
    </w:p>
    <w:p>
      <w:pPr>
        <w:pStyle w:val="Heading2"/>
        <w:keepNext/>
        <w:spacing w:before="160" w:after="100"/>
      </w:pPr>
      <w:r>
        <w:t>62. the Minimum Necessary Income test</w:t>
      </w:r>
    </w:p>
    <w:p>
      <w:pPr>
        <w:pStyle w:val="BodyText"/>
        <w:spacing w:after="60" w:line="259" w:lineRule="auto"/>
      </w:pPr>
      <w:r>
        <w:rPr>
          <w:rFonts w:ascii="Arial" w:hAnsi="Arial"/>
          <w:color w:val="111827"/>
          <w:sz w:val="21"/>
        </w:rPr>
        <w:t>/sponsor/minimum-necessary-income</w:t>
      </w:r>
      <w:r>
        <w:rPr>
          <w:rFonts w:ascii="Arial" w:hAnsi="Arial"/>
          <w:color w:val="111827"/>
          <w:sz w:val="21"/>
        </w:rPr>
        <w:t xml:space="preserve">  |  </w:t>
      </w:r>
      <w:r>
        <w:rPr>
          <w:rFonts w:ascii="Arial" w:hAnsi="Arial"/>
          <w:color w:val="111827"/>
          <w:sz w:val="21"/>
        </w:rPr>
        <w:t>https://commonwealthmigration.ca/sponsor/minimum-necessary-income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prove income for this test?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Notices of Assessment from the Canada Revenue Agency are the primary evidence, typically covering the three most recent tax years.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my income was lower in one of the three years?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Requirements vary by category and current program rules — in some cases each of the three years must independently meet the threshold, while other rules average across the period; current guidance should be checked before applying.</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this requirement apply to spousal sponsorship too?</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Spousal sponsorship generally has a different, less stringent financial requirement than PGP, which carries the higher LICO+30% bar specifically.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Minimum Necessary Income test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Minimum Necessary Income is the income threshold sponsors must meet for certain family sponsorship categories, most notably the Parents and Grandparents Program — based on the Low Income Cut-Off (LICO) plus a 30% buffer, scaled to household size. This page is for sponsors who need to show income for a family or parent sponsorship route.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the Minimum Necessary Income test?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family size, applicable years, income threshold and which documents IRCC accepts for the selected category.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the Minimum Necessary Income test?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Notices of Assessment, tax records, family-size evidence and any co-signer or undertaking records allowed by the category.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the Minimum Necessary Income test compare with general sponsorship eligibility and other family categories?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Minimum Necessary Income test is not interchangeable with general sponsorship eligibility and other family categories. MNI is a financial screen within certain routes; it does not replace the broader sponsor, relationship or admissibility tests.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my income was below the required level in one year?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answer depends on the category, the applicable years and whether a permitted co-signer or alternative evidence exists. Calculate the correct family size and verify the current instructions before filing.</w:t>
            </w:r>
          </w:p>
        </w:tc>
      </w:tr>
    </w:tbl>
    <w:p>
      <w:pPr>
        <w:spacing w:after="20"/>
      </w:pPr>
    </w:p>
    <w:p>
      <w:pPr>
        <w:pStyle w:val="Heading2"/>
        <w:keepNext/>
        <w:spacing w:before="160" w:after="100"/>
      </w:pPr>
      <w:r>
        <w:t>63. Sponsorship Eligibility</w:t>
      </w:r>
    </w:p>
    <w:p>
      <w:pPr>
        <w:pStyle w:val="BodyText"/>
        <w:spacing w:after="60" w:line="259" w:lineRule="auto"/>
      </w:pPr>
      <w:r>
        <w:rPr>
          <w:rFonts w:ascii="Arial" w:hAnsi="Arial"/>
          <w:color w:val="111827"/>
          <w:sz w:val="21"/>
        </w:rPr>
        <w:t>/sponsor/sponsorship-eligibility</w:t>
      </w:r>
      <w:r>
        <w:rPr>
          <w:rFonts w:ascii="Arial" w:hAnsi="Arial"/>
          <w:color w:val="111827"/>
          <w:sz w:val="21"/>
        </w:rPr>
        <w:t xml:space="preserve">  |  </w:t>
      </w:r>
      <w:r>
        <w:rPr>
          <w:rFonts w:ascii="Arial" w:hAnsi="Arial"/>
          <w:color w:val="111827"/>
          <w:sz w:val="21"/>
        </w:rPr>
        <w:t>https://commonwealthmigration.ca/sponsor/sponsorship-eligibility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permanent resident sponsor from outside Canada?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permanent residents must be residing in Canada to sponsor, while citizens have more flexibility to sponsor while living abroad in some circumstances.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disqualifies someone from sponsoring?</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 disqualifiers include being in default on a previous sponsorship undertaking, certain criminal convictions (particularly violent offences), or being under specific immigration or bankruptcy-related restrictions.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Sponsorship Eligibility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Before assessing any specific relationship, every sponsorship application starts with confirming the sponsor themselves is eligible — a distinct set of criteria from what's required of the person being sponsored. This page is for a sponsor and family member assessing whether this particular family route fits their relationship.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Sponsorship Eligibility?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Sponsorship Eligibility?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Sponsorship Eligibility compare with the related sponsorship category or inland/outland option discussed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Sponsorship Eligibility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Sponsorship Eligibility if one requirement is not met?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Sponsorship Eligibility application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Sponsorship is a process for assessing a family relationship and the applicant’s eligibility; approval still depends on completeness, admissibility and the current rules.</w:t>
            </w:r>
          </w:p>
        </w:tc>
      </w:tr>
    </w:tbl>
    <w:p>
      <w:pPr>
        <w:spacing w:after="20"/>
      </w:pPr>
    </w:p>
    <w:p>
      <w:pPr>
        <w:pStyle w:val="Heading2"/>
        <w:keepNext/>
        <w:spacing w:before="160" w:after="100"/>
      </w:pPr>
      <w:r>
        <w:t>64. family sponsorship processing times</w:t>
      </w:r>
    </w:p>
    <w:p>
      <w:pPr>
        <w:pStyle w:val="BodyText"/>
        <w:spacing w:after="60" w:line="259" w:lineRule="auto"/>
      </w:pPr>
      <w:r>
        <w:rPr>
          <w:rFonts w:ascii="Arial" w:hAnsi="Arial"/>
          <w:color w:val="111827"/>
          <w:sz w:val="21"/>
        </w:rPr>
        <w:t>/sponsor/sponsorship-processing-times</w:t>
      </w:r>
      <w:r>
        <w:rPr>
          <w:rFonts w:ascii="Arial" w:hAnsi="Arial"/>
          <w:color w:val="111827"/>
          <w:sz w:val="21"/>
        </w:rPr>
        <w:t xml:space="preserve">  |  </w:t>
      </w:r>
      <w:r>
        <w:rPr>
          <w:rFonts w:ascii="Arial" w:hAnsi="Arial"/>
          <w:color w:val="111827"/>
          <w:sz w:val="21"/>
        </w:rPr>
        <w:t>https://commonwealthmigration.ca/sponsor/sponsorship-processing-times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Where can I check current official processing times?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IRCC publishes current estimated processing times by application type on its website — these should be checked directly for the most current figures, since they shift periodically.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single biggest factor in delays?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Incomplete applications are consistently one of the most common causes of delay — missing a single required document can add months to a file.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family sponsorship processing times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Processing times for family sponsorship vary meaningfully by category and application completeness — spousal applications typically move fastest, while PGP applications carry the added lottery-selection step before processing even begins. This page is for sponsors and applicants planning around the time a complete family application may take.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family sponsorship processing times?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sponsorship category, location, completeness and the current official processing-time tool.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family sponsorship processing times?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submission date, application type, completeness records, biometrics, medical and background-check evidence.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family sponsorship processing times compare with the processing-time estimates for related sponsorship categories?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family sponsorship processing times is not interchangeable with the processing-time estimates for related sponsorship categories. processing time is an estimate for a category and case profile, not a promise for an individual file.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the most useful way to check a sponsorship delay?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Compare the file’s category and submission date with the current official processing-time information, then check for requests or missing steps. A delay does not by itself prove refusal.</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Sponsorship Processing Times application guarantee permanent residence?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Sponsorship is a process for assessing a family relationship and the applicant’s eligibility; approval still depends on completeness, admissibility and the current rules.</w:t>
            </w:r>
          </w:p>
        </w:tc>
      </w:tr>
    </w:tbl>
    <w:p>
      <w:pPr>
        <w:spacing w:after="20"/>
      </w:pPr>
    </w:p>
    <w:p>
      <w:pPr>
        <w:pStyle w:val="Heading2"/>
        <w:keepNext/>
        <w:spacing w:before="160" w:after="100"/>
      </w:pPr>
      <w:r>
        <w:t>65. Sponsorship Appeal</w:t>
      </w:r>
    </w:p>
    <w:p>
      <w:pPr>
        <w:pStyle w:val="BodyText"/>
        <w:spacing w:after="60" w:line="259" w:lineRule="auto"/>
      </w:pPr>
      <w:r>
        <w:rPr>
          <w:rFonts w:ascii="Arial" w:hAnsi="Arial"/>
          <w:color w:val="111827"/>
          <w:sz w:val="21"/>
        </w:rPr>
        <w:t>/sponsor/sponsorship-appeal</w:t>
      </w:r>
      <w:r>
        <w:rPr>
          <w:rFonts w:ascii="Arial" w:hAnsi="Arial"/>
          <w:color w:val="111827"/>
          <w:sz w:val="21"/>
        </w:rPr>
        <w:t xml:space="preserve">  |  </w:t>
      </w:r>
      <w:r>
        <w:rPr>
          <w:rFonts w:ascii="Arial" w:hAnsi="Arial"/>
          <w:color w:val="111827"/>
          <w:sz w:val="21"/>
        </w:rPr>
        <w:t>https://commonwealthmigration.ca/sponsor/sponsorship-appeal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do I have to file a sponsorship appeal?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strict deadline applies from the date of the refusal letter — missing it generally forfeits the right to appeal, so this should be treated as urgent.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submit new evidence at the appeal that wasn't in my original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the IAD can consider new evidence not before the original officer, which is one of the key advantages of the appeal process over simply reapplying.</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the appeal is dismissed?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Further options can include an application for leave to the Federal Court, though this is a narrower and more procedural review than the IAD's own hearing.</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Sponsorship Appeal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Most refused sponsorship applications — spousal sponsorship in particular — can be appealed to the Immigration Appeal Division (IAD), which independently reviews the evidence and can overturn the original refusal. This page is for a sponsor and family member assessing whether this particular family route fits their relationship.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Sponsorship Appeal?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relationship category, sponsor eligibility, the applicant’s admissibility and any age, dependency, income or undertaking rule.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Sponsorship Appeal?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identity and civil-status records, relationship evidence, police or medical records when requested, and sponsor income or status evidence where the category requires it.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Sponsorship Appeal compare with the related sponsorship category or inland/outland option discussed on the page?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Sponsorship Appeal is not interchangeable with the related sponsorship category or inland/outland option discussed on the page. the relationship definition, sponsor obligations, location and evidence standard can differ materially between categories.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family member qualify through Sponsorship Appeal if one requirement is not met?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Usually not through that category unless a specific exception applies. The relationship and sponsor rules should be tested against the current official definition before choosing another route.</w:t>
            </w:r>
          </w:p>
        </w:tc>
      </w:tr>
    </w:tbl>
    <w:p>
      <w:pPr>
        <w:spacing w:after="20"/>
      </w:pPr>
    </w:p>
    <w:p>
      <w:pPr>
        <w:pStyle w:val="Heading2"/>
        <w:keepNext/>
        <w:spacing w:before="160" w:after="100"/>
      </w:pPr>
      <w:r>
        <w:t>66. an adult grant of Canadian citizenship</w:t>
      </w:r>
    </w:p>
    <w:p>
      <w:pPr>
        <w:pStyle w:val="BodyText"/>
        <w:spacing w:after="60" w:line="259" w:lineRule="auto"/>
      </w:pPr>
      <w:r>
        <w:rPr>
          <w:rFonts w:ascii="Arial" w:hAnsi="Arial"/>
          <w:color w:val="111827"/>
          <w:sz w:val="21"/>
        </w:rPr>
        <w:t>/citizenship/adult-grant-of-citizenship</w:t>
      </w:r>
      <w:r>
        <w:rPr>
          <w:rFonts w:ascii="Arial" w:hAnsi="Arial"/>
          <w:color w:val="111827"/>
          <w:sz w:val="21"/>
        </w:rPr>
        <w:t xml:space="preserve">  |  </w:t>
      </w:r>
      <w:r>
        <w:rPr>
          <w:rFonts w:ascii="Arial" w:hAnsi="Arial"/>
          <w:color w:val="111827"/>
          <w:sz w:val="21"/>
        </w:rPr>
        <w:t>https://commonwealthmigration.ca/citizenship/adult-grant-of-citizenship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time as a temporary resident count toward the 1,095 days?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portion of time spent in Canada before becoming a permanent resident can count, up to a capped number of days — this should be calculated carefully rather than assumed.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I'm outside the 18–54 age range?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Applicants outside this range are generally exempt from the language and knowledge test requirements, though physical presence and tax filing requirements still apply.</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an adult grant of Canadian citizenship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is the standard route to Canadian citizenship for permanent residents aged 18 and over — requiring a set period of physical presence in Canada, tax compliance, and, for most applicants, a language and knowledge test. This page is for permanent residents assessing eligibility to apply for citizenship.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an adult grant of Canadian citizenship?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permanent-resident status, physical presence, tax filing, language and test requirements for the applicant’s age.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an adult grant of Canadian citizenship?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travel history, PR records, tax information, language evidence and identity or civil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an adult grant of Canadian citizenship compare with the minor grant and citizenship certificate routes?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an adult grant of Canadian citizenship is not interchangeable with the minor grant and citizenship certificate routes. an adult grant is an application for citizenship; a certificate proves an existing citizenship claim and follows a different process.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time as a temporary resident count toward the citizenship presence requirement?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Some temporary-resident time may be counted under the current rules, subject to limits. Calculate the timeline carefully using the official physical-presence tool.</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Adult Grant of Citizenship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67. a minor grant of Canadian citizenship</w:t>
      </w:r>
    </w:p>
    <w:p>
      <w:pPr>
        <w:pStyle w:val="BodyText"/>
        <w:spacing w:after="60" w:line="259" w:lineRule="auto"/>
      </w:pPr>
      <w:r>
        <w:rPr>
          <w:rFonts w:ascii="Arial" w:hAnsi="Arial"/>
          <w:color w:val="111827"/>
          <w:sz w:val="21"/>
        </w:rPr>
        <w:t>/citizenship/minor-grant-of-citizenship</w:t>
      </w:r>
      <w:r>
        <w:rPr>
          <w:rFonts w:ascii="Arial" w:hAnsi="Arial"/>
          <w:color w:val="111827"/>
          <w:sz w:val="21"/>
        </w:rPr>
        <w:t xml:space="preserve">  |  </w:t>
      </w:r>
      <w:r>
        <w:rPr>
          <w:rFonts w:ascii="Arial" w:hAnsi="Arial"/>
          <w:color w:val="111827"/>
          <w:sz w:val="21"/>
        </w:rPr>
        <w:t>https://commonwealthmigration.ca/citizenship/minor-grant-of-citizenship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minor need to meet a physical presence requirement?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Physical presence rules apply, though the calculation can differ from the adult standard — this should be confirmed against the child's specific residence history.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non-parent guardian apply on a child's behalf?</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 many cases, yes, with appropriate legal documentation establishing guardianship — this varies by the child's specific family circumstances.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 minor grant of Canadian citizenship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Permanent resident children under 18 can apply for Canadian citizenship through a simplified process that doesn't require the language or knowledge test adult applicants must complete, though a parent or legal guardian must typically apply on the child's behalf. This page is for parents or guardians assessing a citizenship application for a child.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 minor grant of Canadian citizenship?</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child’s age, current status, parent or guardian relationship and the correct grant category.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 minor grant of Canadian citizenship?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child’s birth and identity records, status documents, parent or guardian evidence and consent or custody records where applicable.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minor grant of Canadian citizenship compare with the adult grant and citizenship-through-adoption routes?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minor grant of Canadian citizenship is not interchangeable with the adult grant and citizenship-through-adoption routes. a minor application uses child-specific rules and may not use the adult presence or test framework in the same way.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Minor Grant of Citizenship requirement guarantee approval?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can delay or weaken a a minor grant of Canadian citizenship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 trouble spots include missing consent or custody evidence, using an adult form, inconsistent names and assuming a parent’s citizenship automatically completes the application. A complete package cannot cure an ineligible route, and any change in facts should be checked before filing or continuing.</w:t>
            </w:r>
          </w:p>
        </w:tc>
      </w:tr>
    </w:tbl>
    <w:p>
      <w:pPr>
        <w:spacing w:after="20"/>
      </w:pPr>
    </w:p>
    <w:p>
      <w:pPr>
        <w:pStyle w:val="Heading2"/>
        <w:keepNext/>
        <w:spacing w:before="160" w:after="100"/>
      </w:pPr>
      <w:r>
        <w:t>68. a Canadian citizenship certificate</w:t>
      </w:r>
    </w:p>
    <w:p>
      <w:pPr>
        <w:pStyle w:val="BodyText"/>
        <w:spacing w:after="60" w:line="259" w:lineRule="auto"/>
      </w:pPr>
      <w:r>
        <w:rPr>
          <w:rFonts w:ascii="Arial" w:hAnsi="Arial"/>
          <w:color w:val="111827"/>
          <w:sz w:val="21"/>
        </w:rPr>
        <w:t>/citizenship/citizenship-certificate</w:t>
      </w:r>
      <w:r>
        <w:rPr>
          <w:rFonts w:ascii="Arial" w:hAnsi="Arial"/>
          <w:color w:val="111827"/>
          <w:sz w:val="21"/>
        </w:rPr>
        <w:t xml:space="preserve">  |  </w:t>
      </w:r>
      <w:r>
        <w:rPr>
          <w:rFonts w:ascii="Arial" w:hAnsi="Arial"/>
          <w:color w:val="111827"/>
          <w:sz w:val="21"/>
        </w:rPr>
        <w:t>https://commonwealthmigration.ca/citizenship/citizenship-certificate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 citizenship certificate to get a Canadian passport?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yes — proof of citizenship, such as a certificate or an existing passport, is required to apply for or renew a Canadian passport.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does a replacement take?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Timelines vary and should be checked against current IRCC processing estimates, but applicants should apply well ahead of any travel or deadline that depends on the document.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 Canadian citizenship certificate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citizenship certificate is the official document proving Canadian citizenship, needed for passport applications and other government processes — this covers both first-time applications for those who acquired citizenship without one, and replacements for lost or damaged certificates. This page is for people proving Canadian citizenship by birth, descent, grant or another recognized basis.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 Canadian citizenship certificate?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basis of the citizenship claim and whether the request is for a first certificate, replacement or correction.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 Canadian citizenship certificate?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birth or citizenship records, parent records where relevant, identity documents and evidence explaining any name or date discrepancy.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Canadian citizenship certificate compare with a Canadian passport and citizenship grant?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Canadian citizenship certificate is not interchangeable with a Canadian passport and citizenship grant. a certificate is evidence of citizenship; it is not the same travel document as a passport and it does not grant citizenship to someone who is not already a citizen.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Citizenship Certificate requirement guarantee approval?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can delay or weaken a a Canadian citizenship certificate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 trouble spots include incomplete lineage records, inconsistent names, unclear parent citizenship and sending originals without understanding the current process. A complete package cannot cure an ineligible route, and any change in facts should be checked before filing or continuing.</w:t>
            </w:r>
          </w:p>
        </w:tc>
      </w:tr>
    </w:tbl>
    <w:p>
      <w:pPr>
        <w:spacing w:after="20"/>
      </w:pPr>
    </w:p>
    <w:p>
      <w:pPr>
        <w:pStyle w:val="Heading2"/>
        <w:keepNext/>
        <w:spacing w:before="160" w:after="100"/>
      </w:pPr>
      <w:r>
        <w:t>69. Citizenship Resumption</w:t>
      </w:r>
    </w:p>
    <w:p>
      <w:pPr>
        <w:pStyle w:val="BodyText"/>
        <w:spacing w:after="60" w:line="259" w:lineRule="auto"/>
      </w:pPr>
      <w:r>
        <w:rPr>
          <w:rFonts w:ascii="Arial" w:hAnsi="Arial"/>
          <w:color w:val="111827"/>
          <w:sz w:val="21"/>
        </w:rPr>
        <w:t>/citizenship/citizenship-resumption</w:t>
      </w:r>
      <w:r>
        <w:rPr>
          <w:rFonts w:ascii="Arial" w:hAnsi="Arial"/>
          <w:color w:val="111827"/>
          <w:sz w:val="21"/>
        </w:rPr>
        <w:t xml:space="preserve">  |  </w:t>
      </w:r>
      <w:r>
        <w:rPr>
          <w:rFonts w:ascii="Arial" w:hAnsi="Arial"/>
          <w:color w:val="111827"/>
          <w:sz w:val="21"/>
        </w:rPr>
        <w:t>https://commonwealthmigration.ca/citizenship/citizenship-resumption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resumption the same process as applying for citizenship the first time?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resumption is a distinct pathway for former citizens, with its own eligibility criteria, generally simpler than starting an entirely new citizenship application.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to be a permanent resident again first?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depends on the specific circumstances of how citizenship was lost — some resumption cases don't require re-establishing permanent residence first, while others do.</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Citizenship Resumption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Citizenship resumption is the process for former Canadian citizens — who lost citizenship through renunciation or an older rule that no longer applies — to reclaim their status, generally through a defined application process rather than starting over as a new applicant. This page is for a permanent resident, former citizen or family assessing this citizenship or PR-document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Citizenship Resumption?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Citizenship Resumption?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Citizenship Resumption compare with the related citizenship, PR card or travel-document route linked from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Citizenship Resumption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Citizenship Resumption if their travel or status history is incomplete?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Citizenship Resumption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70. Citizenship Renunciation</w:t>
      </w:r>
    </w:p>
    <w:p>
      <w:pPr>
        <w:pStyle w:val="BodyText"/>
        <w:spacing w:after="60" w:line="259" w:lineRule="auto"/>
      </w:pPr>
      <w:r>
        <w:rPr>
          <w:rFonts w:ascii="Arial" w:hAnsi="Arial"/>
          <w:color w:val="111827"/>
          <w:sz w:val="21"/>
        </w:rPr>
        <w:t>/citizenship/citizenship-renunciation</w:t>
      </w:r>
      <w:r>
        <w:rPr>
          <w:rFonts w:ascii="Arial" w:hAnsi="Arial"/>
          <w:color w:val="111827"/>
          <w:sz w:val="21"/>
        </w:rPr>
        <w:t xml:space="preserve">  |  </w:t>
      </w:r>
      <w:r>
        <w:rPr>
          <w:rFonts w:ascii="Arial" w:hAnsi="Arial"/>
          <w:color w:val="111827"/>
          <w:sz w:val="21"/>
        </w:rPr>
        <w:t>https://commonwealthmigration.ca/citizenship/citizenship-renunciation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Why would someone renounce Canadian citizenship?</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 reasons include compliance with another country's citizenship restrictions, tax considerations, or personal circumstances specific to the individual.</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renunciation be reversed?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It's possible to apply for resumption later in many cases, though this is a separate application process, not an automatic reversal.</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Citizenship Renunciation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Citizenship renunciation is the formal process of voluntarily giving up Canadian citizenship, generally pursued by dual citizens who need to satisfy another country's requirements or who no longer wish to hold Canadian status. This page is for a permanent resident, former citizen or family assessing this citizenship or PR-document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Citizenship Renunciation?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Citizenship Renunciation?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Citizenship Renunciation compare with the related citizenship, PR card or travel-document route linked from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Citizenship Renunciation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Citizenship Renunciation if their travel or status history is incomplete?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Citizenship Renunciation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71. Citizenship Revocation Appeal</w:t>
      </w:r>
    </w:p>
    <w:p>
      <w:pPr>
        <w:pStyle w:val="BodyText"/>
        <w:spacing w:after="60" w:line="259" w:lineRule="auto"/>
      </w:pPr>
      <w:r>
        <w:rPr>
          <w:rFonts w:ascii="Arial" w:hAnsi="Arial"/>
          <w:color w:val="111827"/>
          <w:sz w:val="21"/>
        </w:rPr>
        <w:t>/citizenship/citizenship-revocation-appeal</w:t>
      </w:r>
      <w:r>
        <w:rPr>
          <w:rFonts w:ascii="Arial" w:hAnsi="Arial"/>
          <w:color w:val="111827"/>
          <w:sz w:val="21"/>
        </w:rPr>
        <w:t xml:space="preserve">  |  </w:t>
      </w:r>
      <w:r>
        <w:rPr>
          <w:rFonts w:ascii="Arial" w:hAnsi="Arial"/>
          <w:color w:val="111827"/>
          <w:sz w:val="21"/>
        </w:rPr>
        <w:t>https://commonwealthmigration.ca/citizenship/citizenship-revocation-appeal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typically triggers a revocation proceeding?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Discovered fraud or material misrepresentation in the original citizenship or earlier immigration application is the most common trigger.</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revocation affect my permanent resident status too?</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can — depending on the case, a revocation may also put underlying permanent resident status at risk, making early legal advice important.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Citizenship Revocation Appeal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Citizenship revocation is a serious process where the government seeks to remove citizenship already granted, most commonly on grounds of fraud or material misrepresentation during the original application. Individuals facing revocation have defined rights to respond and, in many cases, seek review. This page is for a permanent resident, former citizen or family assessing this citizenship or PR-document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Citizenship Revocation Appeal?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Citizenship Revocation Appeal?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Citizenship Revocation Appeal compare with the related citizenship, PR card or travel-document route linked from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Citizenship Revocation Appeal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Citizenship Revocation Appeal if their travel or status history is incomplete?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Citizenship Revocation Appeal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72. PR card renewal</w:t>
      </w:r>
    </w:p>
    <w:p>
      <w:pPr>
        <w:pStyle w:val="BodyText"/>
        <w:spacing w:after="60" w:line="259" w:lineRule="auto"/>
      </w:pPr>
      <w:r>
        <w:rPr>
          <w:rFonts w:ascii="Arial" w:hAnsi="Arial"/>
          <w:color w:val="111827"/>
          <w:sz w:val="21"/>
        </w:rPr>
        <w:t>/citizenship/pr-card-renewal-standalone-page</w:t>
      </w:r>
      <w:r>
        <w:rPr>
          <w:rFonts w:ascii="Arial" w:hAnsi="Arial"/>
          <w:color w:val="111827"/>
          <w:sz w:val="21"/>
        </w:rPr>
        <w:t xml:space="preserve">  |  </w:t>
      </w:r>
      <w:r>
        <w:rPr>
          <w:rFonts w:ascii="Arial" w:hAnsi="Arial"/>
          <w:color w:val="111827"/>
          <w:sz w:val="21"/>
        </w:rPr>
        <w:t>https://commonwealthmigration.ca/citizenship/pr-card-renewal-standalone-page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early should I apply for renewal?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Applying several months before expiry is generally recommended, since processing takes time and travel plans can be disrupted by an expired card.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I haven't met the residency obligation?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can complicate renewal and may require additional explanation or evidence of qualifying exceptions (such as accompanying a Canadian spouse abroad) — it should be addressed proactively rather than ignored.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 card renewal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PR card is generally valid for 5 years and must be renewed to continue using it as proof of status for travel and re-entry to Canada. Renewal also involves confirming the holder still meets the residency obligation. This page is for permanent residents who need a valid card for travel or proof of status.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 card renewal?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PR status, residency-obligation history, card expiry and whether the person is inside or outside Canada.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 card renewal?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current and previous PR cards, passport and travel history, status records, photos and the current renewal form.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 card renewal compare with PR card replacement and a PRTD?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 card renewal is not interchangeable with PR card replacement and a PRTD. renewal is for an expiring or expired card; a replacement addresses a lost, stolen or damaged card, while a PRTD is used in a different travel situation outside Canada.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PR Card Renewal requirement guarantee approval?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can delay or weaken a PR card renewal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 trouble spots include inaccurate travel dates, missing residence evidence, travelling without the right document and confusing card validity with underlying PR status. A complete package cannot cure an ineligible route, and any change in facts should be checked before filing or continuing.</w:t>
            </w:r>
          </w:p>
        </w:tc>
      </w:tr>
    </w:tbl>
    <w:p>
      <w:pPr>
        <w:spacing w:after="20"/>
      </w:pPr>
    </w:p>
    <w:p>
      <w:pPr>
        <w:pStyle w:val="Heading2"/>
        <w:keepNext/>
        <w:spacing w:before="160" w:after="100"/>
      </w:pPr>
      <w:r>
        <w:t>73. PR Card Replacement</w:t>
      </w:r>
    </w:p>
    <w:p>
      <w:pPr>
        <w:pStyle w:val="BodyText"/>
        <w:spacing w:after="60" w:line="259" w:lineRule="auto"/>
      </w:pPr>
      <w:r>
        <w:rPr>
          <w:rFonts w:ascii="Arial" w:hAnsi="Arial"/>
          <w:color w:val="111827"/>
          <w:sz w:val="21"/>
        </w:rPr>
        <w:t>/citizenship/pr-card-replacement</w:t>
      </w:r>
      <w:r>
        <w:rPr>
          <w:rFonts w:ascii="Arial" w:hAnsi="Arial"/>
          <w:color w:val="111827"/>
          <w:sz w:val="21"/>
        </w:rPr>
        <w:t xml:space="preserve">  |  </w:t>
      </w:r>
      <w:r>
        <w:rPr>
          <w:rFonts w:ascii="Arial" w:hAnsi="Arial"/>
          <w:color w:val="111827"/>
          <w:sz w:val="21"/>
        </w:rPr>
        <w:t>https://commonwealthmigration.ca/citizenship/pr-card-replacement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travel while waiting for a replacement card?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Travelling internationally without a valid PR card can complicate re-entry to Canada — a PRTD is often needed to board a flight back if the card isn't available.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to file a police report for a stolen card?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can strengthen the replacement application and is generally good practice, though specific requirements should be confirmed for the current process.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 Card Replacement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lost, stolen, or damaged PR card needs to be replaced through a dedicated application, distinct from a standard renewal — since the card may still be within its validity period when replacement becomes necessary. This page is for a permanent resident, former citizen or family assessing this citizenship or PR-document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 Card Replacement?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 Card Replacement?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 Card Replacement compare with the related citizenship, PR card or travel-document route linked from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 Card Replacement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PR Card Replacement if their travel or status history is incomplete?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PR Card Replacement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74. a Permanent Resident Travel Document</w:t>
      </w:r>
    </w:p>
    <w:p>
      <w:pPr>
        <w:pStyle w:val="BodyText"/>
        <w:spacing w:after="60" w:line="259" w:lineRule="auto"/>
      </w:pPr>
      <w:r>
        <w:rPr>
          <w:rFonts w:ascii="Arial" w:hAnsi="Arial"/>
          <w:color w:val="111827"/>
          <w:sz w:val="21"/>
        </w:rPr>
        <w:t>/citizenship/pr-travel-document-prtd</w:t>
      </w:r>
      <w:r>
        <w:rPr>
          <w:rFonts w:ascii="Arial" w:hAnsi="Arial"/>
          <w:color w:val="111827"/>
          <w:sz w:val="21"/>
        </w:rPr>
        <w:t xml:space="preserve">  |  </w:t>
      </w:r>
      <w:r>
        <w:rPr>
          <w:rFonts w:ascii="Arial" w:hAnsi="Arial"/>
          <w:color w:val="111827"/>
          <w:sz w:val="21"/>
        </w:rPr>
        <w:t>https://commonwealthmigration.ca/citizenship/pr-travel-document-prtd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applying for a PRTD guarantee I'll be allowed to keep my PR status?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the visa office will still assess whether the residency obligation has been met; a PRTD can be refused if there's a significant shortfall without a qualifying exception.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does a PRTD take to process?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Processing times vary by visa office and case complexity — this should be planned for well ahead of any firm travel date.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 Permanent Resident Travel Document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Permanent Resident Travel Document (PRTD) allows a permanent resident outside Canada without a valid PR card to board a flight back to Canada — applied for through the Canadian visa office responsible for the applicant's location. This page is for permanent residents outside Canada without a valid PR card who need to return by commercial transport.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 Permanent Resident Travel Document?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the person is a permanent resident, outside Canada and able to meet the travel-document and residency-obligation assessment.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 Permanent Resident Travel Document?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 PR evidence, travel history, residence evidence and any humanitarian explanation relevant to the residency record.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Permanent Resident Travel Document compare with PR card renewal, replacement and residency-obligation appeal?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Permanent Resident Travel Document is not interchangeable with PR card renewal, replacement and residency-obligation appeal. a PRTD supports travel to Canada; it does not renew the PR card or decide every future residency issue.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PRTD guarantee that I will keep my permanent-resident status?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application can involve a residency-obligation assessment. The result depends on the evidence and the applicable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PR Travel Document (PRTD)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75. Citizenship Through Adoption</w:t>
      </w:r>
    </w:p>
    <w:p>
      <w:pPr>
        <w:pStyle w:val="BodyText"/>
        <w:spacing w:after="60" w:line="259" w:lineRule="auto"/>
      </w:pPr>
      <w:r>
        <w:rPr>
          <w:rFonts w:ascii="Arial" w:hAnsi="Arial"/>
          <w:color w:val="111827"/>
          <w:sz w:val="21"/>
        </w:rPr>
        <w:t>/citizenship/citizenship-through-adoption</w:t>
      </w:r>
      <w:r>
        <w:rPr>
          <w:rFonts w:ascii="Arial" w:hAnsi="Arial"/>
          <w:color w:val="111827"/>
          <w:sz w:val="21"/>
        </w:rPr>
        <w:t xml:space="preserve">  |  </w:t>
      </w:r>
      <w:r>
        <w:rPr>
          <w:rFonts w:ascii="Arial" w:hAnsi="Arial"/>
          <w:color w:val="111827"/>
          <w:sz w:val="21"/>
        </w:rPr>
        <w:t>https://commonwealthmigration.ca/citizenship/citizenship-through-adoption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this apply if the adopting parent is only a permanent resident, not a citizen?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direct citizenship through adoption specifically requires a Canadian citizen parent; a permanent resident parent would instead sponsor the child for PR.</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proves the adoption is genuine?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Legal adoption documentation, evidence of a genuine parent-child relationship, and compliance with both the child's home country and Canadian/provincial adoption law are all typically required.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Citizenship Through Adoption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Children adopted by a Canadian citizen parent may be eligible for direct Canadian citizenship, rather than needing to first obtain permanent residence through family sponsorship — a distinction that depends on the adopting parent's status and the adoption's specific circumstances. This page is for a permanent resident, former citizen or family assessing this citizenship or PR-document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Citizenship Through Adoption?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Citizenship Through Adoption?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Citizenship Through Adoption compare with the related citizenship, PR card or travel-document route linked from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Citizenship Through Adoption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Citizenship Through Adoption if their travel or status history is incomplete?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Citizenship Through Adoption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76. PR Through Adoption</w:t>
      </w:r>
    </w:p>
    <w:p>
      <w:pPr>
        <w:pStyle w:val="BodyText"/>
        <w:spacing w:after="60" w:line="259" w:lineRule="auto"/>
      </w:pPr>
      <w:r>
        <w:rPr>
          <w:rFonts w:ascii="Arial" w:hAnsi="Arial"/>
          <w:color w:val="111827"/>
          <w:sz w:val="21"/>
        </w:rPr>
        <w:t>/citizenship/pr-through-adoption</w:t>
      </w:r>
      <w:r>
        <w:rPr>
          <w:rFonts w:ascii="Arial" w:hAnsi="Arial"/>
          <w:color w:val="111827"/>
          <w:sz w:val="21"/>
        </w:rPr>
        <w:t xml:space="preserve">  |  </w:t>
      </w:r>
      <w:r>
        <w:rPr>
          <w:rFonts w:ascii="Arial" w:hAnsi="Arial"/>
          <w:color w:val="111827"/>
          <w:sz w:val="21"/>
        </w:rPr>
        <w:t>https://commonwealthmigration.ca/citizenship/pr-through-adoption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this route become citizenship later?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once the child is a permanent resident, they can pursue Canadian citizenship through the standard minor grant process once eligibility requirements are met.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provincial adoption law matter here?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many international adoptions also require provincial approval processes, adding a layer of requirements beyond the federal immigration application.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 Through Adoption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When the adopting parent is a Canadian permanent resident (rather than a citizen), the adopted child's route to Canada generally runs through family class sponsorship for permanent residence, rather than a direct citizenship grant. This page is for a permanent resident, former citizen or family assessing this citizenship or PR-document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 Through Adoption?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 Through Adoption?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 Through Adoption compare with the related citizenship, PR card or travel-document route linked from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 Through Adoption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PR Through Adoption if their travel or status history is incomplete?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PR Through Adoption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77. Proof of Adoption Record</w:t>
      </w:r>
    </w:p>
    <w:p>
      <w:pPr>
        <w:pStyle w:val="BodyText"/>
        <w:spacing w:after="60" w:line="259" w:lineRule="auto"/>
      </w:pPr>
      <w:r>
        <w:rPr>
          <w:rFonts w:ascii="Arial" w:hAnsi="Arial"/>
          <w:color w:val="111827"/>
          <w:sz w:val="21"/>
        </w:rPr>
        <w:t>/citizenship/proof-of-adoption-record</w:t>
      </w:r>
      <w:r>
        <w:rPr>
          <w:rFonts w:ascii="Arial" w:hAnsi="Arial"/>
          <w:color w:val="111827"/>
          <w:sz w:val="21"/>
        </w:rPr>
        <w:t xml:space="preserve">  |  </w:t>
      </w:r>
      <w:r>
        <w:rPr>
          <w:rFonts w:ascii="Arial" w:hAnsi="Arial"/>
          <w:color w:val="111827"/>
          <w:sz w:val="21"/>
        </w:rPr>
        <w:t>https://commonwealthmigration.ca/citizenship/proof-of-adoption-record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every adoption need provincial approval?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always — this depends on the country of adoption and whether it falls under Hague Convention procedures or a non-Convention process, each with different provincial involvement.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adoption records from the home country are incomplete?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can complicate the application significantly and may require additional evidence or legal steps — it should be addressed early with proper guidance rather than left until the application stage.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Proof of Adoption Record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Both the citizenship-through-adoption and PR-through-adoption routes depend on establishing a clear, legally recognized adoption record — the specific documents required can vary significantly depending on the country where the adoption took place. This page is for a permanent resident, former citizen or family assessing this citizenship or PR-document process.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Proof of Adoption Record?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person’s current status, physical-presence or residency history, age-specific requirements and the exact document or citizenship outcome being requested.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Proof of Adoption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passports and travel history, status documents, identity and civil records, tax or language evidence where required, and any prior citizenship or adoption records.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Proof of Adoption Record compare with the related citizenship, PR card or travel-document route linked from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Proof of Adoption Record is not interchangeable with the related citizenship, PR card or travel-document route linked from the page. the route may prove status, renew a document, grant citizenship or address travel; each outcome has a different legal test.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person use Proof of Adoption Record if their travel or status history is incomplete?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person should first reconstruct the timeline and obtain the missing records. Incomplete travel or status evidence can affect the assessment, and the correct response depends on the specific route.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meeting one Proof of Adoption Record requirement guarantee approval?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The decision depends on the complete record and every applicable requirement. A single qualifying fact does not replace the full assessment.</w:t>
            </w:r>
          </w:p>
        </w:tc>
      </w:tr>
    </w:tbl>
    <w:p>
      <w:pPr>
        <w:spacing w:after="20"/>
      </w:pPr>
    </w:p>
    <w:p>
      <w:pPr>
        <w:pStyle w:val="Heading2"/>
        <w:keepNext/>
        <w:spacing w:before="160" w:after="100"/>
      </w:pPr>
      <w:r>
        <w:t>78. criminal rehabilitation</w:t>
      </w:r>
    </w:p>
    <w:p>
      <w:pPr>
        <w:pStyle w:val="BodyText"/>
        <w:spacing w:after="60" w:line="259" w:lineRule="auto"/>
      </w:pPr>
      <w:r>
        <w:rPr>
          <w:rFonts w:ascii="Arial" w:hAnsi="Arial"/>
          <w:color w:val="111827"/>
          <w:sz w:val="21"/>
        </w:rPr>
        <w:t>/inadmissibility-and-appeals/criminal-rehabilitation</w:t>
      </w:r>
      <w:r>
        <w:rPr>
          <w:rFonts w:ascii="Arial" w:hAnsi="Arial"/>
          <w:color w:val="111827"/>
          <w:sz w:val="21"/>
        </w:rPr>
        <w:t xml:space="preserve">  |  </w:t>
      </w:r>
      <w:r>
        <w:rPr>
          <w:rFonts w:ascii="Arial" w:hAnsi="Arial"/>
          <w:color w:val="111827"/>
          <w:sz w:val="21"/>
        </w:rPr>
        <w:t>https://commonwealthmigration.ca/inadmissibility-and-appeals/criminal-rehabilitation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Criminal Rehabilitation apply to Canadian convictions too?</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specifically addresses foreign convictions that make someone inadmissible to Canada — Canadian convictions are addressed through Canada's own pardon/record suspension system instead.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a foreign offence matched to Canadian law?</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Officers assess the closest equivalent offence under Canadian law based on the conduct involved, not simply the name of the foreign charge — this equivalency determines both inadmissibility and eligibility.</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travel to Canada while my application is pending?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automatically — a Temporary Resident Permit may be needed for travel while a Criminal Rehabilitation application is still being processed.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criminal rehabilitation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Criminal Rehabilitation is a formal application that permanently resolves inadmissibility caused by a past criminal conviction, once enough time has passed since the sentence was completed — distinct from a Temporary Resident Permit, which only authorizes a single trip or period. This page is for people seeking a formal remedy for certain foreign criminal inadmissibility concerns.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criminal rehabilitation?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whether the required time has passed since the sentence was completed and how the offence is treated under Canadian law.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criminal rehabilitation?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complete court and police records, sentence-completion proof, personal history and evidence addressing rehabilitation factors.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criminal rehabilitation compare with deemed rehabilitation and a Temporary Resident Permit?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criminal rehabilitation is not interchangeable with deemed rehabilitation and a Temporary Resident Permit. criminal rehabilitation is a formal application; deemed rehabilitation is a legal assessment that may apply automatically in limited circumstances, while a TRP addresses temporary need.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Criminal Rehabilitation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79. a Temporary Resident Permit</w:t>
      </w:r>
    </w:p>
    <w:p>
      <w:pPr>
        <w:pStyle w:val="BodyText"/>
        <w:spacing w:after="60" w:line="259" w:lineRule="auto"/>
      </w:pPr>
      <w:r>
        <w:rPr>
          <w:rFonts w:ascii="Arial" w:hAnsi="Arial"/>
          <w:color w:val="111827"/>
          <w:sz w:val="21"/>
        </w:rPr>
        <w:t>/inadmissibility-and-appeals/temporary-resident-permit-trp</w:t>
      </w:r>
      <w:r>
        <w:rPr>
          <w:rFonts w:ascii="Arial" w:hAnsi="Arial"/>
          <w:color w:val="111827"/>
          <w:sz w:val="21"/>
        </w:rPr>
        <w:t xml:space="preserve">  |  </w:t>
      </w:r>
      <w:r>
        <w:rPr>
          <w:rFonts w:ascii="Arial" w:hAnsi="Arial"/>
          <w:color w:val="111827"/>
          <w:sz w:val="21"/>
        </w:rPr>
        <w:t>https://commonwealthmigration.ca/inadmissibility-and-appeals/temporary-resident-permit-trp</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is a TRP valid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 can be issued for a single entry or for a longer validity period, generally up to 3 years, depending on the circumstances and the officer's assessment.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TRP guaranteed if I have a good reason to travel?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 remains discretionary; officers weigh the reason for travel against the nature and recency of the inadmissibility before deciding.</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 Temporary Resident Permit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Temporary Resident Permit allows entry to Canada despite an existing inadmissibility, issued case by case when the need to travel is found to outweigh the risk associated with the inadmissibility — useful for time-sensitive travel while a permanent solution like Criminal Rehabilitation is still pending or not yet available. This page is for people who may need temporary entry or status in Canada despite an inadmissibility concern.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 Temporary Resident Permit?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specific inadmissibility, the compelling reason for entry and whether the need is temporary.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 Temporary Resident Permit?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inadmissibility record, purpose and dates of travel, supporting need, ties, risk information and any rehabilitation evidence.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Temporary Resident Permit compare with criminal rehabilitation and other admissibility remedies?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Temporary Resident Permit is not interchangeable with criminal rehabilitation and other admissibility remedies. a TRP is discretionary and temporary; it does not permanently remove the underlying inadmissibility.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Temporary Resident Permit (TRP) automatically fix the underlying immigration problem?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can delay or weaken a a Temporary Resident Permit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 trouble spots include weak or vague purpose, missing court or medical records, applying too early for a permanent remedy and treating a temporary permit as a permanent fix. A complete package cannot cure an ineligible route, and any change in facts should be checked before filing or continuing.</w:t>
            </w:r>
          </w:p>
        </w:tc>
      </w:tr>
    </w:tbl>
    <w:p>
      <w:pPr>
        <w:spacing w:after="20"/>
      </w:pPr>
    </w:p>
    <w:p>
      <w:pPr>
        <w:pStyle w:val="Heading2"/>
        <w:keepNext/>
        <w:spacing w:before="160" w:after="100"/>
      </w:pPr>
      <w:r>
        <w:t>80. Record Suspension / Pardon</w:t>
      </w:r>
    </w:p>
    <w:p>
      <w:pPr>
        <w:pStyle w:val="BodyText"/>
        <w:spacing w:after="60" w:line="259" w:lineRule="auto"/>
      </w:pPr>
      <w:r>
        <w:rPr>
          <w:rFonts w:ascii="Arial" w:hAnsi="Arial"/>
          <w:color w:val="111827"/>
          <w:sz w:val="21"/>
        </w:rPr>
        <w:t>/inadmissibility-and-appeals/record-suspension-pardon</w:t>
      </w:r>
      <w:r>
        <w:rPr>
          <w:rFonts w:ascii="Arial" w:hAnsi="Arial"/>
          <w:color w:val="111827"/>
          <w:sz w:val="21"/>
        </w:rPr>
        <w:t xml:space="preserve">  |  </w:t>
      </w:r>
      <w:r>
        <w:rPr>
          <w:rFonts w:ascii="Arial" w:hAnsi="Arial"/>
          <w:color w:val="111827"/>
          <w:sz w:val="21"/>
        </w:rPr>
        <w:t>https://commonwealthmigration.ca/inadmissibility-and-appeals/record-suspension-pardon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this apply to my foreign conviction?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a Canadian record suspension only addresses convictions under Canadian law; a foreign conviction is addressed through Criminal Rehabilitation or Deemed Rehabilitation instead.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record suspension automatically resolve sponsorship eligibility issues?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automatically — its effect on a specific sponsorship or admissibility question should be assessed against the current facts of the case.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Record Suspension / Pardon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Canadian record suspension — commonly still called a pardon — addresses a Canadian criminal conviction specifically, generally sealing it from most background checks. Its immigration impact differs from Criminal Rehabilitation, which addresses foreign convictions.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Record Suspension / Pardon?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Record Suspension / Pardon?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Record Suspension / Pardon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Record Suspension / Pardon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Record Suspension / Pardon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Record Suspension / Pardon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81. Deemed Rehabilitation</w:t>
      </w:r>
    </w:p>
    <w:p>
      <w:pPr>
        <w:pStyle w:val="BodyText"/>
        <w:spacing w:after="60" w:line="259" w:lineRule="auto"/>
      </w:pPr>
      <w:r>
        <w:rPr>
          <w:rFonts w:ascii="Arial" w:hAnsi="Arial"/>
          <w:color w:val="111827"/>
          <w:sz w:val="21"/>
        </w:rPr>
        <w:t>/inadmissibility-and-appeals/deemed-rehabilitation</w:t>
      </w:r>
      <w:r>
        <w:rPr>
          <w:rFonts w:ascii="Arial" w:hAnsi="Arial"/>
          <w:color w:val="111827"/>
          <w:sz w:val="21"/>
        </w:rPr>
        <w:t xml:space="preserve">  |  </w:t>
      </w:r>
      <w:r>
        <w:rPr>
          <w:rFonts w:ascii="Arial" w:hAnsi="Arial"/>
          <w:color w:val="111827"/>
          <w:sz w:val="21"/>
        </w:rPr>
        <w:t>https://commonwealthmigration.ca/inadmissibility-and-appeals/deemed-rehabilitation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 I know if my conviction qualifies for Deemed Rehabilitation?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depends on the Canadian equivalent offence classification and time elapsed since the sentence was completed — a case-specific equivalency assessment is the only reliable way to confirm this.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 I need any documentation if I believe I qualify?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Carrying court and sentencing documentation is strongly advisable even for deemed cases, since border officers may still ask for evidence supporting the timeline.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Deemed Rehabilitation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Deemed Rehabilitation can automatically resolve inadmissibility for older, less serious foreign convictions once enough time has passed — without requiring a formal Criminal Rehabilitation application, provided the offence and timeline meet the applicable criteria.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Deemed Rehabilitation?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Deemed Rehabilitation?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Deemed Rehabilitation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Deemed Rehabilitation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Deemed Rehabilitation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Deemed Rehabilitation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82. Medical Inadmissibility</w:t>
      </w:r>
    </w:p>
    <w:p>
      <w:pPr>
        <w:pStyle w:val="BodyText"/>
        <w:spacing w:after="60" w:line="259" w:lineRule="auto"/>
      </w:pPr>
      <w:r>
        <w:rPr>
          <w:rFonts w:ascii="Arial" w:hAnsi="Arial"/>
          <w:color w:val="111827"/>
          <w:sz w:val="21"/>
        </w:rPr>
        <w:t>/inadmissibility-and-appeals/medical-inadmissibility</w:t>
      </w:r>
      <w:r>
        <w:rPr>
          <w:rFonts w:ascii="Arial" w:hAnsi="Arial"/>
          <w:color w:val="111827"/>
          <w:sz w:val="21"/>
        </w:rPr>
        <w:t xml:space="preserve">  |  </w:t>
      </w:r>
      <w:r>
        <w:rPr>
          <w:rFonts w:ascii="Arial" w:hAnsi="Arial"/>
          <w:color w:val="111827"/>
          <w:sz w:val="21"/>
        </w:rPr>
        <w:t>https://commonwealthmigration.ca/inadmissibility-and-appeals/medical-inadmissibility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every medical condition cause inadmissibility?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most conditions don't. Medical inadmissibility applies to a narrower set of circumstances, generally significant chronic conditions or public health/safety risks, not routine health issues.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respond if I'm found medically inadmissible?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applicants generally receive an opportunity to respond with additional information, such as an individualized plan addressing anticipated costs, before a final decision is made.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Medical Inadmissibility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medical condition can make an applicant inadmissible to Canada if it's assessed as posing a danger to public health or safety, or as likely to place excessive demand on health or social services — a distinct ground from criminal or financial inadmissibility.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Medical Inadmissibility?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Medical Inadmissibility?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Medical Inadmissibility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Medical Inadmissibility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Medical Inadmissibility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Medical Inadmissibility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83. Financial Inadmissibility</w:t>
      </w:r>
    </w:p>
    <w:p>
      <w:pPr>
        <w:pStyle w:val="BodyText"/>
        <w:spacing w:after="60" w:line="259" w:lineRule="auto"/>
      </w:pPr>
      <w:r>
        <w:rPr>
          <w:rFonts w:ascii="Arial" w:hAnsi="Arial"/>
          <w:color w:val="111827"/>
          <w:sz w:val="21"/>
        </w:rPr>
        <w:t>/inadmissibility-and-appeals/financial-inadmissibility</w:t>
      </w:r>
      <w:r>
        <w:rPr>
          <w:rFonts w:ascii="Arial" w:hAnsi="Arial"/>
          <w:color w:val="111827"/>
          <w:sz w:val="21"/>
        </w:rPr>
        <w:t xml:space="preserve">  |  </w:t>
      </w:r>
      <w:r>
        <w:rPr>
          <w:rFonts w:ascii="Arial" w:hAnsi="Arial"/>
          <w:color w:val="111827"/>
          <w:sz w:val="21"/>
        </w:rPr>
        <w:t>https://commonwealthmigration.ca/inadmissibility-and-appeals/financial-inadmissibility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there a fixed amount of money that avoids financial inadmissibility?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Not always a single fixed figure — some programs (like the Super Visa's income threshold) do have defined amounts, but general financial inadmissibility is assessed on the overall circumstances of the case.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sponsor or third party help resolve a financial inadmissibility concern?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 some circumstances, a credible support arrangement or sponsorship undertaking can help address the concern, depending on the program and specific facts.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Financial Inadmissibility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Financial inadmissibility applies when an applicant is unable or unwilling to support themselves or their dependents, and there's no arrangement in place for the necessary support — most commonly raised in the context of proof-of-funds shortfalls or dependency on social assistance.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Financial Inadmissibility?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Financial Inadmissibility?</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Financial Inadmissibility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Financial Inadmissibility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Financial Inadmissibility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Financial Inadmissibility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84. misrepresentation in Canadian immigration</w:t>
      </w:r>
    </w:p>
    <w:p>
      <w:pPr>
        <w:pStyle w:val="BodyText"/>
        <w:spacing w:after="60" w:line="259" w:lineRule="auto"/>
      </w:pPr>
      <w:r>
        <w:rPr>
          <w:rFonts w:ascii="Arial" w:hAnsi="Arial"/>
          <w:color w:val="111827"/>
          <w:sz w:val="21"/>
        </w:rPr>
        <w:t>/inadmissibility-and-appeals/misrepresentation</w:t>
      </w:r>
      <w:r>
        <w:rPr>
          <w:rFonts w:ascii="Arial" w:hAnsi="Arial"/>
          <w:color w:val="111827"/>
          <w:sz w:val="21"/>
        </w:rPr>
        <w:t xml:space="preserve">  |  </w:t>
      </w:r>
      <w:r>
        <w:rPr>
          <w:rFonts w:ascii="Arial" w:hAnsi="Arial"/>
          <w:color w:val="111827"/>
          <w:sz w:val="21"/>
        </w:rPr>
        <w:t>https://commonwealthmigration.ca/inadmissibility-and-appeals/misrepresentation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an honest mistake be treated as misrepresentation?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It's possible — the test generally focuses on whether the information was material to the decision, not solely on intent, which makes accuracy and completeness critical even for unintentional errors.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I'm found inadmissible for misrepresentation?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finding typically carries a defined bar (commonly around 5 years) on applying again, and can also affect any application currently in progress.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misrepresentation finding be challenged?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through applicable appeal or judicial review routes depending on how the finding was made — this should be pursued quickly given strict deadlines.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misrepresentation in Canadian immigration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misrepresentation finding — providing false information, omitting material facts, or submitting fraudulent documents — carries serious consequences, including a bar on applying to Canada for a set period. It's one of the most significant inadmissibility grounds because it can affect trust in future applications too. This page is for applicants responding to a possible or actual misrepresentation concern.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misrepresentation in Canadian immigration?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what information was omitted or misstated, whether it was material and which application or decision is affected.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misrepresentation in Canadian immigration?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complete application history, original records, corrected information, explanations and evidence showing how the error occurred.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misrepresentation in Canadian immigration compare with reapplication, reconsideration, appeal and judicial review?</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misrepresentation in Canadian immigration is not interchangeable with reapplication, reconsideration, appeal and judicial review. a materiality and fairness analysis is different from simply correcting a typo; the correct response depends on the decision and procedural stage.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Misrepresentation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85. Admissibility Hearing</w:t>
      </w:r>
    </w:p>
    <w:p>
      <w:pPr>
        <w:pStyle w:val="BodyText"/>
        <w:spacing w:after="60" w:line="259" w:lineRule="auto"/>
      </w:pPr>
      <w:r>
        <w:rPr>
          <w:rFonts w:ascii="Arial" w:hAnsi="Arial"/>
          <w:color w:val="111827"/>
          <w:sz w:val="21"/>
        </w:rPr>
        <w:t>/inadmissibility-and-appeals/admissibility-hearing</w:t>
      </w:r>
      <w:r>
        <w:rPr>
          <w:rFonts w:ascii="Arial" w:hAnsi="Arial"/>
          <w:color w:val="111827"/>
          <w:sz w:val="21"/>
        </w:rPr>
        <w:t xml:space="preserve">  |  </w:t>
      </w:r>
      <w:r>
        <w:rPr>
          <w:rFonts w:ascii="Arial" w:hAnsi="Arial"/>
          <w:color w:val="111827"/>
          <w:sz w:val="21"/>
        </w:rPr>
        <w:t>https://commonwealthmigration.ca/inadmissibility-and-appeals/admissibility-hearing</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have a lawyer or consultant at the hearing?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representation is generally permitted and strongly advisable given the stakes involved.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inadmissibility is confirmed?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This can result in a removal order, though further options such as an appeal (where available) or a stay of removal may still apply depending on the case.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Admissibility Hearing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An admissibility hearing before the Immigration Division determines whether a person is inadmissible to Canada on specific grounds — the outcome can include a removal order, so proper preparation and representation matter significantly.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Admissibility Hearing?</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Admissibility Hearing?</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Admissibility Hearing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Admissibility Hearing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Admissibility Hearing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Admissibility Hearing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86. Detention Review</w:t>
      </w:r>
    </w:p>
    <w:p>
      <w:pPr>
        <w:pStyle w:val="BodyText"/>
        <w:spacing w:after="60" w:line="259" w:lineRule="auto"/>
      </w:pPr>
      <w:r>
        <w:rPr>
          <w:rFonts w:ascii="Arial" w:hAnsi="Arial"/>
          <w:color w:val="111827"/>
          <w:sz w:val="21"/>
        </w:rPr>
        <w:t>/inadmissibility-and-appeals/detention-review</w:t>
      </w:r>
      <w:r>
        <w:rPr>
          <w:rFonts w:ascii="Arial" w:hAnsi="Arial"/>
          <w:color w:val="111827"/>
          <w:sz w:val="21"/>
        </w:rPr>
        <w:t xml:space="preserve">  |  </w:t>
      </w:r>
      <w:r>
        <w:rPr>
          <w:rFonts w:ascii="Arial" w:hAnsi="Arial"/>
          <w:color w:val="111827"/>
          <w:sz w:val="21"/>
        </w:rPr>
        <w:t>https://commonwealthmigration.ca/inadmissibility-and-appeals/detention-review</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often do detention reviews happen?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An initial review typically occurs within 48 hours of detention, with further reviews at defined intervals afterward — specific timing should be confirmed for the current case.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else post a bond for release?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a bondsperson can often support release by posting a financial bond and agreeing to specific conditions, subject to the Immigration Division's assessment.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Detention Review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Individuals held in immigration detention are entitled to periodic detention reviews before the Immigration Division, which assesses whether continued detention remains justified or whether release — potentially with conditions — is appropriate.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Detention Review?</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Detention Review?</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Detention Review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Detention Review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Detention Review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Detention Review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87. Removal Order</w:t>
      </w:r>
    </w:p>
    <w:p>
      <w:pPr>
        <w:pStyle w:val="BodyText"/>
        <w:spacing w:after="60" w:line="259" w:lineRule="auto"/>
      </w:pPr>
      <w:r>
        <w:rPr>
          <w:rFonts w:ascii="Arial" w:hAnsi="Arial"/>
          <w:color w:val="111827"/>
          <w:sz w:val="21"/>
        </w:rPr>
        <w:t>/inadmissibility-and-appeals/removal-order</w:t>
      </w:r>
      <w:r>
        <w:rPr>
          <w:rFonts w:ascii="Arial" w:hAnsi="Arial"/>
          <w:color w:val="111827"/>
          <w:sz w:val="21"/>
        </w:rPr>
        <w:t xml:space="preserve">  |  </w:t>
      </w:r>
      <w:r>
        <w:rPr>
          <w:rFonts w:ascii="Arial" w:hAnsi="Arial"/>
          <w:color w:val="111827"/>
          <w:sz w:val="21"/>
        </w:rPr>
        <w:t>https://commonwealthmigration.ca/inadmissibility-and-appeals/removal-order</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difference between these order types in practice?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type of order affects both the bar on returning to Canada and what's needed to come back later — a departure order carries the fewest long-term consequences if confirmed properly, while a deportation order is the most serious.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a removal order be appealed?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Depending on the circumstances and the person's status, an appeal to the Immigration Appeal Division or another response like judicial review may be available — this should be assessed urgently given strict deadlines.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Removal Order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removal order requires a person to leave Canada, and comes in one of three forms with different long-term consequences. Understanding which type applies — and what response options remain available — is critical to managing the situation.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Removal Order?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Removal Order?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Removal Order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Removal Order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Removal Order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Removal Order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88. Stay of Removal</w:t>
      </w:r>
    </w:p>
    <w:p>
      <w:pPr>
        <w:pStyle w:val="BodyText"/>
        <w:spacing w:after="60" w:line="259" w:lineRule="auto"/>
      </w:pPr>
      <w:r>
        <w:rPr>
          <w:rFonts w:ascii="Arial" w:hAnsi="Arial"/>
          <w:color w:val="111827"/>
          <w:sz w:val="21"/>
        </w:rPr>
        <w:t>/inadmissibility-and-appeals/stay-of-removal</w:t>
      </w:r>
      <w:r>
        <w:rPr>
          <w:rFonts w:ascii="Arial" w:hAnsi="Arial"/>
          <w:color w:val="111827"/>
          <w:sz w:val="21"/>
        </w:rPr>
        <w:t xml:space="preserve">  |  </w:t>
      </w:r>
      <w:r>
        <w:rPr>
          <w:rFonts w:ascii="Arial" w:hAnsi="Arial"/>
          <w:color w:val="111827"/>
          <w:sz w:val="21"/>
        </w:rPr>
        <w:t>https://commonwealthmigration.ca/inadmissibility-and-appeals/stay-of-removal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urgently do I need to act if I have a removal date?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Very urgently — stay applications generally need to be filed and decided before the scheduled removal date, so any delay significantly narrows the available options.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stay cancel the removal order permanently?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 only pauses enforcement while the underlying issue (appeal, court process, or risk assessment) is resolved; the order itself remains in place unless separately overturned.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Stay of Removal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stay of removal temporarily pauses enforcement of a removal order, often sought urgently when new circumstances, a pending appeal, or a risk assessment justify delaying departure while a separate process concludes.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Stay of Removal?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Stay of Removal?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Stay of Removal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Stay of Removal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Stay of Removal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Stay of Removal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89. Deferral Request</w:t>
      </w:r>
    </w:p>
    <w:p>
      <w:pPr>
        <w:pStyle w:val="BodyText"/>
        <w:spacing w:after="60" w:line="259" w:lineRule="auto"/>
      </w:pPr>
      <w:r>
        <w:rPr>
          <w:rFonts w:ascii="Arial" w:hAnsi="Arial"/>
          <w:color w:val="111827"/>
          <w:sz w:val="21"/>
        </w:rPr>
        <w:t>/inadmissibility-and-appeals/deferral-request</w:t>
      </w:r>
      <w:r>
        <w:rPr>
          <w:rFonts w:ascii="Arial" w:hAnsi="Arial"/>
          <w:color w:val="111827"/>
          <w:sz w:val="21"/>
        </w:rPr>
        <w:t xml:space="preserve">  |  </w:t>
      </w:r>
      <w:r>
        <w:rPr>
          <w:rFonts w:ascii="Arial" w:hAnsi="Arial"/>
          <w:color w:val="111827"/>
          <w:sz w:val="21"/>
        </w:rPr>
        <w:t>https://commonwealthmigration.ca/inadmissibility-and-appeals/deferral-request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counts as a valid reason for a deferral request?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Examples can include a documented medical emergency, inability to obtain travel documents in time, or the best interests of a child directly affected — each case is assessed narrowly on its own facts.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a deferral request likely to succeed on its own?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It's a discretionary decision with a relatively narrow success rate; in many cases, it's pursued alongside other options like a stay motion rather than as a sole strategy.</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Deferral Request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deferral request asks the Canada Border Services Agency (CBSA) directly to postpone a scheduled removal, generally for a limited set of practical or humanitarian reasons — distinct from a formal stay of removal sought through a tribunal or the Federal Court.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Deferral Request?</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Deferral Request?</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Deferral Request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Deferral Request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Deferral Request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Deferral Request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90. ARC — Authorization to Return to Canada</w:t>
      </w:r>
    </w:p>
    <w:p>
      <w:pPr>
        <w:pStyle w:val="BodyText"/>
        <w:spacing w:after="60" w:line="259" w:lineRule="auto"/>
      </w:pPr>
      <w:r>
        <w:rPr>
          <w:rFonts w:ascii="Arial" w:hAnsi="Arial"/>
          <w:color w:val="111827"/>
          <w:sz w:val="21"/>
        </w:rPr>
        <w:t>/inadmissibility-and-appeals/arc-authorization-to-return-to-canada</w:t>
      </w:r>
      <w:r>
        <w:rPr>
          <w:rFonts w:ascii="Arial" w:hAnsi="Arial"/>
          <w:color w:val="111827"/>
          <w:sz w:val="21"/>
        </w:rPr>
        <w:t xml:space="preserve">  |  </w:t>
      </w:r>
      <w:r>
        <w:rPr>
          <w:rFonts w:ascii="Arial" w:hAnsi="Arial"/>
          <w:color w:val="111827"/>
          <w:sz w:val="21"/>
        </w:rPr>
        <w:t>https://commonwealthmigration.ca/inadmissibility-and-appeals/arc-authorization-to-return-to-canada</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does an ARC application need to show?</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Generally, a clear explanation of the circumstances of the original order, evidence of changed circumstances or rehabilitation where relevant, and the purpose of the intended return.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apply for a visa and an ARC at the same time?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in many cases, an ARC application is filed together with the visa or permit application for the intended trip, though this should be confirmed against current process requirements.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ARC — Authorization to Return to Canada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An Authorization to Return to Canada (ARC) is required for individuals previously subject to a deportation order, or an exclusion order within its applicable bar period, who wish to return to Canada before that bar would otherwise expire.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ARC — Authorization to Return to Canada?</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ARC — Authorization to Return to Canada?</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ARC — Authorization to Return to Canada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ARC — Authorization to Return to Canada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ARC — Authorization to Return to Canada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ARC — Authorization to Return to Canada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91. Sponsorship Appeal (IAD)</w:t>
      </w:r>
    </w:p>
    <w:p>
      <w:pPr>
        <w:pStyle w:val="BodyText"/>
        <w:spacing w:after="60" w:line="259" w:lineRule="auto"/>
      </w:pPr>
      <w:r>
        <w:rPr>
          <w:rFonts w:ascii="Arial" w:hAnsi="Arial"/>
          <w:color w:val="111827"/>
          <w:sz w:val="21"/>
        </w:rPr>
        <w:t>/inadmissibility-and-appeals/sponsorship-appeal-iad</w:t>
      </w:r>
      <w:r>
        <w:rPr>
          <w:rFonts w:ascii="Arial" w:hAnsi="Arial"/>
          <w:color w:val="111827"/>
          <w:sz w:val="21"/>
        </w:rPr>
        <w:t xml:space="preserve">  |  </w:t>
      </w:r>
      <w:r>
        <w:rPr>
          <w:rFonts w:ascii="Arial" w:hAnsi="Arial"/>
          <w:color w:val="111827"/>
          <w:sz w:val="21"/>
        </w:rPr>
        <w:t>https://commonwealthmigration.ca/inadmissibility-and-appeals/sponsorship-appeal-iad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deadline to file a sponsorship appeal?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strict deadline (commonly 30 days from the refusal decision) applies — missing it generally forfeits the right to appeal entirely.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I win an appeal with evidence that wasn't in my original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Yes — this is one of the IAD's key features; new evidence can be introduced to address the concerns that led to the original refusal.</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Sponsorship Appeal (IAD)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Most refused family sponsorship applications can be appealed to the Immigration Appeal Division (IAD), an independent tribunal that reviews the case afresh — including new evidence not seen by the original decision-maker.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Sponsorship Appeal (IAD)?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Sponsorship Appeal (IAD)?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Sponsorship Appeal (IAD)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Sponsorship Appeal (IAD)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Sponsorship Appeal (IAD)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Sponsorship Appeal (IAD)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92. Removal Order Appeal</w:t>
      </w:r>
    </w:p>
    <w:p>
      <w:pPr>
        <w:pStyle w:val="BodyText"/>
        <w:spacing w:after="60" w:line="259" w:lineRule="auto"/>
      </w:pPr>
      <w:r>
        <w:rPr>
          <w:rFonts w:ascii="Arial" w:hAnsi="Arial"/>
          <w:color w:val="111827"/>
          <w:sz w:val="21"/>
        </w:rPr>
        <w:t>/inadmissibility-and-appeals/removal-order-appeal</w:t>
      </w:r>
      <w:r>
        <w:rPr>
          <w:rFonts w:ascii="Arial" w:hAnsi="Arial"/>
          <w:color w:val="111827"/>
          <w:sz w:val="21"/>
        </w:rPr>
        <w:t xml:space="preserve">  |  </w:t>
      </w:r>
      <w:r>
        <w:rPr>
          <w:rFonts w:ascii="Arial" w:hAnsi="Arial"/>
          <w:color w:val="111827"/>
          <w:sz w:val="21"/>
        </w:rPr>
        <w:t>https://commonwealthmigration.ca/inadmissibility-and-appeals/removal-order-appeal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Who is eligible to appeal a removal order?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Eligibility generally depends on status (commonly permanent residents and certain protected persons) — some categories, particularly those involving serious criminality, may have limited or no appeal rights.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the appeal is denied?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Further options can include a Federal Court judicial review application, though this is a narrower review than the IAD's own hearing.</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Removal Order Appeal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Permanent residents and certain protected persons facing a removal order may have the right to appeal to the Immigration Appeal Division, which can consider both the legal validity of the order and humanitarian and compassionate factors.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Removal Order Appeal?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Removal Order Appeal?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Removal Order Appeal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Removal Order Appeal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Removal Order Appeal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Removal Order Appeal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93. Residency Obligation Appeal</w:t>
      </w:r>
    </w:p>
    <w:p>
      <w:pPr>
        <w:pStyle w:val="BodyText"/>
        <w:spacing w:after="60" w:line="259" w:lineRule="auto"/>
      </w:pPr>
      <w:r>
        <w:rPr>
          <w:rFonts w:ascii="Arial" w:hAnsi="Arial"/>
          <w:color w:val="111827"/>
          <w:sz w:val="21"/>
        </w:rPr>
        <w:t>/inadmissibility-and-appeals/residency-obligation-appeal</w:t>
      </w:r>
      <w:r>
        <w:rPr>
          <w:rFonts w:ascii="Arial" w:hAnsi="Arial"/>
          <w:color w:val="111827"/>
          <w:sz w:val="21"/>
        </w:rPr>
        <w:t xml:space="preserve">  |  </w:t>
      </w:r>
      <w:r>
        <w:rPr>
          <w:rFonts w:ascii="Arial" w:hAnsi="Arial"/>
          <w:color w:val="111827"/>
          <w:sz w:val="21"/>
        </w:rPr>
        <w:t>https://commonwealthmigration.ca/inadmissibility-and-appeals/residency-obligation-appeal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if I don't qualify for any of the standard exceptions?</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IAD can still consider humanitarian and compassionate factors — such as establishment, family ties, and hardship — even where none of the formal exceptions strictly apply.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is the 730-day count actually calculated?</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It's measured within any rolling 5-year period, not a fixed calendar window — meaning the specific dates counted can shift depending on when the assessment is made.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Residency Obligation Appeal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Permanent residents found to have not met the 730-day residency obligation can appeal that finding to the Immigration Appeal Division, which can consider both qualifying exceptions to the residency count and broader humanitarian and compassionate factors.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Residency Obligation Appeal?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Residency Obligation Appeal?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Residency Obligation Appeal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Residency Obligation Appeal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Residency Obligation Appeal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Residency Obligation Appeal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94. Federal Court judicial review</w:t>
      </w:r>
    </w:p>
    <w:p>
      <w:pPr>
        <w:pStyle w:val="BodyText"/>
        <w:spacing w:after="60" w:line="259" w:lineRule="auto"/>
      </w:pPr>
      <w:r>
        <w:rPr>
          <w:rFonts w:ascii="Arial" w:hAnsi="Arial"/>
          <w:color w:val="111827"/>
          <w:sz w:val="21"/>
        </w:rPr>
        <w:t>/inadmissibility-and-appeals/judicial-review-federal-court</w:t>
      </w:r>
      <w:r>
        <w:rPr>
          <w:rFonts w:ascii="Arial" w:hAnsi="Arial"/>
          <w:color w:val="111827"/>
          <w:sz w:val="21"/>
        </w:rPr>
        <w:t xml:space="preserve">  |  </w:t>
      </w:r>
      <w:r>
        <w:rPr>
          <w:rFonts w:ascii="Arial" w:hAnsi="Arial"/>
          <w:color w:val="111827"/>
          <w:sz w:val="21"/>
        </w:rPr>
        <w:t>https://commonwealthmigration.ca/inadmissibility-and-appeals/judicial-review-federal-court</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judicial review the same as an appeal?</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it's a narrower legal review focused on whether the decision-making process was reasonable and lawful, not a full reassessment of the facts the way an appeal typically is.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What's the deadline to apply?</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Deadlines are strict and vary depending on whether the decision was made inside or outside Canada — this should be confirmed immediately upon receiving an unfavourable decision.</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happens if I win?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 matter is generally sent back to be redetermined by a different decision-maker, rather than the Court substituting its own final decision.</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Federal Court judicial review and who is this page for?</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When no appeal route is available — or an appeal has been unsuccessful — Federal Court judicial review offers a narrower form of oversight, examining whether the original decision was made reasonably and lawfully, rather than reassessing the underlying facts from scratch. This page is for people challenging an immigration decision for legal, procedural or reasonableness concerns. The final answer depends on the applicant's facts and the current official rules.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Federal Court judicial review?</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decision date, statutory deadline, decision record and whether the issue is suitable for judicial review rather than an appeal. That first screen determines whether the route is worth pursuing and which evidence needs to be collected; a general score or profile similarity is not enough.</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Federal Court judicial review?</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decision, reasons, application record, correspondence, evidence and proof of service or filing where applicable. The exact checklist varies by stream and personal history, so each document should support a consistent timeline and the specific facts being claimed.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Federal Court judicial review compare with an appeal, reconsideration request and a stay motion?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Federal Court judicial review is not interchangeable with an appeal, reconsideration request and a stay motion. judicial review asks the Court to review the legality and fairness of a decision; it is not a second application that guarantees the desired immigration outcome. The right choice depends on the person’s facts, timing and evidence, not on a generic promise that one route is fastest.</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Is judicial review the same as an immigration appeal?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Judicial review examines the decision-making process and legal reasonableness within a court process. The available grounds and deadlines depend on the decision type.</w:t>
            </w:r>
          </w:p>
        </w:tc>
      </w:tr>
    </w:tbl>
    <w:p>
      <w:pPr>
        <w:spacing w:after="20"/>
      </w:pPr>
    </w:p>
    <w:p>
      <w:pPr>
        <w:pStyle w:val="Heading2"/>
        <w:keepNext/>
        <w:spacing w:before="160" w:after="100"/>
      </w:pPr>
      <w:r>
        <w:t>95. Stay Motion</w:t>
      </w:r>
    </w:p>
    <w:p>
      <w:pPr>
        <w:pStyle w:val="BodyText"/>
        <w:spacing w:after="60" w:line="259" w:lineRule="auto"/>
      </w:pPr>
      <w:r>
        <w:rPr>
          <w:rFonts w:ascii="Arial" w:hAnsi="Arial"/>
          <w:color w:val="111827"/>
          <w:sz w:val="21"/>
        </w:rPr>
        <w:t>/inadmissibility-and-appeals/stay-motion</w:t>
      </w:r>
      <w:r>
        <w:rPr>
          <w:rFonts w:ascii="Arial" w:hAnsi="Arial"/>
          <w:color w:val="111827"/>
          <w:sz w:val="21"/>
        </w:rPr>
        <w:t xml:space="preserve">  |  </w:t>
      </w:r>
      <w:r>
        <w:rPr>
          <w:rFonts w:ascii="Arial" w:hAnsi="Arial"/>
          <w:color w:val="111827"/>
          <w:sz w:val="21"/>
        </w:rPr>
        <w:t>https://commonwealthmigration.ca/inadmissibility-and-appeals/stay-motion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quickly does a stay motion need to be filed?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As soon as possible once a removal date is known — these motions are frequently filed within days, and courts expect diligence in bringing them promptly.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filing a stay motion automatically pause removal?</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the Court must grant the stay after considering the three-part test; filing alone doesn't pause enforcement unless and until the motion is granted.</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Stay Motion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stay motion is an urgent Federal Court application to pause a removal while a related judicial review application is pending — typically filed on very short notice when a removal date is imminent. This page is for a person or family responding to a refusal, inadmissibility concern, removal process or legal remedy.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Stay Motion?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exact decision, notice, deadline, forum and legal test that applies to the person’s file.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Stay Motion?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the refusal or removal record, complete application history, identity and status records, court or police documents where relevant, and evidence addressing the specific legal concern.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Stay Motion compare with the alternative remedy or procedural step described on the page?</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Stay Motion is not interchangeable with the alternative remedy or procedural step described on the page. each remedy has its own decision-maker, test, deadline and available outcome; a reapplication, appeal, judicial review, stay or permit is not interchangeable.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Can someone choose Stay Motion without reviewing the decision record?</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They should not. The decision record and deadline determine whether this route is available and what evidence can be considered. Acting on a general description alone can waste a time-sensitive remedy.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Stay Motion automatically fix the underlying immigration problem?</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bl>
    <w:p>
      <w:pPr>
        <w:spacing w:after="20"/>
      </w:pPr>
    </w:p>
    <w:p>
      <w:pPr>
        <w:pStyle w:val="Heading2"/>
        <w:keepNext/>
        <w:spacing w:before="160" w:after="100"/>
      </w:pPr>
      <w:r>
        <w:t>96. a mandamus application</w:t>
      </w:r>
    </w:p>
    <w:p>
      <w:pPr>
        <w:pStyle w:val="BodyText"/>
        <w:spacing w:after="60" w:line="259" w:lineRule="auto"/>
      </w:pPr>
      <w:r>
        <w:rPr>
          <w:rFonts w:ascii="Arial" w:hAnsi="Arial"/>
          <w:color w:val="111827"/>
          <w:sz w:val="21"/>
        </w:rPr>
        <w:t>/inadmissibility-and-appeals/mandamus-application</w:t>
      </w:r>
      <w:r>
        <w:rPr>
          <w:rFonts w:ascii="Arial" w:hAnsi="Arial"/>
          <w:color w:val="111827"/>
          <w:sz w:val="21"/>
        </w:rPr>
        <w:t xml:space="preserve">  |  </w:t>
      </w:r>
      <w:r>
        <w:rPr>
          <w:rFonts w:ascii="Arial" w:hAnsi="Arial"/>
          <w:color w:val="111827"/>
          <w:sz w:val="21"/>
        </w:rPr>
        <w:t>https://commonwealthmigration.ca/inadmissibility-and-appeals/mandamus-application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Status</w:t>
            </w:r>
          </w:p>
        </w:tc>
        <w:tc>
          <w:tcPr>
            <w:tcW w:type="dxa" w:w="338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FAQ question</w:t>
            </w:r>
          </w:p>
        </w:tc>
        <w:tc>
          <w:tcPr>
            <w:tcW w:type="dxa" w:w="56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4"/>
              </w:rPr>
              <w:t>Recommended answer</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a mandamus application guarantee approval of my case?</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 it only compels IRCC to make a decision within a set timeframe; it doesn't influence what that decision will be.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KEEP</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long does an application need to be delayed before mandamus applies?</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There's no fixed universal threshold — the court considers what's reasonable for that specific application type and circumstances, so this should be assessed case by case.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is a mandamus application and who is this page for?</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mandamus application asks the Federal Court to order IRCC to make a decision on an application that has been unreasonably delayed — used specifically for delay, not to challenge the substance of a decision that hasn't been made yet. This page is for applicants facing a potentially unreasonable delay where an authority has a duty to decide. The final answer depends on the applicant's facts and the current official rules.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should I check first for a mandamus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Start with the history and length of delay, steps already taken, the duty to decide and whether another adequate remedy exists. That first screen determines whether the route is worth pursuing and which evidence needs to be collected; a general score or profile similarity is not enough.</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documents are important for a mandamus application?</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Commonly relevant evidence includes submission confirmations, application status, correspondence, processing history and evidence of the prejudice caused by the delay. The exact checklist varies by stream and personal history, so each document should support a consistent timeline and the specific facts being claimed.</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How does a mandamus application compare with a status inquiry, complaint or judicial-review challenge to a decision?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 mandamus application is not interchangeable with a status inquiry, complaint or judicial-review challenge to a decision. mandamus seeks an order requiring a decision, not an order approving the underlying immigration application. The right choice depends on the person’s facts, timing and evidence, not on a generic promise that one route is fastest.</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Does Mandamus Application automatically fix the underlying immigration problem?</w:t>
            </w:r>
          </w:p>
        </w:tc>
        <w:tc>
          <w:tcPr>
            <w:tcW w:type="dxa" w:w="56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No. It is a focused process or remedy. Its result depends on the legal test, evidence, timing and decision-maker; it should not be presented as a guaranteed cure.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ADD</w:t>
            </w:r>
          </w:p>
        </w:tc>
        <w:tc>
          <w:tcPr>
            <w:tcW w:type="dxa" w:w="338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What can delay or weaken a a mandamus application application?</w:t>
            </w:r>
          </w:p>
        </w:tc>
        <w:tc>
          <w:tcPr>
            <w:tcW w:type="dxa" w:w="56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4"/>
              </w:rPr>
              <w:t>Common trouble spots include filing before the delay is unreasonable, relying on generic processing-time claims, omitting case history and asking for approval instead of a decision. A complete package cannot cure an ineligible route, and any change in facts should be checked before filing or continuing.</w:t>
            </w:r>
          </w:p>
        </w:tc>
      </w:tr>
    </w:tbl>
    <w:p>
      <w:pPr>
        <w:spacing w:after="20"/>
      </w:pPr>
    </w:p>
    <w:p>
      <w:pPr>
        <w:pStyle w:val="Heading1"/>
        <w:keepNext/>
        <w:spacing w:before="240" w:after="100"/>
      </w:pPr>
      <w:r>
        <w:t>GEO and AEO findings</w:t>
      </w:r>
    </w:p>
    <w:p>
      <w:pPr>
        <w:pStyle w:val="Heading2"/>
        <w:keepNext/>
        <w:spacing w:before="160" w:after="100"/>
      </w:pPr>
      <w:r>
        <w:t>Generative Engine Optimization</w:t>
      </w:r>
    </w:p>
    <w:p>
      <w:pPr>
        <w:pStyle w:val="BodyText"/>
        <w:spacing w:after="120" w:line="259" w:lineRule="auto"/>
      </w:pPr>
      <w:r>
        <w:rPr>
          <w:rFonts w:ascii="Arial" w:hAnsi="Arial"/>
          <w:b/>
          <w:color w:val="111827"/>
          <w:sz w:val="21"/>
        </w:rPr>
        <w:t xml:space="preserve">GEO assessment. </w:t>
      </w:r>
      <w:r>
        <w:rPr>
          <w:rFonts w:ascii="Arial" w:hAnsi="Arial"/>
          <w:color w:val="111827"/>
          <w:sz w:val="21"/>
        </w:rPr>
        <w:t>The site has useful raw material for AI-generated answers: named service categories, an RCIC identity, official-source links, visible process language, tools, FAQs and a wide page library. The main weakness is consistency. Generative systems are more likely to trust and cite an entity when the name, representative, licence, address, regulator and social profiles agree across visible copy, schema, footer and external profiles.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94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Signal</w:t>
            </w:r>
          </w:p>
        </w:tc>
        <w:tc>
          <w:tcPr>
            <w:tcW w:type="dxa" w:w="396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Current state</w:t>
            </w:r>
          </w:p>
        </w:tc>
        <w:tc>
          <w:tcPr>
            <w:tcW w:type="dxa" w:w="345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Recommended improvement</w:t>
            </w:r>
          </w:p>
        </w:tc>
      </w:tr>
      <w:tr>
        <w:trPr>
          <w:cantSplit/>
        </w:trPr>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Entity identity</w:t>
            </w:r>
          </w:p>
        </w:tc>
        <w:tc>
          <w:tcPr>
            <w:tcW w:type="dxa" w:w="396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Commonwealth Migration Group Inc., Commonwealth Migration and CMG appear as related names.</w:t>
            </w:r>
          </w:p>
        </w:tc>
        <w:tc>
          <w:tcPr>
            <w:tcW w:type="dxa" w:w="34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Define the legal entity, trading name and service brand consistently in visible copy and schema.</w:t>
            </w:r>
          </w:p>
        </w:tc>
      </w:tr>
      <w:tr>
        <w:trPr>
          <w:cantSplit/>
        </w:trPr>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Representative identity</w:t>
            </w:r>
          </w:p>
        </w:tc>
        <w:tc>
          <w:tcPr>
            <w:tcW w:type="dxa" w:w="396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Vishal Arora / R711592 appears in legal and visible consultant copy; R705959 appears in global configuration/footer and a CICC link.</w:t>
            </w:r>
          </w:p>
        </w:tc>
        <w:tc>
          <w:tcPr>
            <w:tcW w:type="dxa" w:w="34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Verify and clearly distinguish firm licence(s), individual RCIC(s) and CICC profile URLs.</w:t>
            </w:r>
          </w:p>
        </w:tc>
      </w:tr>
      <w:tr>
        <w:trPr>
          <w:cantSplit/>
        </w:trPr>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First-party evidence</w:t>
            </w:r>
          </w:p>
        </w:tc>
        <w:tc>
          <w:tcPr>
            <w:tcW w:type="dxa" w:w="396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Homepage shows track-record numbers, success gallery and expertise areas.</w:t>
            </w:r>
          </w:p>
        </w:tc>
        <w:tc>
          <w:tcPr>
            <w:tcW w:type="dxa" w:w="34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Attach methodology/date/scope to material claims such as case counts or LMIA counts; keep only claims the business can document.</w:t>
            </w:r>
          </w:p>
        </w:tc>
      </w:tr>
      <w:tr>
        <w:trPr>
          <w:cantSplit/>
        </w:trPr>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Official sources</w:t>
            </w:r>
          </w:p>
        </w:tc>
        <w:tc>
          <w:tcPr>
            <w:tcW w:type="dxa" w:w="396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IRCC, CICC, ESDC, CBSA and other authority links appear in the template.</w:t>
            </w:r>
          </w:p>
        </w:tc>
        <w:tc>
          <w:tcPr>
            <w:tcW w:type="dxa" w:w="34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Use page-specific official sources adjacent to claims and record a visible “last reviewed” process.</w:t>
            </w:r>
          </w:p>
        </w:tc>
      </w:tr>
      <w:tr>
        <w:trPr>
          <w:cantSplit/>
        </w:trPr>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Authorship and freshness</w:t>
            </w:r>
          </w:p>
        </w:tc>
        <w:tc>
          <w:tcPr>
            <w:tcW w:type="dxa" w:w="396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Some source data has lastModified dates, but page-level reviewer/byline signals are limited.</w:t>
            </w:r>
          </w:p>
        </w:tc>
        <w:tc>
          <w:tcPr>
            <w:tcW w:type="dxa" w:w="345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Add a consistent reviewer/date line in text where appropriate without changing the visual system; do not invent credentials.</w:t>
            </w:r>
          </w:p>
        </w:tc>
      </w:tr>
      <w:tr>
        <w:trPr>
          <w:cantSplit/>
        </w:trPr>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Original insight</w:t>
            </w:r>
          </w:p>
        </w:tc>
        <w:tc>
          <w:tcPr>
            <w:tcW w:type="dxa" w:w="396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Many pages use a common visual/content frame.</w:t>
            </w:r>
          </w:p>
        </w:tc>
        <w:tc>
          <w:tcPr>
            <w:tcW w:type="dxa" w:w="345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Add unique case-pattern explanations, decision checklists and “when this route is not a fit” guidance around the frozen tables.</w:t>
            </w:r>
          </w:p>
        </w:tc>
      </w:tr>
    </w:tbl>
    <w:p>
      <w:pPr>
        <w:spacing w:after="20"/>
      </w:pPr>
    </w:p>
    <w:p>
      <w:pPr>
        <w:pStyle w:val="Heading2"/>
        <w:keepNext/>
        <w:spacing w:before="160" w:after="100"/>
      </w:pPr>
      <w:r>
        <w:t>Answer Engine Optimization</w:t>
      </w:r>
    </w:p>
    <w:p>
      <w:pPr>
        <w:pStyle w:val="BodyText"/>
        <w:spacing w:after="120" w:line="259" w:lineRule="auto"/>
      </w:pPr>
      <w:r>
        <w:rPr>
          <w:rFonts w:ascii="Arial" w:hAnsi="Arial"/>
          <w:b/>
          <w:color w:val="111827"/>
          <w:sz w:val="21"/>
        </w:rPr>
        <w:t xml:space="preserve">AEO assessment. </w:t>
      </w:r>
      <w:r>
        <w:rPr>
          <w:rFonts w:ascii="Arial" w:hAnsi="Arial"/>
          <w:color w:val="111827"/>
          <w:sz w:val="21"/>
        </w:rPr>
        <w:t>The homepage and service templates already make answers available through headings, paragraphs, FAQ controls and tables. The opportunity is to make those answers more query-shaped and consistently eligible for machine understanding without marking up content that does not meet the relevant structured-data guidelines.</w:t>
      </w:r>
    </w:p>
    <w:p>
      <w:pPr>
        <w:pStyle w:val="ListBullet"/>
        <w:spacing w:after="60" w:line="252" w:lineRule="auto"/>
      </w:pPr>
      <w:r>
        <w:rPr>
          <w:rFonts w:ascii="Arial" w:hAnsi="Arial"/>
          <w:color w:val="111827"/>
          <w:sz w:val="20"/>
        </w:rPr>
        <w:t>Add a short direct answer near the top of priority service pages: what the program is, who it is for, what the first decision is and what the reader should verify next.</w:t>
      </w:r>
    </w:p>
    <w:p>
      <w:pPr>
        <w:pStyle w:val="ListBullet"/>
        <w:spacing w:after="60" w:line="252" w:lineRule="auto"/>
      </w:pPr>
      <w:r>
        <w:rPr>
          <w:rFonts w:ascii="Arial" w:hAnsi="Arial"/>
          <w:color w:val="111827"/>
          <w:sz w:val="20"/>
        </w:rPr>
        <w:t>Use 3-5 page-specific FAQ questions on priority money pages. Keep answers visible in the DOM and ensure every FAQ answer exactly matches the visible text.</w:t>
      </w:r>
    </w:p>
    <w:p>
      <w:pPr>
        <w:pStyle w:val="ListBullet"/>
        <w:spacing w:after="60" w:line="252" w:lineRule="auto"/>
      </w:pPr>
      <w:r>
        <w:rPr>
          <w:rFonts w:ascii="Arial" w:hAnsi="Arial"/>
          <w:color w:val="111827"/>
          <w:sz w:val="20"/>
        </w:rPr>
        <w:t>Use WebPage, BreadcrumbList and Service markup where it accurately describes the page. Use FAQPage only for genuine visible FAQs and do not assume markup guarantees a rich result.</w:t>
      </w:r>
    </w:p>
    <w:p>
      <w:pPr>
        <w:pStyle w:val="ListBullet"/>
        <w:spacing w:after="60" w:line="252" w:lineRule="auto"/>
      </w:pPr>
      <w:r>
        <w:rPr>
          <w:rFonts w:ascii="Arial" w:hAnsi="Arial"/>
          <w:color w:val="111827"/>
          <w:sz w:val="20"/>
        </w:rPr>
        <w:t>Do not use QAPage for ordinary site-written FAQs. Google’s current guidance distinguishes QAPage from FAQ content where users cannot submit alternative answers.</w:t>
      </w:r>
    </w:p>
    <w:p>
      <w:pPr>
        <w:pStyle w:val="ListBullet"/>
        <w:spacing w:after="60" w:line="252" w:lineRule="auto"/>
      </w:pPr>
      <w:r>
        <w:rPr>
          <w:rFonts w:ascii="Arial" w:hAnsi="Arial"/>
          <w:color w:val="111827"/>
          <w:sz w:val="20"/>
        </w:rPr>
        <w:t>For official data tables, add a descriptive heading and source link around the table, but never rewrite an official value to fit a keyword.</w:t>
      </w:r>
    </w:p>
    <w:p>
      <w:pPr>
        <w:pStyle w:val="Heading1"/>
        <w:keepNext/>
        <w:spacing w:before="240" w:after="100"/>
      </w:pPr>
      <w:r>
        <w:t>Prioritized implementation matrix</w:t>
      </w:r>
    </w:p>
    <w:p>
      <w:pPr>
        <w:pStyle w:val="BodyText"/>
        <w:spacing w:after="120" w:line="259" w:lineRule="auto"/>
      </w:pPr>
      <w:r>
        <w:rPr>
          <w:rFonts w:ascii="Arial" w:hAnsi="Arial"/>
          <w:b/>
          <w:color w:val="111827"/>
          <w:sz w:val="21"/>
        </w:rPr>
        <w:t xml:space="preserve">Recommended sequence. </w:t>
      </w:r>
      <w:r>
        <w:rPr>
          <w:rFonts w:ascii="Arial" w:hAnsi="Arial"/>
          <w:color w:val="111827"/>
          <w:sz w:val="21"/>
        </w:rPr>
        <w:t>The order below is designed to protect conversion, regulatory trust and search clarity first. It intentionally keeps the existing visual UI/UX and official table data out of scope for modification.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79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Priority</w:t>
            </w:r>
          </w:p>
        </w:tc>
        <w:tc>
          <w:tcPr>
            <w:tcW w:type="dxa" w:w="3816"/>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Work item</w:t>
            </w:r>
          </w:p>
        </w:tc>
        <w:tc>
          <w:tcPr>
            <w:tcW w:type="dxa" w:w="223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Impact</w:t>
            </w:r>
          </w:p>
        </w:tc>
        <w:tc>
          <w:tcPr>
            <w:tcW w:type="dxa" w:w="115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Effort</w:t>
            </w:r>
          </w:p>
        </w:tc>
        <w:tc>
          <w:tcPr>
            <w:tcW w:type="dxa" w:w="194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5"/>
              </w:rPr>
              <w:t>Owner / evidence of done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P0</w:t>
            </w:r>
          </w:p>
        </w:tc>
        <w:tc>
          <w:tcPr>
            <w:tcW w:type="dxa" w:w="38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Verify RCIC/entity/address/social facts and replace conflicting or placeholder public signals.</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Very high trust, local and AI visibility impact.</w:t>
            </w:r>
          </w:p>
        </w:tc>
        <w:tc>
          <w:tcPr>
            <w:tcW w:type="dxa" w:w="115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Small to medium</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Business/regulatory owner; verified CICC records, approved NAP and social URLs.</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P0</w:t>
            </w:r>
          </w:p>
        </w:tc>
        <w:tc>
          <w:tcPr>
            <w:tcW w:type="dxa" w:w="38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Fix the two 404 consultation/contact destinations and rewire internal links.</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Very high conversion and crawl-path impact.</w:t>
            </w:r>
          </w:p>
        </w:tc>
        <w:tc>
          <w:tcPr>
            <w:tcW w:type="dxa" w:w="115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Small to medium</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Web owner; all tested CTA hrefs resolve.</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P1</w:t>
            </w:r>
          </w:p>
        </w:tc>
        <w:tc>
          <w:tcPr>
            <w:tcW w:type="dxa" w:w="38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Shorten titles and remove the repetitive long brand suffix pattern.</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High CTR and page clarity impact across 96 pages.</w:t>
            </w:r>
          </w:p>
        </w:tc>
        <w:tc>
          <w:tcPr>
            <w:tcW w:type="dxa" w:w="115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SEO/content owner; rendered titles are concise and unique.</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P1</w:t>
            </w:r>
          </w:p>
        </w:tc>
        <w:tc>
          <w:tcPr>
            <w:tcW w:type="dxa" w:w="38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Bring homepage copy into local-commercial focus while preserving sections and styling.</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High homepage relevance and conversion impact.</w:t>
            </w:r>
          </w:p>
        </w:tc>
        <w:tc>
          <w:tcPr>
            <w:tcW w:type="dxa" w:w="115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Content/SEO owner; one primary intent, natural variants, no stuffing.</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P1</w:t>
            </w:r>
          </w:p>
        </w:tc>
        <w:tc>
          <w:tcPr>
            <w:tcW w:type="dxa" w:w="38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Align homepage page-level JSON-LD with visible content and verified entity data.</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High trust and machine-understanding impact.</w:t>
            </w:r>
          </w:p>
        </w:tc>
        <w:tc>
          <w:tcPr>
            <w:tcW w:type="dxa" w:w="115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Small to medium</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Developer; schema validation and source-to-visible parity.</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P1</w:t>
            </w:r>
          </w:p>
        </w:tc>
        <w:tc>
          <w:tcPr>
            <w:tcW w:type="dxa" w:w="38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Add page-level WebPage/Breadcrumb/Service/FAQ markup to priority service pages.</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 to high discoverability/AEO impact.</w:t>
            </w:r>
          </w:p>
        </w:tc>
        <w:tc>
          <w:tcPr>
            <w:tcW w:type="dxa" w:w="115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Developer/SEO; Rich Results Test and URL Inspection checks.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P2</w:t>
            </w:r>
          </w:p>
        </w:tc>
        <w:tc>
          <w:tcPr>
            <w:tcW w:type="dxa" w:w="38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Improve internal anchor text and topical links between homepage, hubs, service pages, tools and blog.</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 authority distribution and user-path impact.</w:t>
            </w:r>
          </w:p>
        </w:tc>
        <w:tc>
          <w:tcPr>
            <w:tcW w:type="dxa" w:w="115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SEO/content; crawl report shows no broken links and clear parent/child ownership.</w:t>
            </w:r>
          </w:p>
        </w:tc>
      </w:tr>
      <w:tr>
        <w:trPr>
          <w:cantSplit/>
        </w:trPr>
        <w:tc>
          <w:tcPr>
            <w:tcW w:type="dxa" w:w="79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P2</w:t>
            </w:r>
          </w:p>
        </w:tc>
        <w:tc>
          <w:tcPr>
            <w:tcW w:type="dxa" w:w="3816"/>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Expand thin Blog and Draws aggregation copy without touching official data.</w:t>
            </w:r>
          </w:p>
        </w:tc>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 topical authority and freshness impact.</w:t>
            </w:r>
          </w:p>
        </w:tc>
        <w:tc>
          <w:tcPr>
            <w:tcW w:type="dxa" w:w="115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Medium</w:t>
            </w:r>
          </w:p>
        </w:tc>
        <w:tc>
          <w:tcPr>
            <w:tcW w:type="dxa" w:w="19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Content owner; unique value and source/update notes.</w:t>
            </w:r>
          </w:p>
        </w:tc>
      </w:tr>
      <w:tr>
        <w:trPr>
          <w:cantSplit/>
        </w:trPr>
        <w:tc>
          <w:tcPr>
            <w:tcW w:type="dxa" w:w="79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P3</w:t>
            </w:r>
          </w:p>
        </w:tc>
        <w:tc>
          <w:tcPr>
            <w:tcW w:type="dxa" w:w="3816"/>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Connect GSC, validate GBP/NAP and establish a monthly query/content review.</w:t>
            </w:r>
          </w:p>
        </w:tc>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Compounds learning and supports iteration.</w:t>
            </w:r>
          </w:p>
        </w:tc>
        <w:tc>
          <w:tcPr>
            <w:tcW w:type="dxa" w:w="115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Small</w:t>
            </w:r>
          </w:p>
        </w:tc>
        <w:tc>
          <w:tcPr>
            <w:tcW w:type="dxa" w:w="19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5"/>
              </w:rPr>
              <w:t>Marketing/analytics owner; monthly export and change log.</w:t>
            </w:r>
          </w:p>
        </w:tc>
      </w:tr>
    </w:tbl>
    <w:p>
      <w:pPr>
        <w:spacing w:after="20"/>
      </w:pPr>
    </w:p>
    <w:p>
      <w:pPr>
        <w:pStyle w:val="Heading2"/>
        <w:keepNext/>
        <w:spacing w:before="160" w:after="100"/>
      </w:pPr>
      <w:r>
        <w:t>Measurement plan after implementation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232"/>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Measure</w:t>
            </w:r>
          </w:p>
        </w:tc>
        <w:tc>
          <w:tcPr>
            <w:tcW w:type="dxa" w:w="482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Baseline to capture</w:t>
            </w:r>
          </w:p>
        </w:tc>
        <w:tc>
          <w:tcPr>
            <w:tcW w:type="dxa" w:w="288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6"/>
              </w:rPr>
              <w:t>Review cadence</w:t>
            </w:r>
          </w:p>
        </w:tc>
      </w:tr>
      <w:tr>
        <w:trPr>
          <w:cantSplit/>
        </w:trPr>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GSC query/page performance</w:t>
            </w:r>
          </w:p>
        </w:tc>
        <w:tc>
          <w:tcPr>
            <w:tcW w:type="dxa" w:w="48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Clicks, impressions, CTR, average position, query/page pairs, indexed pages.</w:t>
            </w:r>
          </w:p>
        </w:tc>
        <w:tc>
          <w:tcPr>
            <w:tcW w:type="dxa" w:w="28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Weekly for first 8 weeks, then monthly.</w:t>
            </w:r>
          </w:p>
        </w:tc>
      </w:tr>
      <w:tr>
        <w:trPr>
          <w:cantSplit/>
        </w:trPr>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Local visibility</w:t>
            </w:r>
          </w:p>
        </w:tc>
        <w:tc>
          <w:tcPr>
            <w:tcW w:type="dxa" w:w="48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Google Business Profile impressions, calls, direction requests, discovery queries and review count.</w:t>
            </w:r>
          </w:p>
        </w:tc>
        <w:tc>
          <w:tcPr>
            <w:tcW w:type="dxa" w:w="28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Monthly.</w:t>
            </w:r>
          </w:p>
        </w:tc>
      </w:tr>
      <w:tr>
        <w:trPr>
          <w:cantSplit/>
        </w:trPr>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Conversion path</w:t>
            </w:r>
          </w:p>
        </w:tc>
        <w:tc>
          <w:tcPr>
            <w:tcW w:type="dxa" w:w="48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Homepage to assessment, consultation and payment route; 404s and form completion rate.</w:t>
            </w:r>
          </w:p>
        </w:tc>
        <w:tc>
          <w:tcPr>
            <w:tcW w:type="dxa" w:w="28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Weekly after launch.</w:t>
            </w:r>
          </w:p>
        </w:tc>
      </w:tr>
      <w:tr>
        <w:trPr>
          <w:cantSplit/>
        </w:trPr>
        <w:tc>
          <w:tcPr>
            <w:tcW w:type="dxa" w:w="2232"/>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Technical health</w:t>
            </w:r>
          </w:p>
        </w:tc>
        <w:tc>
          <w:tcPr>
            <w:tcW w:type="dxa" w:w="482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Crawl status, canonicals, title length, broken links, sitemap submissions and structured-data errors.</w:t>
            </w:r>
          </w:p>
        </w:tc>
        <w:tc>
          <w:tcPr>
            <w:tcW w:type="dxa" w:w="28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After every release and monthly.</w:t>
            </w:r>
          </w:p>
        </w:tc>
      </w:tr>
      <w:tr>
        <w:trPr>
          <w:cantSplit/>
        </w:trPr>
        <w:tc>
          <w:tcPr>
            <w:tcW w:type="dxa" w:w="2232"/>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Content freshness</w:t>
            </w:r>
          </w:p>
        </w:tc>
        <w:tc>
          <w:tcPr>
            <w:tcW w:type="dxa" w:w="482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Last-reviewed dates, official-source changes and pages whose year-specific data needs review.</w:t>
            </w:r>
          </w:p>
        </w:tc>
        <w:tc>
          <w:tcPr>
            <w:tcW w:type="dxa" w:w="28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6"/>
              </w:rPr>
              <w:t>Monthly or on official program change.</w:t>
            </w:r>
          </w:p>
        </w:tc>
      </w:tr>
    </w:tbl>
    <w:p>
      <w:pPr>
        <w:spacing w:after="20"/>
      </w:pPr>
    </w:p>
    <w:p>
      <w:pPr>
        <w:pStyle w:val="Heading1"/>
        <w:keepNext/>
        <w:spacing w:before="240" w:after="100"/>
      </w:pPr>
      <w:r>
        <w:t>Sources and research log</w:t>
      </w:r>
    </w:p>
    <w:p>
      <w:pPr>
        <w:pStyle w:val="BodyText"/>
        <w:spacing w:after="120" w:line="259" w:lineRule="auto"/>
      </w:pPr>
      <w:r>
        <w:rPr>
          <w:rFonts w:ascii="Arial" w:hAnsi="Arial"/>
          <w:b/>
          <w:color w:val="111827"/>
          <w:sz w:val="21"/>
        </w:rPr>
        <w:t xml:space="preserve">Source note. </w:t>
      </w:r>
      <w:r>
        <w:rPr>
          <w:rFonts w:ascii="Arial" w:hAnsi="Arial"/>
          <w:color w:val="111827"/>
          <w:sz w:val="21"/>
        </w:rPr>
        <w:t>The recommendations below are grounded in the rendered website, the local Next.js source and the public sources listed here. Government data tables were not altered or reinterpreted as part of this report. Current program rules should always be checked against the relevant official source before publication.</w:t>
      </w:r>
    </w:p>
    <w:p>
      <w:pPr>
        <w:pStyle w:val="Heading2"/>
        <w:keepNext/>
        <w:spacing w:before="160" w:after="100"/>
      </w:pPr>
      <w:r>
        <w:t>Official and search guidance sources</w:t>
      </w:r>
    </w:p>
    <w:p>
      <w:pPr>
        <w:pStyle w:val="BodyText"/>
        <w:spacing w:after="60"/>
        <w:ind w:left="259" w:hanging="259"/>
      </w:pPr>
      <w:r>
        <w:rPr>
          <w:rFonts w:ascii="Arial" w:hAnsi="Arial"/>
          <w:color w:val="111827"/>
          <w:sz w:val="18"/>
        </w:rPr>
        <w:t xml:space="preserve">• CICC Public Register - </w:t>
      </w:r>
      <w:hyperlink r:id="rId11">
        <w:r>
          <w:rPr>
            <w:rStyle w:val="Hyperlink"/>
            <w:color w:val="2563EB"/>
          </w:rPr>
          <w:t>https://register.college-ic.ca/</w:t>
        </w:r>
      </w:hyperlink>
      <w:r>
        <w:rPr>
          <w:rFonts w:ascii="Arial" w:hAnsi="Arial"/>
          <w:i/>
          <w:color w:val="4B5563"/>
          <w:sz w:val="18"/>
        </w:rPr>
        <w:t xml:space="preserve"> (license verification and representative status)</w:t>
      </w:r>
    </w:p>
    <w:p>
      <w:pPr>
        <w:pStyle w:val="BodyText"/>
        <w:spacing w:after="60"/>
        <w:ind w:left="259" w:hanging="259"/>
      </w:pPr>
      <w:r>
        <w:rPr>
          <w:rFonts w:ascii="Arial" w:hAnsi="Arial"/>
          <w:color w:val="111827"/>
          <w:sz w:val="18"/>
        </w:rPr>
        <w:t xml:space="preserve">• Government of Canada immigration hub - </w:t>
      </w:r>
      <w:hyperlink r:id="rId12">
        <w:r>
          <w:rPr>
            <w:rStyle w:val="Hyperlink"/>
            <w:color w:val="2563EB"/>
          </w:rPr>
          <w:t>https://www.canada.ca/en/immigration-refugees-citizenship/services/immigrate-canada.html</w:t>
        </w:r>
      </w:hyperlink>
      <w:r>
        <w:rPr>
          <w:rFonts w:ascii="Arial" w:hAnsi="Arial"/>
          <w:i/>
          <w:color w:val="4B5563"/>
          <w:sz w:val="18"/>
        </w:rPr>
        <w:t xml:space="preserve"> (official immigration program reference)</w:t>
      </w:r>
    </w:p>
    <w:p>
      <w:pPr>
        <w:pStyle w:val="BodyText"/>
        <w:spacing w:after="60"/>
        <w:ind w:left="259" w:hanging="259"/>
      </w:pPr>
      <w:r>
        <w:rPr>
          <w:rFonts w:ascii="Arial" w:hAnsi="Arial"/>
          <w:color w:val="111827"/>
          <w:sz w:val="18"/>
        </w:rPr>
        <w:t xml:space="preserve">• IRCC Express Entry - </w:t>
      </w:r>
      <w:hyperlink r:id="rId13">
        <w:r>
          <w:rPr>
            <w:rStyle w:val="Hyperlink"/>
            <w:color w:val="2563EB"/>
          </w:rPr>
          <w:t>https://www.canada.ca/en/immigration-refugees-citizenship/services/immigrate-canada/express-entry.html</w:t>
        </w:r>
      </w:hyperlink>
      <w:r>
        <w:rPr>
          <w:rFonts w:ascii="Arial" w:hAnsi="Arial"/>
          <w:i/>
          <w:color w:val="4B5563"/>
          <w:sz w:val="18"/>
        </w:rPr>
        <w:t xml:space="preserve"> (Express Entry process and program scope)</w:t>
      </w:r>
    </w:p>
    <w:p>
      <w:pPr>
        <w:pStyle w:val="BodyText"/>
        <w:spacing w:after="60"/>
        <w:ind w:left="259" w:hanging="259"/>
      </w:pPr>
      <w:r>
        <w:rPr>
          <w:rFonts w:ascii="Arial" w:hAnsi="Arial"/>
          <w:color w:val="111827"/>
          <w:sz w:val="18"/>
        </w:rPr>
        <w:t xml:space="preserve">• IRCC Provincial Nominee Program - </w:t>
      </w:r>
      <w:hyperlink r:id="rId14">
        <w:r>
          <w:rPr>
            <w:rStyle w:val="Hyperlink"/>
            <w:color w:val="2563EB"/>
          </w:rPr>
          <w:t>https://www.canada.ca/en/immigration-refugees-citizenship/services/immigrate-canada/provincial-nominees.html</w:t>
        </w:r>
      </w:hyperlink>
      <w:r>
        <w:rPr>
          <w:rFonts w:ascii="Arial" w:hAnsi="Arial"/>
          <w:i/>
          <w:color w:val="4B5563"/>
          <w:sz w:val="18"/>
        </w:rPr>
        <w:t xml:space="preserve"> (PNP province/territory structure)</w:t>
      </w:r>
    </w:p>
    <w:p>
      <w:pPr>
        <w:pStyle w:val="BodyText"/>
        <w:spacing w:after="60"/>
        <w:ind w:left="259" w:hanging="259"/>
      </w:pPr>
      <w:r>
        <w:rPr>
          <w:rFonts w:ascii="Arial" w:hAnsi="Arial"/>
          <w:color w:val="111827"/>
          <w:sz w:val="18"/>
        </w:rPr>
        <w:t xml:space="preserve">• IRCC Come to Canada tool - </w:t>
      </w:r>
      <w:hyperlink r:id="rId15">
        <w:r>
          <w:rPr>
            <w:rStyle w:val="Hyperlink"/>
            <w:color w:val="2563EB"/>
          </w:rPr>
          <w:t>https://www.canada.ca/en/immigration-refugees-citizenship/services/come-canada-tool-immigration-express-entry.html</w:t>
        </w:r>
      </w:hyperlink>
      <w:r>
        <w:rPr>
          <w:rFonts w:ascii="Arial" w:hAnsi="Arial"/>
          <w:i/>
          <w:color w:val="4B5563"/>
          <w:sz w:val="18"/>
        </w:rPr>
        <w:t xml:space="preserve"> (official eligibility tool context)</w:t>
      </w:r>
    </w:p>
    <w:p>
      <w:pPr>
        <w:pStyle w:val="BodyText"/>
        <w:spacing w:after="60"/>
        <w:ind w:left="259" w:hanging="259"/>
      </w:pPr>
      <w:r>
        <w:rPr>
          <w:rFonts w:ascii="Arial" w:hAnsi="Arial"/>
          <w:color w:val="111827"/>
          <w:sz w:val="18"/>
        </w:rPr>
        <w:t xml:space="preserve">• Google Search title links guidance - </w:t>
      </w:r>
      <w:hyperlink r:id="rId16">
        <w:r>
          <w:rPr>
            <w:rStyle w:val="Hyperlink"/>
            <w:color w:val="2563EB"/>
          </w:rPr>
          <w:t>https://developers.google.com/search/docs/appearance/title-link</w:t>
        </w:r>
      </w:hyperlink>
      <w:r>
        <w:rPr>
          <w:rFonts w:ascii="Arial" w:hAnsi="Arial"/>
          <w:i/>
          <w:color w:val="4B5563"/>
          <w:sz w:val="18"/>
        </w:rPr>
        <w:t xml:space="preserve"> (concise, descriptive, non-boilerplate title guidance)</w:t>
      </w:r>
    </w:p>
    <w:p>
      <w:pPr>
        <w:pStyle w:val="BodyText"/>
        <w:spacing w:after="60"/>
        <w:ind w:left="259" w:hanging="259"/>
      </w:pPr>
      <w:r>
        <w:rPr>
          <w:rFonts w:ascii="Arial" w:hAnsi="Arial"/>
          <w:color w:val="111827"/>
          <w:sz w:val="18"/>
        </w:rPr>
        <w:t xml:space="preserve">• Google Search snippets guidance - </w:t>
      </w:r>
      <w:hyperlink r:id="rId17">
        <w:r>
          <w:rPr>
            <w:rStyle w:val="Hyperlink"/>
            <w:color w:val="2563EB"/>
          </w:rPr>
          <w:t>https://developers.google.com/search/docs/appearance/snippet</w:t>
        </w:r>
      </w:hyperlink>
      <w:r>
        <w:rPr>
          <w:rFonts w:ascii="Arial" w:hAnsi="Arial"/>
          <w:i/>
          <w:color w:val="4B5563"/>
          <w:sz w:val="18"/>
        </w:rPr>
        <w:t xml:space="preserve"> (unique and relevant meta descriptions)</w:t>
      </w:r>
    </w:p>
    <w:p>
      <w:pPr>
        <w:pStyle w:val="BodyText"/>
        <w:spacing w:after="60"/>
        <w:ind w:left="259" w:hanging="259"/>
      </w:pPr>
      <w:r>
        <w:rPr>
          <w:rFonts w:ascii="Arial" w:hAnsi="Arial"/>
          <w:color w:val="111827"/>
          <w:sz w:val="18"/>
        </w:rPr>
        <w:t xml:space="preserve">• Google Search Essentials - </w:t>
      </w:r>
      <w:hyperlink r:id="rId18">
        <w:r>
          <w:rPr>
            <w:rStyle w:val="Hyperlink"/>
            <w:color w:val="2563EB"/>
          </w:rPr>
          <w:t>https://developers.google.com/search/docs/essentials</w:t>
        </w:r>
      </w:hyperlink>
      <w:r>
        <w:rPr>
          <w:rFonts w:ascii="Arial" w:hAnsi="Arial"/>
          <w:i/>
          <w:color w:val="4B5563"/>
          <w:sz w:val="18"/>
        </w:rPr>
        <w:t xml:space="preserve"> (people-first content and prominent descriptive language)</w:t>
      </w:r>
    </w:p>
    <w:p>
      <w:pPr>
        <w:pStyle w:val="BodyText"/>
        <w:spacing w:after="60"/>
        <w:ind w:left="259" w:hanging="259"/>
      </w:pPr>
      <w:r>
        <w:rPr>
          <w:rFonts w:ascii="Arial" w:hAnsi="Arial"/>
          <w:color w:val="111827"/>
          <w:sz w:val="18"/>
        </w:rPr>
        <w:t xml:space="preserve">• Google Search spam policies - </w:t>
      </w:r>
      <w:hyperlink r:id="rId19">
        <w:r>
          <w:rPr>
            <w:rStyle w:val="Hyperlink"/>
            <w:color w:val="2563EB"/>
          </w:rPr>
          <w:t>https://developers.google.com/search/docs/essentials/spam-policies</w:t>
        </w:r>
      </w:hyperlink>
      <w:r>
        <w:rPr>
          <w:rFonts w:ascii="Arial" w:hAnsi="Arial"/>
          <w:i/>
          <w:color w:val="4B5563"/>
          <w:sz w:val="18"/>
        </w:rPr>
        <w:t xml:space="preserve"> (keyword stuffing and manipulation cautions)</w:t>
      </w:r>
    </w:p>
    <w:p>
      <w:pPr>
        <w:pStyle w:val="BodyText"/>
        <w:spacing w:after="60"/>
        <w:ind w:left="259" w:hanging="259"/>
      </w:pPr>
      <w:r>
        <w:rPr>
          <w:rFonts w:ascii="Arial" w:hAnsi="Arial"/>
          <w:color w:val="111827"/>
          <w:sz w:val="18"/>
        </w:rPr>
        <w:t xml:space="preserve">• Google structured-data guidelines - </w:t>
      </w:r>
      <w:hyperlink r:id="rId20">
        <w:r>
          <w:rPr>
            <w:rStyle w:val="Hyperlink"/>
            <w:color w:val="2563EB"/>
          </w:rPr>
          <w:t>https://developers.google.com/search/docs/appearance/structured-data/sd-policies</w:t>
        </w:r>
      </w:hyperlink>
      <w:r>
        <w:rPr>
          <w:rFonts w:ascii="Arial" w:hAnsi="Arial"/>
          <w:i/>
          <w:color w:val="4B5563"/>
          <w:sz w:val="18"/>
        </w:rPr>
        <w:t xml:space="preserve"> (structured data must represent visible content)</w:t>
      </w:r>
    </w:p>
    <w:p>
      <w:pPr>
        <w:pStyle w:val="BodyText"/>
        <w:spacing w:after="60"/>
        <w:ind w:left="259" w:hanging="259"/>
      </w:pPr>
      <w:r>
        <w:rPr>
          <w:rFonts w:ascii="Arial" w:hAnsi="Arial"/>
          <w:color w:val="111827"/>
          <w:sz w:val="18"/>
        </w:rPr>
        <w:t xml:space="preserve">• Google Q&amp;A structured data guidance - </w:t>
      </w:r>
      <w:hyperlink r:id="rId21">
        <w:r>
          <w:rPr>
            <w:rStyle w:val="Hyperlink"/>
            <w:color w:val="2563EB"/>
          </w:rPr>
          <w:t>https://developers.google.com/search/docs/appearance/structured-data/qapage</w:t>
        </w:r>
      </w:hyperlink>
      <w:r>
        <w:rPr>
          <w:rFonts w:ascii="Arial" w:hAnsi="Arial"/>
          <w:i/>
          <w:color w:val="4B5563"/>
          <w:sz w:val="18"/>
        </w:rPr>
        <w:t xml:space="preserve"> (QAPage is not ordinary site-written FAQ markup)</w:t>
      </w:r>
    </w:p>
    <w:p>
      <w:pPr>
        <w:pStyle w:val="Heading2"/>
        <w:keepNext/>
        <w:spacing w:before="160" w:after="100"/>
      </w:pPr>
      <w:r>
        <w:t>Public keyword research sources</w:t>
      </w:r>
    </w:p>
    <w:p>
      <w:pPr>
        <w:pStyle w:val="BodyText"/>
        <w:spacing w:after="60"/>
        <w:ind w:left="259" w:hanging="259"/>
      </w:pPr>
      <w:r>
        <w:rPr>
          <w:rFonts w:ascii="Arial" w:hAnsi="Arial"/>
          <w:color w:val="111827"/>
          <w:sz w:val="18"/>
        </w:rPr>
        <w:t xml:space="preserve">• Google Search query review - </w:t>
      </w:r>
      <w:hyperlink r:id="rId22">
        <w:r>
          <w:rPr>
            <w:rStyle w:val="Hyperlink"/>
            <w:color w:val="2563EB"/>
          </w:rPr>
          <w:t>https://www.google.com/search?q=immigration+consultant+Brampton</w:t>
        </w:r>
      </w:hyperlink>
      <w:r>
        <w:rPr>
          <w:rFonts w:ascii="Arial" w:hAnsi="Arial"/>
          <w:i/>
          <w:color w:val="4B5563"/>
          <w:sz w:val="18"/>
        </w:rPr>
        <w:t xml:space="preserve"> (local SERP and Places observation)</w:t>
      </w:r>
    </w:p>
    <w:p>
      <w:pPr>
        <w:pStyle w:val="BodyText"/>
        <w:spacing w:after="60"/>
        <w:ind w:left="259" w:hanging="259"/>
      </w:pPr>
      <w:r>
        <w:rPr>
          <w:rFonts w:ascii="Arial" w:hAnsi="Arial"/>
          <w:color w:val="111827"/>
          <w:sz w:val="18"/>
        </w:rPr>
        <w:t xml:space="preserve">• Google Search query review - </w:t>
      </w:r>
      <w:hyperlink r:id="rId23">
        <w:r>
          <w:rPr>
            <w:rStyle w:val="Hyperlink"/>
            <w:color w:val="2563EB"/>
          </w:rPr>
          <w:t>https://www.google.com/search?q=Express+Entry+consultant+Canada</w:t>
        </w:r>
      </w:hyperlink>
      <w:r>
        <w:rPr>
          <w:rFonts w:ascii="Arial" w:hAnsi="Arial"/>
          <w:i/>
          <w:color w:val="4B5563"/>
          <w:sz w:val="18"/>
        </w:rPr>
        <w:t xml:space="preserve"> (AI Overview and PAA observation)</w:t>
      </w:r>
    </w:p>
    <w:p>
      <w:pPr>
        <w:pStyle w:val="BodyText"/>
        <w:spacing w:after="60"/>
        <w:ind w:left="259" w:hanging="259"/>
      </w:pPr>
      <w:r>
        <w:rPr>
          <w:rFonts w:ascii="Arial" w:hAnsi="Arial"/>
          <w:color w:val="111827"/>
          <w:sz w:val="18"/>
        </w:rPr>
        <w:t xml:space="preserve">• Google Search query review - </w:t>
      </w:r>
      <w:hyperlink r:id="rId24">
        <w:r>
          <w:rPr>
            <w:rStyle w:val="Hyperlink"/>
            <w:color w:val="2563EB"/>
          </w:rPr>
          <w:t>https://www.google.com/search?q=free+Canada+immigration+assessment</w:t>
        </w:r>
      </w:hyperlink>
      <w:r>
        <w:rPr>
          <w:rFonts w:ascii="Arial" w:hAnsi="Arial"/>
          <w:i/>
          <w:color w:val="4B5563"/>
          <w:sz w:val="18"/>
        </w:rPr>
        <w:t xml:space="preserve"> (assessment intent and PAA observation)</w:t>
      </w:r>
    </w:p>
    <w:p>
      <w:pPr>
        <w:pStyle w:val="BodyText"/>
        <w:spacing w:after="60"/>
        <w:ind w:left="259" w:hanging="259"/>
      </w:pPr>
      <w:r>
        <w:rPr>
          <w:rFonts w:ascii="Arial" w:hAnsi="Arial"/>
          <w:color w:val="111827"/>
          <w:sz w:val="18"/>
        </w:rPr>
        <w:t xml:space="preserve">• Google Trends Canada explore - </w:t>
      </w:r>
      <w:hyperlink r:id="rId25">
        <w:r>
          <w:rPr>
            <w:rStyle w:val="Hyperlink"/>
            <w:color w:val="2563EB"/>
          </w:rPr>
          <w:t>https://trends.google.com/trends/explore?geo=CA&amp;q=immigration%20consultant%20Brampton,Express%20Entry%20Canada,Canada%20work%20permit</w:t>
        </w:r>
      </w:hyperlink>
      <w:r>
        <w:rPr>
          <w:rFonts w:ascii="Arial" w:hAnsi="Arial"/>
          <w:i/>
          <w:color w:val="4B5563"/>
          <w:sz w:val="18"/>
        </w:rPr>
        <w:t xml:space="preserve"> (Canada comparison page opened; no numeric trend values used)</w:t>
      </w:r>
    </w:p>
    <w:p>
      <w:pPr>
        <w:pStyle w:val="BodyText"/>
        <w:spacing w:after="60"/>
        <w:ind w:left="259" w:hanging="259"/>
      </w:pPr>
      <w:r>
        <w:rPr>
          <w:rFonts w:ascii="Arial" w:hAnsi="Arial"/>
          <w:color w:val="111827"/>
          <w:sz w:val="18"/>
        </w:rPr>
        <w:t xml:space="preserve">• Ahrefs Free Keyword Generator - </w:t>
      </w:r>
      <w:hyperlink r:id="rId26">
        <w:r>
          <w:rPr>
            <w:rStyle w:val="Hyperlink"/>
            <w:color w:val="2563EB"/>
          </w:rPr>
          <w:t>https://ahrefs.com/keyword-generator/</w:t>
        </w:r>
      </w:hyperlink>
      <w:r>
        <w:rPr>
          <w:rFonts w:ascii="Arial" w:hAnsi="Arial"/>
          <w:i/>
          <w:color w:val="4B5563"/>
          <w:sz w:val="18"/>
        </w:rPr>
        <w:t xml:space="preserve"> (public metric source attempted; metric output blocked by Turnstile)</w:t>
      </w:r>
    </w:p>
    <w:p>
      <w:pPr>
        <w:pStyle w:val="BodyText"/>
        <w:spacing w:after="60"/>
        <w:ind w:left="259" w:hanging="259"/>
      </w:pPr>
      <w:r>
        <w:rPr>
          <w:rFonts w:ascii="Arial" w:hAnsi="Arial"/>
          <w:color w:val="111827"/>
          <w:sz w:val="18"/>
        </w:rPr>
        <w:t xml:space="preserve">• Semrush Canada keyword snapshot for local intent - </w:t>
      </w:r>
      <w:hyperlink r:id="rId27">
        <w:r>
          <w:rPr>
            <w:rStyle w:val="Hyperlink"/>
            <w:color w:val="2563EB"/>
          </w:rPr>
          <w:t>https://www.semrush.com/analytics/keywordmagic/?db=ca&amp;keyword=immigration+consultant+Brampton</w:t>
        </w:r>
      </w:hyperlink>
      <w:r>
        <w:rPr>
          <w:rFonts w:ascii="Arial" w:hAnsi="Arial"/>
          <w:i/>
          <w:color w:val="4B5563"/>
          <w:sz w:val="18"/>
        </w:rPr>
        <w:t xml:space="preserve"> (free public output; first 15 of 141+ results displayed with volume, KD, intent and CPC)</w:t>
      </w:r>
    </w:p>
    <w:p>
      <w:pPr>
        <w:pStyle w:val="BodyText"/>
        <w:spacing w:after="60"/>
        <w:ind w:left="259" w:hanging="259"/>
      </w:pPr>
      <w:r>
        <w:rPr>
          <w:rFonts w:ascii="Arial" w:hAnsi="Arial"/>
          <w:color w:val="111827"/>
          <w:sz w:val="18"/>
        </w:rPr>
        <w:t xml:space="preserve">• Semrush Canada keyword snapshot for Express Entry - </w:t>
      </w:r>
      <w:hyperlink r:id="rId28">
        <w:r>
          <w:rPr>
            <w:rStyle w:val="Hyperlink"/>
            <w:color w:val="2563EB"/>
          </w:rPr>
          <w:t>https://www.semrush.com/analytics/keywordmagic/?db=ca&amp;keyword=Express+Entry+Canada</w:t>
        </w:r>
      </w:hyperlink>
      <w:r>
        <w:rPr>
          <w:rFonts w:ascii="Arial" w:hAnsi="Arial"/>
          <w:i/>
          <w:color w:val="4B5563"/>
          <w:sz w:val="18"/>
        </w:rPr>
        <w:t xml:space="preserve"> (free public output; first 15 of 8,235+ results displayed with volume, KD, intent and CPC)</w:t>
      </w:r>
    </w:p>
    <w:p>
      <w:pPr>
        <w:pStyle w:val="BodyText"/>
        <w:spacing w:after="60"/>
        <w:ind w:left="259" w:hanging="259"/>
      </w:pPr>
      <w:r>
        <w:rPr>
          <w:rFonts w:ascii="Arial" w:hAnsi="Arial"/>
          <w:color w:val="111827"/>
          <w:sz w:val="18"/>
        </w:rPr>
        <w:t xml:space="preserve">• Semrush Canada keyword snapshot for work permits - </w:t>
      </w:r>
      <w:hyperlink r:id="rId29">
        <w:r>
          <w:rPr>
            <w:rStyle w:val="Hyperlink"/>
            <w:color w:val="2563EB"/>
          </w:rPr>
          <w:t>https://www.semrush.com/analytics/keywordmagic/?db=ca&amp;keyword=Canada+work+permit</w:t>
        </w:r>
      </w:hyperlink>
      <w:r>
        <w:rPr>
          <w:rFonts w:ascii="Arial" w:hAnsi="Arial"/>
          <w:i/>
          <w:color w:val="4B5563"/>
          <w:sz w:val="18"/>
        </w:rPr>
        <w:t xml:space="preserve"> (free public output; first 15 of 10,000+ results displayed with volume, KD, intent and CPC)</w:t>
      </w:r>
    </w:p>
    <w:p>
      <w:pPr>
        <w:pStyle w:val="BodyText"/>
        <w:spacing w:after="60"/>
        <w:ind w:left="259" w:hanging="259"/>
      </w:pPr>
      <w:r>
        <w:rPr>
          <w:rFonts w:ascii="Arial" w:hAnsi="Arial"/>
          <w:color w:val="111827"/>
          <w:sz w:val="18"/>
        </w:rPr>
        <w:t xml:space="preserve">• Semrush Canada keyword snapshot for study permits - </w:t>
      </w:r>
      <w:hyperlink r:id="rId30">
        <w:r>
          <w:rPr>
            <w:rStyle w:val="Hyperlink"/>
            <w:color w:val="2563EB"/>
          </w:rPr>
          <w:t>https://www.semrush.com/analytics/keywordmagic/?db=ca&amp;keyword=Canada+study+permit</w:t>
        </w:r>
      </w:hyperlink>
      <w:r>
        <w:rPr>
          <w:rFonts w:ascii="Arial" w:hAnsi="Arial"/>
          <w:i/>
          <w:color w:val="4B5563"/>
          <w:sz w:val="18"/>
        </w:rPr>
        <w:t xml:space="preserve"> (free public output; first 15 of 4,543+ results displayed with volume, KD, intent and CPC)</w:t>
      </w:r>
    </w:p>
    <w:p>
      <w:pPr>
        <w:pStyle w:val="BodyText"/>
        <w:spacing w:after="60"/>
        <w:ind w:left="259" w:hanging="259"/>
      </w:pPr>
      <w:r>
        <w:rPr>
          <w:rFonts w:ascii="Arial" w:hAnsi="Arial"/>
          <w:color w:val="111827"/>
          <w:sz w:val="18"/>
        </w:rPr>
        <w:t xml:space="preserve">• Ubersuggest keyword ideas documentation - </w:t>
      </w:r>
      <w:hyperlink r:id="rId31">
        <w:r>
          <w:rPr>
            <w:rStyle w:val="Hyperlink"/>
            <w:color w:val="2563EB"/>
          </w:rPr>
          <w:t>https://ubersuggest.zendesk.com/hc/en-us/articles/22109561915419-Keyword-Ideas-Understanding-and-Using-the-Keyword-Tabs</w:t>
        </w:r>
      </w:hyperlink>
      <w:r>
        <w:rPr>
          <w:rFonts w:ascii="Arial" w:hAnsi="Arial"/>
          <w:i/>
          <w:color w:val="4B5563"/>
          <w:sz w:val="18"/>
        </w:rPr>
        <w:t xml:space="preserve"> (public tool reference; no authenticated metric output used)</w:t>
      </w:r>
    </w:p>
    <w:p>
      <w:pPr>
        <w:pStyle w:val="Heading2"/>
        <w:keepNext/>
        <w:spacing w:before="160" w:after="100"/>
      </w:pPr>
      <w:r>
        <w:t>Competitive SERP examples observed</w:t>
      </w:r>
    </w:p>
    <w:p>
      <w:pPr>
        <w:pStyle w:val="BodyText"/>
        <w:spacing w:after="60"/>
        <w:ind w:left="259" w:hanging="259"/>
      </w:pPr>
      <w:r>
        <w:rPr>
          <w:rFonts w:ascii="Arial" w:hAnsi="Arial"/>
          <w:color w:val="111827"/>
          <w:sz w:val="18"/>
        </w:rPr>
        <w:t xml:space="preserve">• CHK Immigration Brampton page - </w:t>
      </w:r>
      <w:hyperlink r:id="rId32">
        <w:r>
          <w:rPr>
            <w:rStyle w:val="Hyperlink"/>
            <w:color w:val="2563EB"/>
          </w:rPr>
          <w:t>https://chkimmigration.ca/brampton.php</w:t>
        </w:r>
      </w:hyperlink>
      <w:r>
        <w:rPr>
          <w:rFonts w:ascii="Arial" w:hAnsi="Arial"/>
          <w:i/>
          <w:color w:val="4B5563"/>
          <w:sz w:val="18"/>
        </w:rPr>
        <w:t xml:space="preserve"> (local competitor benchmark: NAP, RCIC/CICC, service list and remote/in-person wording)</w:t>
      </w:r>
    </w:p>
    <w:p>
      <w:pPr>
        <w:pStyle w:val="BodyText"/>
        <w:spacing w:after="60"/>
        <w:ind w:left="259" w:hanging="259"/>
      </w:pPr>
      <w:r>
        <w:rPr>
          <w:rFonts w:ascii="Arial" w:hAnsi="Arial"/>
          <w:color w:val="111827"/>
          <w:sz w:val="18"/>
        </w:rPr>
        <w:t xml:space="preserve">• Mirzoyan Immigration Brampton page - </w:t>
      </w:r>
      <w:hyperlink r:id="rId33">
        <w:r>
          <w:rPr>
            <w:rStyle w:val="Hyperlink"/>
            <w:color w:val="2563EB"/>
          </w:rPr>
          <w:t>https://www.mirzoyanimmigration.ca/service-areas/immigration-consultant-brampton</w:t>
        </w:r>
      </w:hyperlink>
      <w:r>
        <w:rPr>
          <w:rFonts w:ascii="Arial" w:hAnsi="Arial"/>
          <w:i/>
          <w:color w:val="4B5563"/>
          <w:sz w:val="18"/>
        </w:rPr>
        <w:t xml:space="preserve"> (local competitor benchmark: experience, reviews and Brampton service-area positioning)</w:t>
      </w:r>
    </w:p>
    <w:p>
      <w:pPr>
        <w:pStyle w:val="BodyText"/>
        <w:spacing w:after="60"/>
        <w:ind w:left="259" w:hanging="259"/>
      </w:pPr>
      <w:r>
        <w:rPr>
          <w:rFonts w:ascii="Arial" w:hAnsi="Arial"/>
          <w:color w:val="111827"/>
          <w:sz w:val="18"/>
        </w:rPr>
        <w:t xml:space="preserve">• RNR Canadian Immigration Consultancy - </w:t>
      </w:r>
      <w:hyperlink r:id="rId34">
        <w:r>
          <w:rPr>
            <w:rStyle w:val="Hyperlink"/>
            <w:color w:val="2563EB"/>
          </w:rPr>
          <w:t>https://www.rnrimmigration.ca/</w:t>
        </w:r>
      </w:hyperlink>
      <w:r>
        <w:rPr>
          <w:rFonts w:ascii="Arial" w:hAnsi="Arial"/>
          <w:i/>
          <w:color w:val="4B5563"/>
          <w:sz w:val="18"/>
        </w:rPr>
        <w:t xml:space="preserve"> (local competitor benchmark: service breadth, address, phone and latest articles)</w:t>
      </w:r>
    </w:p>
    <w:p>
      <w:pPr>
        <w:pStyle w:val="BodyText"/>
        <w:spacing w:after="60"/>
        <w:ind w:left="259" w:hanging="259"/>
      </w:pPr>
      <w:r>
        <w:rPr>
          <w:rFonts w:ascii="Arial" w:hAnsi="Arial"/>
          <w:color w:val="111827"/>
          <w:sz w:val="18"/>
        </w:rPr>
        <w:t xml:space="preserve">• Blue Iris Immigration Brampton - </w:t>
      </w:r>
      <w:hyperlink r:id="rId35">
        <w:r>
          <w:rPr>
            <w:rStyle w:val="Hyperlink"/>
            <w:color w:val="2563EB"/>
          </w:rPr>
          <w:t>https://blueirisimmigration.ca/</w:t>
        </w:r>
      </w:hyperlink>
      <w:r>
        <w:rPr>
          <w:rFonts w:ascii="Arial" w:hAnsi="Arial"/>
          <w:i/>
          <w:color w:val="4B5563"/>
          <w:sz w:val="18"/>
        </w:rPr>
        <w:t xml:space="preserve"> (local competitor benchmark: individual RCIC licence presentation and service categories)</w:t>
      </w:r>
    </w:p>
    <w:p>
      <w:pPr>
        <w:pStyle w:val="Heading1"/>
        <w:keepNext/>
        <w:spacing w:before="240" w:after="100"/>
      </w:pPr>
      <w:r>
        <w:t>Appendix A  Pages and route groups reviewed</w:t>
      </w:r>
    </w:p>
    <w:p>
      <w:pPr>
        <w:pStyle w:val="BodyText"/>
        <w:spacing w:after="120" w:line="259" w:lineRule="auto"/>
      </w:pPr>
      <w:r>
        <w:rPr>
          <w:rFonts w:ascii="Arial" w:hAnsi="Arial"/>
          <w:color w:val="111827"/>
          <w:sz w:val="21"/>
        </w:rPr>
        <w:t>The route groups below summarize the full inventory reviewed. The report’s keyword mapping should be used as the editing map; it is not a request to rewrite every route at once.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44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Route group</w:t>
            </w:r>
          </w:p>
        </w:tc>
        <w:tc>
          <w:tcPr>
            <w:tcW w:type="dxa" w:w="1728"/>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Source-page count</w:t>
            </w:r>
          </w:p>
        </w:tc>
        <w:tc>
          <w:tcPr>
            <w:tcW w:type="dxa" w:w="5544"/>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Primary role</w:t>
            </w:r>
          </w:p>
        </w:tc>
      </w:tr>
      <w:tr>
        <w:trPr>
          <w:cantSplit/>
        </w:trPr>
        <w:tc>
          <w:tcPr>
            <w:tcW w:type="dxa" w:w="24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Immigrate</w:t>
            </w:r>
          </w:p>
        </w:tc>
        <w:tc>
          <w:tcPr>
            <w:tcW w:type="dxa" w:w="17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30</w:t>
            </w:r>
          </w:p>
        </w:tc>
        <w:tc>
          <w:tcPr>
            <w:tcW w:type="dxa" w:w="55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Express Entry, PNP, economic, humanitarian and refugee pathways</w:t>
            </w:r>
          </w:p>
        </w:tc>
      </w:tr>
      <w:tr>
        <w:trPr>
          <w:cantSplit/>
        </w:trPr>
        <w:tc>
          <w:tcPr>
            <w:tcW w:type="dxa" w:w="24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Work and study</w:t>
            </w:r>
          </w:p>
        </w:tc>
        <w:tc>
          <w:tcPr>
            <w:tcW w:type="dxa" w:w="17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7</w:t>
            </w:r>
          </w:p>
        </w:tc>
        <w:tc>
          <w:tcPr>
            <w:tcW w:type="dxa" w:w="55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Work permits, study permits, PGWP, IEC, LMIA and employer programs</w:t>
            </w:r>
          </w:p>
        </w:tc>
      </w:tr>
      <w:tr>
        <w:trPr>
          <w:cantSplit/>
        </w:trPr>
        <w:tc>
          <w:tcPr>
            <w:tcW w:type="dxa" w:w="24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Sponsor</w:t>
            </w:r>
          </w:p>
        </w:tc>
        <w:tc>
          <w:tcPr>
            <w:tcW w:type="dxa" w:w="17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17</w:t>
            </w:r>
          </w:p>
        </w:tc>
        <w:tc>
          <w:tcPr>
            <w:tcW w:type="dxa" w:w="55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Spousal, family, parents, dependent/adopted child and sponsorship support</w:t>
            </w:r>
          </w:p>
        </w:tc>
      </w:tr>
      <w:tr>
        <w:trPr>
          <w:cantSplit/>
        </w:trPr>
        <w:tc>
          <w:tcPr>
            <w:tcW w:type="dxa" w:w="24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Inadmissibility and appeals</w:t>
            </w:r>
          </w:p>
        </w:tc>
        <w:tc>
          <w:tcPr>
            <w:tcW w:type="dxa" w:w="17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21</w:t>
            </w:r>
          </w:p>
        </w:tc>
        <w:tc>
          <w:tcPr>
            <w:tcW w:type="dxa" w:w="55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Refusals, PFL, TRP, rehabilitation, appeals and judicial review</w:t>
            </w:r>
          </w:p>
        </w:tc>
      </w:tr>
      <w:tr>
        <w:trPr>
          <w:cantSplit/>
        </w:trPr>
        <w:tc>
          <w:tcPr>
            <w:tcW w:type="dxa" w:w="24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Visit</w:t>
            </w:r>
          </w:p>
        </w:tc>
        <w:tc>
          <w:tcPr>
            <w:tcW w:type="dxa" w:w="17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7</w:t>
            </w:r>
          </w:p>
        </w:tc>
        <w:tc>
          <w:tcPr>
            <w:tcW w:type="dxa" w:w="55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Visitor, eTA, Super Visa, transit and visitor record</w:t>
            </w:r>
          </w:p>
        </w:tc>
      </w:tr>
      <w:tr>
        <w:trPr>
          <w:cantSplit/>
        </w:trPr>
        <w:tc>
          <w:tcPr>
            <w:tcW w:type="dxa" w:w="244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Citizenship</w:t>
            </w:r>
          </w:p>
        </w:tc>
        <w:tc>
          <w:tcPr>
            <w:tcW w:type="dxa" w:w="1728"/>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13</w:t>
            </w:r>
          </w:p>
        </w:tc>
        <w:tc>
          <w:tcPr>
            <w:tcW w:type="dxa" w:w="5544"/>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Citizenship, PR cards, travel documents and adoption-related routes</w:t>
            </w:r>
          </w:p>
        </w:tc>
      </w:tr>
      <w:tr>
        <w:trPr>
          <w:cantSplit/>
        </w:trPr>
        <w:tc>
          <w:tcPr>
            <w:tcW w:type="dxa" w:w="244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About</w:t>
            </w:r>
          </w:p>
        </w:tc>
        <w:tc>
          <w:tcPr>
            <w:tcW w:type="dxa" w:w="1728"/>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1</w:t>
            </w:r>
          </w:p>
        </w:tc>
        <w:tc>
          <w:tcPr>
            <w:tcW w:type="dxa" w:w="5544"/>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About/entity page in the source JSON; 3 additional dedicated About pages are maintained in about-pages.js</w:t>
            </w:r>
          </w:p>
        </w:tc>
      </w:tr>
    </w:tbl>
    <w:p>
      <w:pPr>
        <w:spacing w:after="20"/>
      </w:pPr>
    </w:p>
    <w:p>
      <w:pPr>
        <w:pStyle w:val="Heading1"/>
        <w:keepNext/>
        <w:spacing w:before="240" w:after="100"/>
      </w:pPr>
      <w:r>
        <w:t>Appendix B  Suggested future release gate</w:t>
      </w:r>
    </w:p>
    <w:p>
      <w:pPr>
        <w:pStyle w:val="ListBullet"/>
        <w:spacing w:after="60" w:line="252" w:lineRule="auto"/>
      </w:pPr>
      <w:r>
        <w:rPr>
          <w:rFonts w:ascii="Arial" w:hAnsi="Arial"/>
          <w:color w:val="111827"/>
          <w:sz w:val="20"/>
        </w:rPr>
        <w:t>SEO copy test: title, description, H1, first paragraph and primary internal anchor match the approved keyword map without unnatural repetition.</w:t>
      </w:r>
    </w:p>
    <w:p>
      <w:pPr>
        <w:pStyle w:val="ListBullet"/>
        <w:spacing w:after="60" w:line="252" w:lineRule="auto"/>
      </w:pPr>
      <w:r>
        <w:rPr>
          <w:rFonts w:ascii="Arial" w:hAnsi="Arial"/>
          <w:color w:val="111827"/>
          <w:sz w:val="20"/>
        </w:rPr>
        <w:t>Entity test: firm name, trading name, RCIC identity, CICC URL, address, phone, email and social URLs match the approved source of truth.</w:t>
      </w:r>
    </w:p>
    <w:p>
      <w:pPr>
        <w:pStyle w:val="ListBullet"/>
        <w:spacing w:after="60" w:line="252" w:lineRule="auto"/>
      </w:pPr>
      <w:r>
        <w:rPr>
          <w:rFonts w:ascii="Arial" w:hAnsi="Arial"/>
          <w:color w:val="111827"/>
          <w:sz w:val="20"/>
        </w:rPr>
        <w:t>Link test: every CTA and footer link resolves; redirect targets are intentional and canonical.</w:t>
      </w:r>
    </w:p>
    <w:p>
      <w:pPr>
        <w:pStyle w:val="ListBullet"/>
        <w:spacing w:after="60" w:line="252" w:lineRule="auto"/>
      </w:pPr>
      <w:r>
        <w:rPr>
          <w:rFonts w:ascii="Arial" w:hAnsi="Arial"/>
          <w:color w:val="111827"/>
          <w:sz w:val="20"/>
        </w:rPr>
        <w:t>Table test: official table blocks are unchanged in row order, labels and values; only adjacent prose/metadata may differ.</w:t>
      </w:r>
    </w:p>
    <w:p>
      <w:pPr>
        <w:pStyle w:val="ListBullet"/>
        <w:spacing w:after="60" w:line="252" w:lineRule="auto"/>
      </w:pPr>
      <w:r>
        <w:rPr>
          <w:rFonts w:ascii="Arial" w:hAnsi="Arial"/>
          <w:color w:val="111827"/>
          <w:sz w:val="20"/>
        </w:rPr>
        <w:t>Structured-data test: JSON-LD matches visible page content and passes syntax/eligibility checks; no claim is added only for markup.</w:t>
      </w:r>
    </w:p>
    <w:p>
      <w:pPr>
        <w:pStyle w:val="ListBullet"/>
        <w:spacing w:after="60" w:line="252" w:lineRule="auto"/>
      </w:pPr>
      <w:r>
        <w:rPr>
          <w:rFonts w:ascii="Arial" w:hAnsi="Arial"/>
          <w:color w:val="111827"/>
          <w:sz w:val="20"/>
        </w:rPr>
        <w:t>Visual regression test: same screenshots/layout measurements before and after the text/metadata patch at desktop and mobile widths.</w:t>
      </w:r>
    </w:p>
    <w:p>
      <w:pPr>
        <w:pStyle w:val="Heading1"/>
        <w:keepNext/>
        <w:spacing w:before="240" w:after="100"/>
      </w:pPr>
      <w:r>
        <w:t>Glossary</w:t>
      </w:r>
    </w:p>
    <w:tbl>
      <w:tblPr>
        <w:tblW w:type="auto" w:w="0"/>
        <w:jc w:val="center"/>
        <w:tblLayout w:type="fixed"/>
        <w:tblLook w:firstColumn="1" w:firstRow="1" w:lastColumn="0" w:lastRow="0" w:noHBand="0" w:noVBand="1" w:val="04A0"/>
      </w:tblPr>
      <w:tblGrid>
        <w:gridCol w:w="4896"/>
        <w:gridCol w:w="4896"/>
      </w:tblGrid>
      <w:tr>
        <w:trPr>
          <w:tblHeader w:val="true"/>
          <w:cantSplit/>
        </w:trPr>
        <w:tc>
          <w:tcPr>
            <w:tcW w:type="dxa" w:w="144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Term</w:t>
            </w:r>
          </w:p>
        </w:tc>
        <w:tc>
          <w:tcPr>
            <w:tcW w:type="dxa" w:w="8280"/>
            <w:shd w:fill="1B2A4A"/>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jc w:val="left"/>
            </w:pPr>
            <w:r>
              <w:rPr>
                <w:rFonts w:ascii="Arial" w:hAnsi="Arial"/>
                <w:b/>
                <w:color w:val="FFFFFF"/>
                <w:sz w:val="17"/>
              </w:rPr>
              <w:t>Meaning</w:t>
            </w:r>
          </w:p>
        </w:tc>
      </w:tr>
      <w:tr>
        <w:trPr>
          <w:cantSplit/>
        </w:trPr>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SEO</w:t>
            </w:r>
          </w:p>
        </w:tc>
        <w:tc>
          <w:tcPr>
            <w:tcW w:type="dxa" w:w="82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Search Engine Optimization: improving crawlability, relevance, snippets, authority and user satisfaction for traditional search.</w:t>
            </w:r>
          </w:p>
        </w:tc>
      </w:tr>
      <w:tr>
        <w:trPr>
          <w:cantSplit/>
        </w:trPr>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GEO</w:t>
            </w:r>
          </w:p>
        </w:tc>
        <w:tc>
          <w:tcPr>
            <w:tcW w:type="dxa" w:w="82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Generative Engine Optimization: making reliable, attributable entity and content signals easier for AI-powered answer systems to understand and cite.</w:t>
            </w:r>
          </w:p>
        </w:tc>
      </w:tr>
      <w:tr>
        <w:trPr>
          <w:cantSplit/>
        </w:trPr>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AEO</w:t>
            </w:r>
          </w:p>
        </w:tc>
        <w:tc>
          <w:tcPr>
            <w:tcW w:type="dxa" w:w="82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Answer Engine Optimization: structuring content to answer specific user questions clearly in search features and assistants.</w:t>
            </w:r>
          </w:p>
        </w:tc>
      </w:tr>
      <w:tr>
        <w:trPr>
          <w:cantSplit/>
        </w:trPr>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SERP</w:t>
            </w:r>
          </w:p>
        </w:tc>
        <w:tc>
          <w:tcPr>
            <w:tcW w:type="dxa" w:w="82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Search Engine Results Page.</w:t>
            </w:r>
          </w:p>
        </w:tc>
      </w:tr>
      <w:tr>
        <w:trPr>
          <w:cantSplit/>
        </w:trPr>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PAA</w:t>
            </w:r>
          </w:p>
        </w:tc>
        <w:tc>
          <w:tcPr>
            <w:tcW w:type="dxa" w:w="82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People Also Ask questions shown by Google for some searches.</w:t>
            </w:r>
          </w:p>
        </w:tc>
      </w:tr>
      <w:tr>
        <w:trPr>
          <w:cantSplit/>
        </w:trPr>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GSC</w:t>
            </w:r>
          </w:p>
        </w:tc>
        <w:tc>
          <w:tcPr>
            <w:tcW w:type="dxa" w:w="82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Google Search Console, the first-party source for a site’s query, click, impression, indexing and position data.</w:t>
            </w:r>
          </w:p>
        </w:tc>
      </w:tr>
      <w:tr>
        <w:trPr>
          <w:cantSplit/>
        </w:trPr>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RCIC</w:t>
            </w:r>
          </w:p>
        </w:tc>
        <w:tc>
          <w:tcPr>
            <w:tcW w:type="dxa" w:w="82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Regulated Canadian Immigration Consultant. Verify the individual’s current status through the CICC Public Register.</w:t>
            </w:r>
          </w:p>
        </w:tc>
      </w:tr>
      <w:tr>
        <w:trPr>
          <w:cantSplit/>
        </w:trPr>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CICC</w:t>
            </w:r>
          </w:p>
        </w:tc>
        <w:tc>
          <w:tcPr>
            <w:tcW w:type="dxa" w:w="82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College of Immigration and Citizenship Consultants, the regulator referenced by the site.</w:t>
            </w:r>
          </w:p>
        </w:tc>
      </w:tr>
      <w:tr>
        <w:trPr>
          <w:cantSplit/>
        </w:trPr>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NAP</w:t>
            </w:r>
          </w:p>
        </w:tc>
        <w:tc>
          <w:tcPr>
            <w:tcW w:type="dxa" w:w="82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Name, Address and Phone consistency across the website and external business profiles.</w:t>
            </w:r>
          </w:p>
        </w:tc>
      </w:tr>
      <w:tr>
        <w:trPr>
          <w:cantSplit/>
        </w:trPr>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CRS</w:t>
            </w:r>
          </w:p>
        </w:tc>
        <w:tc>
          <w:tcPr>
            <w:tcW w:type="dxa" w:w="82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Comprehensive Ranking System used in Express Entry.</w:t>
            </w:r>
          </w:p>
        </w:tc>
      </w:tr>
      <w:tr>
        <w:trPr>
          <w:cantSplit/>
        </w:trPr>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PNP</w:t>
            </w:r>
          </w:p>
        </w:tc>
        <w:tc>
          <w:tcPr>
            <w:tcW w:type="dxa" w:w="82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Provincial Nominee Program.</w:t>
            </w:r>
          </w:p>
        </w:tc>
      </w:tr>
      <w:tr>
        <w:trPr>
          <w:cantSplit/>
        </w:trPr>
        <w:tc>
          <w:tcPr>
            <w:tcW w:type="dxa" w:w="144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PFL</w:t>
            </w:r>
          </w:p>
        </w:tc>
        <w:tc>
          <w:tcPr>
            <w:tcW w:type="dxa" w:w="8280"/>
            <w:shd w:fill="F8FAFC"/>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Procedural Fairness Letter.</w:t>
            </w:r>
          </w:p>
        </w:tc>
      </w:tr>
      <w:tr>
        <w:trPr>
          <w:cantSplit/>
        </w:trPr>
        <w:tc>
          <w:tcPr>
            <w:tcW w:type="dxa" w:w="144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KD</w:t>
            </w:r>
          </w:p>
        </w:tc>
        <w:tc>
          <w:tcPr>
            <w:tcW w:type="dxa" w:w="8280"/>
            <w:tcBorders>
              <w:top w:val="single" w:sz="6" w:color="D9D9D9"/>
              <w:left w:val="single" w:sz="6" w:color="D9D9D9"/>
              <w:bottom w:val="single" w:sz="6" w:color="D9D9D9"/>
              <w:right w:val="single" w:sz="6" w:color="D9D9D9"/>
            </w:tcBorders>
            <w:tcMar>
              <w:top w:w="100" w:type="dxa"/>
              <w:start w:w="120" w:type="dxa"/>
              <w:bottom w:w="100" w:type="dxa"/>
              <w:end w:w="120" w:type="dxa"/>
            </w:tcMar>
            <w:vAlign w:val="center"/>
          </w:tcPr>
          <w:p>
            <w:pPr>
              <w:spacing w:after="0" w:line="240" w:lineRule="auto"/>
            </w:pPr>
            <w:r>
              <w:rPr>
                <w:rFonts w:ascii="Arial" w:hAnsi="Arial"/>
                <w:color w:val="111827"/>
                <w:sz w:val="17"/>
              </w:rPr>
              <w:t>Keyword Difficulty, a third-party tool metric. No KD values are claimed in this report.</w:t>
            </w:r>
          </w:p>
        </w:tc>
      </w:tr>
    </w:tbl>
    <w:p>
      <w:pPr>
        <w:spacing w:after="20"/>
      </w:pP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4B5563"/>
        <w:sz w:val="16"/>
      </w:rPr>
      <w:t xml:space="preserve">Internal review report  |  7 September 2026  |  Page </w:t>
    </w:r>
    <w:r>
      <w:rPr>
        <w:rFonts w:ascii="Arial" w:hAnsi="Arial"/>
        <w:color w:val="4B556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4B5563"/>
        <w:sz w:val="16"/>
      </w:rPr>
      <w:t>Commonwealth Migration Canada  |  SEO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2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11182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egister.college-ic.ca/" TargetMode="External"/><Relationship Id="rId12" Type="http://schemas.openxmlformats.org/officeDocument/2006/relationships/hyperlink" Target="https://www.canada.ca/en/immigration-refugees-citizenship/services/immigrate-canada.html" TargetMode="External"/><Relationship Id="rId13" Type="http://schemas.openxmlformats.org/officeDocument/2006/relationships/hyperlink" Target="https://www.canada.ca/en/immigration-refugees-citizenship/services/immigrate-canada/express-entry.html" TargetMode="External"/><Relationship Id="rId14" Type="http://schemas.openxmlformats.org/officeDocument/2006/relationships/hyperlink" Target="https://www.canada.ca/en/immigration-refugees-citizenship/services/immigrate-canada/provincial-nominees.html" TargetMode="External"/><Relationship Id="rId15" Type="http://schemas.openxmlformats.org/officeDocument/2006/relationships/hyperlink" Target="https://www.canada.ca/en/immigration-refugees-citizenship/services/come-canada-tool-immigration-express-entry.html" TargetMode="External"/><Relationship Id="rId16" Type="http://schemas.openxmlformats.org/officeDocument/2006/relationships/hyperlink" Target="https://developers.google.com/search/docs/appearance/title-link" TargetMode="External"/><Relationship Id="rId17" Type="http://schemas.openxmlformats.org/officeDocument/2006/relationships/hyperlink" Target="https://developers.google.com/search/docs/appearance/snippet" TargetMode="External"/><Relationship Id="rId18" Type="http://schemas.openxmlformats.org/officeDocument/2006/relationships/hyperlink" Target="https://developers.google.com/search/docs/essentials" TargetMode="External"/><Relationship Id="rId19" Type="http://schemas.openxmlformats.org/officeDocument/2006/relationships/hyperlink" Target="https://developers.google.com/search/docs/essentials/spam-policies" TargetMode="External"/><Relationship Id="rId20" Type="http://schemas.openxmlformats.org/officeDocument/2006/relationships/hyperlink" Target="https://developers.google.com/search/docs/appearance/structured-data/sd-policies" TargetMode="External"/><Relationship Id="rId21" Type="http://schemas.openxmlformats.org/officeDocument/2006/relationships/hyperlink" Target="https://developers.google.com/search/docs/appearance/structured-data/qapage" TargetMode="External"/><Relationship Id="rId22" Type="http://schemas.openxmlformats.org/officeDocument/2006/relationships/hyperlink" Target="https://www.google.com/search?q=immigration+consultant+Brampton" TargetMode="External"/><Relationship Id="rId23" Type="http://schemas.openxmlformats.org/officeDocument/2006/relationships/hyperlink" Target="https://www.google.com/search?q=Express+Entry+consultant+Canada" TargetMode="External"/><Relationship Id="rId24" Type="http://schemas.openxmlformats.org/officeDocument/2006/relationships/hyperlink" Target="https://www.google.com/search?q=free+Canada+immigration+assessment" TargetMode="External"/><Relationship Id="rId25" Type="http://schemas.openxmlformats.org/officeDocument/2006/relationships/hyperlink" Target="https://trends.google.com/trends/explore?geo=CA&amp;q=immigration%20consultant%20Brampton,Express%20Entry%20Canada,Canada%20work%20permit" TargetMode="External"/><Relationship Id="rId26" Type="http://schemas.openxmlformats.org/officeDocument/2006/relationships/hyperlink" Target="https://ahrefs.com/keyword-generator/" TargetMode="External"/><Relationship Id="rId27" Type="http://schemas.openxmlformats.org/officeDocument/2006/relationships/hyperlink" Target="https://www.semrush.com/analytics/keywordmagic/?db=ca&amp;keyword=immigration+consultant+Brampton" TargetMode="External"/><Relationship Id="rId28" Type="http://schemas.openxmlformats.org/officeDocument/2006/relationships/hyperlink" Target="https://www.semrush.com/analytics/keywordmagic/?db=ca&amp;keyword=Express+Entry+Canada" TargetMode="External"/><Relationship Id="rId29" Type="http://schemas.openxmlformats.org/officeDocument/2006/relationships/hyperlink" Target="https://www.semrush.com/analytics/keywordmagic/?db=ca&amp;keyword=Canada+work+permit" TargetMode="External"/><Relationship Id="rId30" Type="http://schemas.openxmlformats.org/officeDocument/2006/relationships/hyperlink" Target="https://www.semrush.com/analytics/keywordmagic/?db=ca&amp;keyword=Canada+study+permit" TargetMode="External"/><Relationship Id="rId31" Type="http://schemas.openxmlformats.org/officeDocument/2006/relationships/hyperlink" Target="https://ubersuggest.zendesk.com/hc/en-us/articles/22109561915419-Keyword-Ideas-Understanding-and-Using-the-Keyword-Tabs" TargetMode="External"/><Relationship Id="rId32" Type="http://schemas.openxmlformats.org/officeDocument/2006/relationships/hyperlink" Target="https://chkimmigration.ca/brampton.php" TargetMode="External"/><Relationship Id="rId33" Type="http://schemas.openxmlformats.org/officeDocument/2006/relationships/hyperlink" Target="https://www.mirzoyanimmigration.ca/service-areas/immigration-consultant-brampton" TargetMode="External"/><Relationship Id="rId34" Type="http://schemas.openxmlformats.org/officeDocument/2006/relationships/hyperlink" Target="https://www.rnrimmigration.ca/" TargetMode="External"/><Relationship Id="rId35" Type="http://schemas.openxmlformats.org/officeDocument/2006/relationships/hyperlink" Target="https://blueirisimmigration.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Migration Canada SEO Audit</dc:title>
  <dc:subject>SEO, GEO and AEO audit for commonwealthmigration.ca</dc:subject>
  <dc:creator>OpenAI</dc:creator>
  <cp:keywords>SEO, GEO, AEO, Canadian immigration, Brampton, RCIC</cp:keywords>
  <dc:description>generated by python-docx</dc:description>
  <cp:lastModifiedBy/>
  <cp:revision>1</cp:revision>
  <dcterms:created xsi:type="dcterms:W3CDTF">2013-12-23T23:15:00Z</dcterms:created>
  <dcterms:modified xsi:type="dcterms:W3CDTF">2013-12-23T23:15:00Z</dcterms:modified>
  <cp:category/>
</cp:coreProperties>
</file>