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rFonts w:ascii="Arial" w:hAnsi="Arial"/>
          <w:b/>
          <w:i w:val="0"/>
          <w:color w:val="000000"/>
          <w:sz w:val="54"/>
        </w:rPr>
        <w:t>Website Speed and SERP Readiness Audit</w:t>
      </w:r>
    </w:p>
    <w:p>
      <w:pPr>
        <w:spacing w:after="60"/>
      </w:pPr>
      <w:r>
        <w:rPr>
          <w:rFonts w:ascii="Arial" w:hAnsi="Arial"/>
          <w:b/>
          <w:i w:val="0"/>
          <w:color w:val="1B2A4A"/>
          <w:sz w:val="30"/>
        </w:rPr>
        <w:t>Commonwealth Migration Canada</w:t>
      </w:r>
    </w:p>
    <w:p>
      <w:pPr>
        <w:spacing w:after="240"/>
      </w:pPr>
      <w:r>
        <w:rPr>
          <w:rFonts w:ascii="Arial" w:hAnsi="Arial"/>
          <w:b w:val="0"/>
          <w:i w:val="0"/>
          <w:color w:val="475569"/>
          <w:sz w:val="19"/>
        </w:rPr>
        <w:t>Full site crawl and mobile/desktop performance review  |  20 October 2026</w:t>
      </w:r>
    </w:p>
    <w:p>
      <w:pPr>
        <w:pStyle w:val="Heading1"/>
      </w:pPr>
      <w:r>
        <w:t>Executive Summary</w:t>
      </w:r>
    </w:p>
    <w:p>
      <w:pPr>
        <w:spacing w:after="160"/>
      </w:pPr>
      <w:r>
        <w:rPr>
          <w:rFonts w:ascii="Arial" w:hAnsi="Arial"/>
          <w:b/>
          <w:i w:val="0"/>
          <w:color w:val="1E293B"/>
          <w:sz w:val="21"/>
        </w:rPr>
        <w:t xml:space="preserve">The site is not yet fully optimized for mobile performance or ready to be described as fully SERP-optimized. </w:t>
      </w:r>
      <w:r>
        <w:rPr>
          <w:rFonts w:ascii="Arial" w:hAnsi="Arial"/>
          <w:b w:val="0"/>
          <w:i w:val="0"/>
          <w:color w:val="1E293B"/>
          <w:sz w:val="21"/>
        </w:rPr>
        <w:t>The live sitemap crawl covered 155 URLs and found a strong technical crawl baseline: each route was reachable after retry, had a self-referencing canonical and one H1, and no missing image alt text or duplicate title/description was detected. But all three sampled mobile PageSpeed reports have LCP above 4 seconds, while Google’s good LCP target is 2.5 seconds or faster. The current worktree contains speed changes and builds locally; it has not been deployed, so the live PageSpeed results do not measure those changes.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69"/>
        <w:gridCol w:w="2469"/>
        <w:gridCol w:w="2469"/>
        <w:gridCol w:w="2469"/>
      </w:tblGrid>
      <w:tr>
        <w:trPr>
          <w:tblHeader w:val="true"/>
        </w:trPr>
        <w:tc>
          <w:tcPr>
            <w:tcW w:type="dxa" w:w="1224"/>
            <w:vAlign w:val="center"/>
            <w:shd w:fill="1B2A4A"/>
            <w:tcMar>
              <w:top w:w="100" w:type="dxa"/>
              <w:start w:w="105" w:type="dxa"/>
              <w:bottom w:w="100" w:type="dxa"/>
              <w:end w:w="105" w:type="dxa"/>
            </w:tcMar>
          </w:tcPr>
          <w:p>
            <w:pPr>
              <w:spacing w:after="0"/>
              <w:jc w:val="left"/>
            </w:pPr>
            <w:r>
              <w:rPr>
                <w:rFonts w:ascii="Arial" w:hAnsi="Arial"/>
                <w:b/>
                <w:i w:val="0"/>
                <w:color w:val="FFFFFF"/>
                <w:sz w:val="17"/>
              </w:rPr>
              <w:t>Dimension</w:t>
            </w:r>
          </w:p>
        </w:tc>
        <w:tc>
          <w:tcPr>
            <w:tcW w:type="dxa" w:w="936"/>
            <w:vAlign w:val="center"/>
            <w:shd w:fill="1B2A4A"/>
            <w:tcMar>
              <w:top w:w="100" w:type="dxa"/>
              <w:start w:w="105" w:type="dxa"/>
              <w:bottom w:w="100" w:type="dxa"/>
              <w:end w:w="105" w:type="dxa"/>
            </w:tcMar>
          </w:tcPr>
          <w:p>
            <w:pPr>
              <w:spacing w:after="0"/>
              <w:jc w:val="left"/>
            </w:pPr>
            <w:r>
              <w:rPr>
                <w:rFonts w:ascii="Arial" w:hAnsi="Arial"/>
                <w:b/>
                <w:i w:val="0"/>
                <w:color w:val="FFFFFF"/>
                <w:sz w:val="17"/>
              </w:rPr>
              <w:t>Score</w:t>
            </w:r>
          </w:p>
        </w:tc>
        <w:tc>
          <w:tcPr>
            <w:tcW w:type="dxa" w:w="2088"/>
            <w:vAlign w:val="center"/>
            <w:shd w:fill="1B2A4A"/>
            <w:tcMar>
              <w:top w:w="100" w:type="dxa"/>
              <w:start w:w="105" w:type="dxa"/>
              <w:bottom w:w="100" w:type="dxa"/>
              <w:end w:w="105" w:type="dxa"/>
            </w:tcMar>
          </w:tcPr>
          <w:p>
            <w:pPr>
              <w:spacing w:after="0"/>
              <w:jc w:val="left"/>
            </w:pPr>
            <w:r>
              <w:rPr>
                <w:rFonts w:ascii="Arial" w:hAnsi="Arial"/>
                <w:b/>
                <w:i w:val="0"/>
                <w:color w:val="FFFFFF"/>
                <w:sz w:val="17"/>
              </w:rPr>
              <w:t>Status</w:t>
            </w:r>
          </w:p>
        </w:tc>
        <w:tc>
          <w:tcPr>
            <w:tcW w:type="dxa" w:w="5112"/>
            <w:vAlign w:val="center"/>
            <w:shd w:fill="1B2A4A"/>
            <w:tcMar>
              <w:top w:w="100" w:type="dxa"/>
              <w:start w:w="105" w:type="dxa"/>
              <w:bottom w:w="100" w:type="dxa"/>
              <w:end w:w="105" w:type="dxa"/>
            </w:tcMar>
          </w:tcPr>
          <w:p>
            <w:pPr>
              <w:spacing w:after="0"/>
              <w:jc w:val="left"/>
            </w:pPr>
            <w:r>
              <w:rPr>
                <w:rFonts w:ascii="Arial" w:hAnsi="Arial"/>
                <w:b/>
                <w:i w:val="0"/>
                <w:color w:val="FFFFFF"/>
                <w:sz w:val="17"/>
              </w:rPr>
              <w:t>Evidence summary</w:t>
            </w:r>
          </w:p>
        </w:tc>
      </w:tr>
      <w:tr>
        <w:trPr>
          <w:cantSplit/>
        </w:trPr>
        <w:tc>
          <w:tcPr>
            <w:tcW w:type="dxa" w:w="1224"/>
            <w:vAlign w:val="center"/>
            <w:tcMar>
              <w:top w:w="75" w:type="dxa"/>
              <w:start w:w="105" w:type="dxa"/>
              <w:bottom w:w="75" w:type="dxa"/>
              <w:end w:w="105" w:type="dxa"/>
            </w:tcMar>
          </w:tcPr>
          <w:p>
            <w:pPr>
              <w:spacing w:after="0" w:line="240" w:lineRule="auto"/>
            </w:pPr>
            <w:r>
              <w:rPr>
                <w:rFonts w:ascii="Arial" w:hAnsi="Arial"/>
                <w:b w:val="0"/>
                <w:i w:val="0"/>
                <w:color w:val="1E293B"/>
                <w:sz w:val="17"/>
              </w:rPr>
              <w:t>SEO</w:t>
            </w:r>
          </w:p>
        </w:tc>
        <w:tc>
          <w:tcPr>
            <w:tcW w:type="dxa" w:w="936"/>
            <w:vAlign w:val="center"/>
            <w:tcMar>
              <w:top w:w="75" w:type="dxa"/>
              <w:start w:w="105" w:type="dxa"/>
              <w:bottom w:w="75" w:type="dxa"/>
              <w:end w:w="105" w:type="dxa"/>
            </w:tcMar>
          </w:tcPr>
          <w:p>
            <w:pPr>
              <w:spacing w:after="0" w:line="240" w:lineRule="auto"/>
            </w:pPr>
            <w:r>
              <w:rPr>
                <w:rFonts w:ascii="Arial" w:hAnsi="Arial"/>
                <w:b w:val="0"/>
                <w:i w:val="0"/>
                <w:color w:val="1E293B"/>
                <w:sz w:val="17"/>
              </w:rPr>
              <w:t>7/10</w:t>
            </w:r>
          </w:p>
        </w:tc>
        <w:tc>
          <w:tcPr>
            <w:tcW w:type="dxa" w:w="2088"/>
            <w:vAlign w:val="center"/>
            <w:tcMar>
              <w:top w:w="75" w:type="dxa"/>
              <w:start w:w="105" w:type="dxa"/>
              <w:bottom w:w="75" w:type="dxa"/>
              <w:end w:w="105" w:type="dxa"/>
            </w:tcMar>
          </w:tcPr>
          <w:p>
            <w:pPr>
              <w:spacing w:after="0" w:line="240" w:lineRule="auto"/>
            </w:pPr>
            <w:r>
              <w:rPr>
                <w:rFonts w:ascii="Arial" w:hAnsi="Arial"/>
                <w:b w:val="0"/>
                <w:i w:val="0"/>
                <w:color w:val="1E293B"/>
                <w:sz w:val="17"/>
              </w:rPr>
              <w:t>On track with important fixes</w:t>
            </w:r>
          </w:p>
        </w:tc>
        <w:tc>
          <w:tcPr>
            <w:tcW w:type="dxa" w:w="5112"/>
            <w:vAlign w:val="center"/>
            <w:tcMar>
              <w:top w:w="75" w:type="dxa"/>
              <w:start w:w="105" w:type="dxa"/>
              <w:bottom w:w="75" w:type="dxa"/>
              <w:end w:w="105" w:type="dxa"/>
            </w:tcMar>
          </w:tcPr>
          <w:p>
            <w:pPr>
              <w:spacing w:after="0" w:line="240" w:lineRule="auto"/>
            </w:pPr>
            <w:r>
              <w:rPr>
                <w:rFonts w:ascii="Arial" w:hAnsi="Arial"/>
                <w:b w:val="0"/>
                <w:i w:val="0"/>
                <w:color w:val="1E293B"/>
                <w:sz w:val="17"/>
              </w:rPr>
              <w:t>Technical crawl signals are consistent; the GTS page has a major topic mismatch and mobile LCP remains poor.</w:t>
            </w:r>
          </w:p>
        </w:tc>
      </w:tr>
      <w:tr>
        <w:trPr>
          <w:cantSplit/>
        </w:trPr>
        <w:tc>
          <w:tcPr>
            <w:tcW w:type="dxa" w:w="1224"/>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GEO</w:t>
            </w:r>
          </w:p>
        </w:tc>
        <w:tc>
          <w:tcPr>
            <w:tcW w:type="dxa" w:w="936"/>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6/10</w:t>
            </w:r>
          </w:p>
        </w:tc>
        <w:tc>
          <w:tcPr>
            <w:tcW w:type="dxa" w:w="2088"/>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Needs focused improvement</w:t>
            </w:r>
          </w:p>
        </w:tc>
        <w:tc>
          <w:tcPr>
            <w:tcW w:type="dxa" w:w="5112"/>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Licensed consultant and business identity signals are visible; topic accuracy and source support need editorial review.</w:t>
            </w:r>
          </w:p>
        </w:tc>
      </w:tr>
      <w:tr>
        <w:trPr>
          <w:cantSplit/>
        </w:trPr>
        <w:tc>
          <w:tcPr>
            <w:tcW w:type="dxa" w:w="1224"/>
            <w:vAlign w:val="center"/>
            <w:tcMar>
              <w:top w:w="75" w:type="dxa"/>
              <w:start w:w="105" w:type="dxa"/>
              <w:bottom w:w="75" w:type="dxa"/>
              <w:end w:w="105" w:type="dxa"/>
            </w:tcMar>
          </w:tcPr>
          <w:p>
            <w:pPr>
              <w:spacing w:after="0" w:line="240" w:lineRule="auto"/>
            </w:pPr>
            <w:r>
              <w:rPr>
                <w:rFonts w:ascii="Arial" w:hAnsi="Arial"/>
                <w:b w:val="0"/>
                <w:i w:val="0"/>
                <w:color w:val="1E293B"/>
                <w:sz w:val="17"/>
              </w:rPr>
              <w:t>AEO</w:t>
            </w:r>
          </w:p>
        </w:tc>
        <w:tc>
          <w:tcPr>
            <w:tcW w:type="dxa" w:w="936"/>
            <w:vAlign w:val="center"/>
            <w:tcMar>
              <w:top w:w="75" w:type="dxa"/>
              <w:start w:w="105" w:type="dxa"/>
              <w:bottom w:w="75" w:type="dxa"/>
              <w:end w:w="105" w:type="dxa"/>
            </w:tcMar>
          </w:tcPr>
          <w:p>
            <w:pPr>
              <w:spacing w:after="0" w:line="240" w:lineRule="auto"/>
            </w:pPr>
            <w:r>
              <w:rPr>
                <w:rFonts w:ascii="Arial" w:hAnsi="Arial"/>
                <w:b w:val="0"/>
                <w:i w:val="0"/>
                <w:color w:val="1E293B"/>
                <w:sz w:val="17"/>
              </w:rPr>
              <w:t>7/10</w:t>
            </w:r>
          </w:p>
        </w:tc>
        <w:tc>
          <w:tcPr>
            <w:tcW w:type="dxa" w:w="2088"/>
            <w:vAlign w:val="center"/>
            <w:tcMar>
              <w:top w:w="75" w:type="dxa"/>
              <w:start w:w="105" w:type="dxa"/>
              <w:bottom w:w="75" w:type="dxa"/>
              <w:end w:w="105" w:type="dxa"/>
            </w:tcMar>
          </w:tcPr>
          <w:p>
            <w:pPr>
              <w:spacing w:after="0" w:line="240" w:lineRule="auto"/>
            </w:pPr>
            <w:r>
              <w:rPr>
                <w:rFonts w:ascii="Arial" w:hAnsi="Arial"/>
                <w:b w:val="0"/>
                <w:i w:val="0"/>
                <w:color w:val="1E293B"/>
                <w:sz w:val="17"/>
              </w:rPr>
              <w:t>On track with limits</w:t>
            </w:r>
          </w:p>
        </w:tc>
        <w:tc>
          <w:tcPr>
            <w:tcW w:type="dxa" w:w="5112"/>
            <w:vAlign w:val="center"/>
            <w:tcMar>
              <w:top w:w="75" w:type="dxa"/>
              <w:start w:w="105" w:type="dxa"/>
              <w:bottom w:w="75" w:type="dxa"/>
              <w:end w:w="105" w:type="dxa"/>
            </w:tcMar>
          </w:tcPr>
          <w:p>
            <w:pPr>
              <w:spacing w:after="0" w:line="240" w:lineRule="auto"/>
            </w:pPr>
            <w:r>
              <w:rPr>
                <w:rFonts w:ascii="Arial" w:hAnsi="Arial"/>
                <w:b w:val="0"/>
                <w:i w:val="0"/>
                <w:color w:val="1E293B"/>
                <w:sz w:val="17"/>
              </w:rPr>
              <w:t>Question headings and FAQs are present; FAQ markup does not guarantee a Google rich result for this business.</w:t>
            </w:r>
          </w:p>
        </w:tc>
      </w:tr>
    </w:tbl>
    <w:p>
      <w:pPr>
        <w:spacing w:before="60"/>
      </w:pPr>
      <w:r>
        <w:rPr>
          <w:rFonts w:ascii="Arial" w:hAnsi="Arial"/>
          <w:b/>
          <w:i w:val="0"/>
          <w:color w:val="1B2A4A"/>
          <w:sz w:val="18"/>
        </w:rPr>
        <w:t xml:space="preserve">Combined audit judgment: 20/30. </w:t>
      </w:r>
      <w:r>
        <w:rPr>
          <w:rFonts w:ascii="Arial" w:hAnsi="Arial"/>
          <w:b w:val="0"/>
          <w:i w:val="0"/>
          <w:color w:val="475569"/>
          <w:sz w:val="18"/>
        </w:rPr>
        <w:t>The score reflects the audited SEO, GEO and AEO signals; it is not a Google metric.</w:t>
      </w:r>
    </w:p>
    <w:p>
      <w:pPr>
        <w:spacing w:before="100"/>
      </w:pPr>
      <w:r>
        <w:rPr>
          <w:rFonts w:ascii="Arial" w:hAnsi="Arial"/>
          <w:b/>
          <w:i w:val="0"/>
          <w:color w:val="475569"/>
          <w:sz w:val="18"/>
        </w:rPr>
        <w:t xml:space="preserve">These are audit judgments, not Google rankings or PageSpeed scores. </w:t>
      </w:r>
      <w:r>
        <w:rPr>
          <w:rFonts w:ascii="Arial" w:hAnsi="Arial"/>
          <w:b w:val="0"/>
          <w:i w:val="0"/>
          <w:color w:val="475569"/>
          <w:sz w:val="18"/>
        </w:rPr>
        <w:t>Search position also depends on relevance, content quality, competition, links, location and other signals. Google describes Core Web Vitals as part of page experience, not a guarantee of ranking.</w:t>
      </w:r>
    </w:p>
    <w:p>
      <w:pPr>
        <w:pStyle w:val="Heading2"/>
      </w:pPr>
      <w:r>
        <w:t>Highest-priority findings</w:t>
      </w:r>
    </w:p>
    <w:p>
      <w:r>
        <w:rPr>
          <w:rFonts w:ascii="Arial" w:hAnsi="Arial"/>
          <w:b/>
          <w:i w:val="0"/>
          <w:color w:val="1E293B"/>
          <w:sz w:val="20"/>
        </w:rPr>
        <w:t xml:space="preserve">Mobile LCP: </w:t>
      </w:r>
      <w:r>
        <w:rPr>
          <w:rFonts w:ascii="Arial" w:hAnsi="Arial"/>
          <w:b w:val="0"/>
          <w:i w:val="0"/>
          <w:color w:val="1E293B"/>
          <w:sz w:val="20"/>
        </w:rPr>
        <w:t>Home 4.1s, CRS calculator 4.8s and blog 4.2s in live lab reports. Each is outside the 2.5s good threshold.</w:t>
      </w:r>
    </w:p>
    <w:p>
      <w:r>
        <w:rPr>
          <w:rFonts w:ascii="Arial" w:hAnsi="Arial"/>
          <w:b/>
          <w:i w:val="0"/>
          <w:color w:val="1E293B"/>
          <w:sz w:val="20"/>
        </w:rPr>
        <w:t xml:space="preserve">Blog desktop responsiveness: </w:t>
      </w:r>
      <w:r>
        <w:rPr>
          <w:rFonts w:ascii="Arial" w:hAnsi="Arial"/>
          <w:b w:val="0"/>
          <w:i w:val="0"/>
          <w:color w:val="1E293B"/>
          <w:sz w:val="20"/>
        </w:rPr>
        <w:t>the blog report scored 65 with 1.75s TBT and a 1.51s shared React/runtime task; diagnose the remaining long task after deployment.</w:t>
      </w:r>
    </w:p>
    <w:p>
      <w:r>
        <w:rPr>
          <w:rFonts w:ascii="Arial" w:hAnsi="Arial"/>
          <w:b/>
          <w:i w:val="0"/>
          <w:color w:val="1E293B"/>
          <w:sz w:val="20"/>
        </w:rPr>
        <w:t xml:space="preserve">Content relevance: </w:t>
      </w:r>
      <w:r>
        <w:rPr>
          <w:rFonts w:ascii="Arial" w:hAnsi="Arial"/>
          <w:b w:val="0"/>
          <w:i w:val="0"/>
          <w:color w:val="1E293B"/>
          <w:sz w:val="20"/>
        </w:rPr>
        <w:t>the live Global Talent Stream page contains study-permit and post-graduation content under GTS headings. This is a SERP and trust concern; its visible copy needs editorial correction.</w:t>
      </w:r>
    </w:p>
    <w:p>
      <w:r>
        <w:br w:type="page"/>
      </w:r>
    </w:p>
    <w:p>
      <w:pPr>
        <w:pStyle w:val="Heading1"/>
      </w:pPr>
      <w:r>
        <w:t>Scope and Evidence</w:t>
      </w:r>
    </w:p>
    <w:p>
      <w:r>
        <w:t>The audit used the live production site and its XML sitemap, robots.txt, browser-rendered pages, and Google PageSpeed Insights lab reports captured on 20 October 2026. The sitemap contained 155 URLs. All 155 were reviewed; one route required a retry and then loaded successfully. The route list appears in the Pages Audited appendix.</w:t>
      </w:r>
    </w:p>
    <w:p>
      <w:r>
        <w:t>Performance testing sampled three page families that carry distinct client-side behavior: the homepage, CRS calculator, and blog article. Each has a mobile and desktop PageSpeed report. This is representative template coverage, not a PSI run for every sitemap URL at both device sizes. PageSpeed reported no CrUX field data for these URLs, so the scores below describe lab conditions and do not establish real-user Core Web Vitals.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1728"/>
            <w:vAlign w:val="center"/>
            <w:shd w:fill="1B2A4A"/>
            <w:tcMar>
              <w:top w:w="100" w:type="dxa"/>
              <w:start w:w="105" w:type="dxa"/>
              <w:bottom w:w="100" w:type="dxa"/>
              <w:end w:w="105" w:type="dxa"/>
            </w:tcMar>
          </w:tcPr>
          <w:p>
            <w:pPr>
              <w:spacing w:after="0"/>
              <w:jc w:val="left"/>
            </w:pPr>
            <w:r>
              <w:rPr>
                <w:rFonts w:ascii="Arial" w:hAnsi="Arial"/>
                <w:b/>
                <w:i w:val="0"/>
                <w:color w:val="FFFFFF"/>
                <w:sz w:val="17"/>
              </w:rPr>
              <w:t>Signal</w:t>
            </w:r>
          </w:p>
        </w:tc>
        <w:tc>
          <w:tcPr>
            <w:tcW w:type="dxa" w:w="4320"/>
            <w:vAlign w:val="center"/>
            <w:shd w:fill="1B2A4A"/>
            <w:tcMar>
              <w:top w:w="100" w:type="dxa"/>
              <w:start w:w="105" w:type="dxa"/>
              <w:bottom w:w="100" w:type="dxa"/>
              <w:end w:w="105" w:type="dxa"/>
            </w:tcMar>
          </w:tcPr>
          <w:p>
            <w:pPr>
              <w:spacing w:after="0"/>
              <w:jc w:val="left"/>
            </w:pPr>
            <w:r>
              <w:rPr>
                <w:rFonts w:ascii="Arial" w:hAnsi="Arial"/>
                <w:b/>
                <w:i w:val="0"/>
                <w:color w:val="FFFFFF"/>
                <w:sz w:val="17"/>
              </w:rPr>
              <w:t>Observed result</w:t>
            </w:r>
          </w:p>
        </w:tc>
        <w:tc>
          <w:tcPr>
            <w:tcW w:type="dxa" w:w="3312"/>
            <w:vAlign w:val="center"/>
            <w:shd w:fill="1B2A4A"/>
            <w:tcMar>
              <w:top w:w="100" w:type="dxa"/>
              <w:start w:w="105" w:type="dxa"/>
              <w:bottom w:w="100" w:type="dxa"/>
              <w:end w:w="105" w:type="dxa"/>
            </w:tcMar>
          </w:tcPr>
          <w:p>
            <w:pPr>
              <w:spacing w:after="0"/>
              <w:jc w:val="left"/>
            </w:pPr>
            <w:r>
              <w:rPr>
                <w:rFonts w:ascii="Arial" w:hAnsi="Arial"/>
                <w:b/>
                <w:i w:val="0"/>
                <w:color w:val="FFFFFF"/>
                <w:sz w:val="17"/>
              </w:rPr>
              <w:t>Assessment</w:t>
            </w:r>
          </w:p>
        </w:tc>
      </w:tr>
      <w:tr>
        <w:trPr>
          <w:cantSplit/>
        </w:trPr>
        <w:tc>
          <w:tcPr>
            <w:tcW w:type="dxa" w:w="1728"/>
            <w:vAlign w:val="center"/>
            <w:tcMar>
              <w:top w:w="75" w:type="dxa"/>
              <w:start w:w="105" w:type="dxa"/>
              <w:bottom w:w="75" w:type="dxa"/>
              <w:end w:w="105" w:type="dxa"/>
            </w:tcMar>
          </w:tcPr>
          <w:p>
            <w:pPr>
              <w:spacing w:after="0" w:line="240" w:lineRule="auto"/>
            </w:pPr>
            <w:r>
              <w:rPr>
                <w:rFonts w:ascii="Arial" w:hAnsi="Arial"/>
                <w:b w:val="0"/>
                <w:i w:val="0"/>
                <w:color w:val="1E293B"/>
                <w:sz w:val="17"/>
              </w:rPr>
              <w:t>robots.txt</w:t>
            </w:r>
          </w:p>
        </w:tc>
        <w:tc>
          <w:tcPr>
            <w:tcW w:type="dxa" w:w="4320"/>
            <w:vAlign w:val="center"/>
            <w:tcMar>
              <w:top w:w="75" w:type="dxa"/>
              <w:start w:w="105" w:type="dxa"/>
              <w:bottom w:w="75" w:type="dxa"/>
              <w:end w:w="105" w:type="dxa"/>
            </w:tcMar>
          </w:tcPr>
          <w:p>
            <w:pPr>
              <w:spacing w:after="0" w:line="240" w:lineRule="auto"/>
            </w:pPr>
            <w:r>
              <w:rPr>
                <w:rFonts w:ascii="Arial" w:hAnsi="Arial"/>
                <w:b w:val="0"/>
                <w:i w:val="0"/>
                <w:color w:val="1E293B"/>
                <w:sz w:val="17"/>
              </w:rPr>
              <w:t>Allows general crawling; disallows /api; points to the XML sitemap.</w:t>
            </w:r>
          </w:p>
        </w:tc>
        <w:tc>
          <w:tcPr>
            <w:tcW w:type="dxa" w:w="3312"/>
            <w:vAlign w:val="center"/>
            <w:tcMar>
              <w:top w:w="75" w:type="dxa"/>
              <w:start w:w="105" w:type="dxa"/>
              <w:bottom w:w="75" w:type="dxa"/>
              <w:end w:w="105" w:type="dxa"/>
            </w:tcMar>
          </w:tcPr>
          <w:p>
            <w:pPr>
              <w:spacing w:after="0" w:line="240" w:lineRule="auto"/>
            </w:pPr>
            <w:r>
              <w:rPr>
                <w:rFonts w:ascii="Arial" w:hAnsi="Arial"/>
                <w:b w:val="0"/>
                <w:i w:val="0"/>
                <w:color w:val="1E293B"/>
                <w:sz w:val="17"/>
              </w:rPr>
              <w:t>No accidental sitewide crawl block found.</w:t>
            </w:r>
          </w:p>
        </w:tc>
      </w:tr>
      <w:tr>
        <w:trPr>
          <w:cantSplit/>
        </w:trPr>
        <w:tc>
          <w:tcPr>
            <w:tcW w:type="dxa" w:w="1728"/>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XML sitemap</w:t>
            </w:r>
          </w:p>
        </w:tc>
        <w:tc>
          <w:tcPr>
            <w:tcW w:type="dxa" w:w="4320"/>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155 canonical public URLs.</w:t>
            </w:r>
          </w:p>
        </w:tc>
        <w:tc>
          <w:tcPr>
            <w:tcW w:type="dxa" w:w="3312"/>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All sitemap routes were reachable in the crawl after one retry.</w:t>
            </w:r>
          </w:p>
        </w:tc>
      </w:tr>
      <w:tr>
        <w:trPr>
          <w:cantSplit/>
        </w:trPr>
        <w:tc>
          <w:tcPr>
            <w:tcW w:type="dxa" w:w="1728"/>
            <w:vAlign w:val="center"/>
            <w:tcMar>
              <w:top w:w="75" w:type="dxa"/>
              <w:start w:w="105" w:type="dxa"/>
              <w:bottom w:w="75" w:type="dxa"/>
              <w:end w:w="105" w:type="dxa"/>
            </w:tcMar>
          </w:tcPr>
          <w:p>
            <w:pPr>
              <w:spacing w:after="0" w:line="240" w:lineRule="auto"/>
            </w:pPr>
            <w:r>
              <w:rPr>
                <w:rFonts w:ascii="Arial" w:hAnsi="Arial"/>
                <w:b w:val="0"/>
                <w:i w:val="0"/>
                <w:color w:val="1E293B"/>
                <w:sz w:val="17"/>
              </w:rPr>
              <w:t>Page structure</w:t>
            </w:r>
          </w:p>
        </w:tc>
        <w:tc>
          <w:tcPr>
            <w:tcW w:type="dxa" w:w="4320"/>
            <w:vAlign w:val="center"/>
            <w:tcMar>
              <w:top w:w="75" w:type="dxa"/>
              <w:start w:w="105" w:type="dxa"/>
              <w:bottom w:w="75" w:type="dxa"/>
              <w:end w:w="105" w:type="dxa"/>
            </w:tcMar>
          </w:tcPr>
          <w:p>
            <w:pPr>
              <w:spacing w:after="0" w:line="240" w:lineRule="auto"/>
            </w:pPr>
            <w:r>
              <w:rPr>
                <w:rFonts w:ascii="Arial" w:hAnsi="Arial"/>
                <w:b w:val="0"/>
                <w:i w:val="0"/>
                <w:color w:val="1E293B"/>
                <w:sz w:val="17"/>
              </w:rPr>
              <w:t>155/155 self-canonical; 155/155 one H1.</w:t>
            </w:r>
          </w:p>
        </w:tc>
        <w:tc>
          <w:tcPr>
            <w:tcW w:type="dxa" w:w="3312"/>
            <w:vAlign w:val="center"/>
            <w:tcMar>
              <w:top w:w="75" w:type="dxa"/>
              <w:start w:w="105" w:type="dxa"/>
              <w:bottom w:w="75" w:type="dxa"/>
              <w:end w:w="105" w:type="dxa"/>
            </w:tcMar>
          </w:tcPr>
          <w:p>
            <w:pPr>
              <w:spacing w:after="0" w:line="240" w:lineRule="auto"/>
            </w:pPr>
            <w:r>
              <w:rPr>
                <w:rFonts w:ascii="Arial" w:hAnsi="Arial"/>
                <w:b w:val="0"/>
                <w:i w:val="0"/>
                <w:color w:val="1E293B"/>
                <w:sz w:val="17"/>
              </w:rPr>
              <w:t>Consistent technical baseline in this crawl.</w:t>
            </w:r>
          </w:p>
        </w:tc>
      </w:tr>
      <w:tr>
        <w:trPr>
          <w:cantSplit/>
        </w:trPr>
        <w:tc>
          <w:tcPr>
            <w:tcW w:type="dxa" w:w="1728"/>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Image accessibility</w:t>
            </w:r>
          </w:p>
        </w:tc>
        <w:tc>
          <w:tcPr>
            <w:tcW w:type="dxa" w:w="4320"/>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0 pages with missing image alt text in the crawl.</w:t>
            </w:r>
          </w:p>
        </w:tc>
        <w:tc>
          <w:tcPr>
            <w:tcW w:type="dxa" w:w="3312"/>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No sitewide missing-alt issue detected.</w:t>
            </w:r>
          </w:p>
        </w:tc>
      </w:tr>
      <w:tr>
        <w:trPr>
          <w:cantSplit/>
        </w:trPr>
        <w:tc>
          <w:tcPr>
            <w:tcW w:type="dxa" w:w="1728"/>
            <w:vAlign w:val="center"/>
            <w:tcMar>
              <w:top w:w="75" w:type="dxa"/>
              <w:start w:w="105" w:type="dxa"/>
              <w:bottom w:w="75" w:type="dxa"/>
              <w:end w:w="105" w:type="dxa"/>
            </w:tcMar>
          </w:tcPr>
          <w:p>
            <w:pPr>
              <w:spacing w:after="0" w:line="240" w:lineRule="auto"/>
            </w:pPr>
            <w:r>
              <w:rPr>
                <w:rFonts w:ascii="Arial" w:hAnsi="Arial"/>
                <w:b w:val="0"/>
                <w:i w:val="0"/>
                <w:color w:val="1E293B"/>
                <w:sz w:val="17"/>
              </w:rPr>
              <w:t>Duplicate metadata</w:t>
            </w:r>
          </w:p>
        </w:tc>
        <w:tc>
          <w:tcPr>
            <w:tcW w:type="dxa" w:w="4320"/>
            <w:vAlign w:val="center"/>
            <w:tcMar>
              <w:top w:w="75" w:type="dxa"/>
              <w:start w:w="105" w:type="dxa"/>
              <w:bottom w:w="75" w:type="dxa"/>
              <w:end w:w="105" w:type="dxa"/>
            </w:tcMar>
          </w:tcPr>
          <w:p>
            <w:pPr>
              <w:spacing w:after="0" w:line="240" w:lineRule="auto"/>
            </w:pPr>
            <w:r>
              <w:rPr>
                <w:rFonts w:ascii="Arial" w:hAnsi="Arial"/>
                <w:b w:val="0"/>
                <w:i w:val="0"/>
                <w:color w:val="1E293B"/>
                <w:sz w:val="17"/>
              </w:rPr>
              <w:t>0 duplicate titles; 0 duplicate meta descriptions.</w:t>
            </w:r>
          </w:p>
        </w:tc>
        <w:tc>
          <w:tcPr>
            <w:tcW w:type="dxa" w:w="3312"/>
            <w:vAlign w:val="center"/>
            <w:tcMar>
              <w:top w:w="75" w:type="dxa"/>
              <w:start w:w="105" w:type="dxa"/>
              <w:bottom w:w="75" w:type="dxa"/>
              <w:end w:w="105" w:type="dxa"/>
            </w:tcMar>
          </w:tcPr>
          <w:p>
            <w:pPr>
              <w:spacing w:after="0" w:line="240" w:lineRule="auto"/>
            </w:pPr>
            <w:r>
              <w:rPr>
                <w:rFonts w:ascii="Arial" w:hAnsi="Arial"/>
                <w:b w:val="0"/>
                <w:i w:val="0"/>
                <w:color w:val="1E293B"/>
                <w:sz w:val="17"/>
              </w:rPr>
              <w:t>No duplication detected across the sitemap sample.</w:t>
            </w:r>
          </w:p>
        </w:tc>
      </w:tr>
    </w:tbl>
    <w:p>
      <w:pPr>
        <w:pStyle w:val="Heading1"/>
      </w:pPr>
      <w:r>
        <w:t>Mobile and Desktop Performance</w:t>
      </w:r>
    </w:p>
    <w:p>
      <w:r>
        <w:t>The production reports are the baseline. The local implementation has not been deployed, so do not read these numbers as post-optimization results.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11"/>
        <w:gridCol w:w="1411"/>
        <w:gridCol w:w="1411"/>
        <w:gridCol w:w="1411"/>
        <w:gridCol w:w="1411"/>
        <w:gridCol w:w="1411"/>
        <w:gridCol w:w="1411"/>
      </w:tblGrid>
      <w:tr>
        <w:trPr>
          <w:tblHeader w:val="true"/>
        </w:trPr>
        <w:tc>
          <w:tcPr>
            <w:tcW w:type="dxa" w:w="1944"/>
            <w:vAlign w:val="center"/>
            <w:shd w:fill="1B2A4A"/>
            <w:tcMar>
              <w:top w:w="100" w:type="dxa"/>
              <w:start w:w="105" w:type="dxa"/>
              <w:bottom w:w="100" w:type="dxa"/>
              <w:end w:w="105" w:type="dxa"/>
            </w:tcMar>
          </w:tcPr>
          <w:p>
            <w:pPr>
              <w:spacing w:after="0"/>
              <w:jc w:val="left"/>
            </w:pPr>
            <w:r>
              <w:rPr>
                <w:rFonts w:ascii="Arial" w:hAnsi="Arial"/>
                <w:b/>
                <w:i w:val="0"/>
                <w:color w:val="FFFFFF"/>
                <w:sz w:val="17"/>
              </w:rPr>
              <w:t>Page family</w:t>
            </w:r>
          </w:p>
        </w:tc>
        <w:tc>
          <w:tcPr>
            <w:tcW w:type="dxa" w:w="1080"/>
            <w:vAlign w:val="center"/>
            <w:shd w:fill="1B2A4A"/>
            <w:tcMar>
              <w:top w:w="100" w:type="dxa"/>
              <w:start w:w="105" w:type="dxa"/>
              <w:bottom w:w="100" w:type="dxa"/>
              <w:end w:w="105" w:type="dxa"/>
            </w:tcMar>
          </w:tcPr>
          <w:p>
            <w:pPr>
              <w:spacing w:after="0"/>
              <w:jc w:val="left"/>
            </w:pPr>
            <w:r>
              <w:rPr>
                <w:rFonts w:ascii="Arial" w:hAnsi="Arial"/>
                <w:b/>
                <w:i w:val="0"/>
                <w:color w:val="FFFFFF"/>
                <w:sz w:val="17"/>
              </w:rPr>
              <w:t>Device</w:t>
            </w:r>
          </w:p>
        </w:tc>
        <w:tc>
          <w:tcPr>
            <w:tcW w:type="dxa" w:w="792"/>
            <w:vAlign w:val="center"/>
            <w:shd w:fill="1B2A4A"/>
            <w:tcMar>
              <w:top w:w="100" w:type="dxa"/>
              <w:start w:w="105" w:type="dxa"/>
              <w:bottom w:w="100" w:type="dxa"/>
              <w:end w:w="105" w:type="dxa"/>
            </w:tcMar>
          </w:tcPr>
          <w:p>
            <w:pPr>
              <w:spacing w:after="0"/>
              <w:jc w:val="left"/>
            </w:pPr>
            <w:r>
              <w:rPr>
                <w:rFonts w:ascii="Arial" w:hAnsi="Arial"/>
                <w:b/>
                <w:i w:val="0"/>
                <w:color w:val="FFFFFF"/>
                <w:sz w:val="17"/>
              </w:rPr>
              <w:t>PSI</w:t>
            </w:r>
          </w:p>
        </w:tc>
        <w:tc>
          <w:tcPr>
            <w:tcW w:type="dxa" w:w="1037"/>
            <w:vAlign w:val="center"/>
            <w:shd w:fill="1B2A4A"/>
            <w:tcMar>
              <w:top w:w="100" w:type="dxa"/>
              <w:start w:w="105" w:type="dxa"/>
              <w:bottom w:w="100" w:type="dxa"/>
              <w:end w:w="105" w:type="dxa"/>
            </w:tcMar>
          </w:tcPr>
          <w:p>
            <w:pPr>
              <w:spacing w:after="0"/>
              <w:jc w:val="left"/>
            </w:pPr>
            <w:r>
              <w:rPr>
                <w:rFonts w:ascii="Arial" w:hAnsi="Arial"/>
                <w:b/>
                <w:i w:val="0"/>
                <w:color w:val="FFFFFF"/>
                <w:sz w:val="17"/>
              </w:rPr>
              <w:t>LCP</w:t>
            </w:r>
          </w:p>
        </w:tc>
        <w:tc>
          <w:tcPr>
            <w:tcW w:type="dxa" w:w="1037"/>
            <w:vAlign w:val="center"/>
            <w:shd w:fill="1B2A4A"/>
            <w:tcMar>
              <w:top w:w="100" w:type="dxa"/>
              <w:start w:w="105" w:type="dxa"/>
              <w:bottom w:w="100" w:type="dxa"/>
              <w:end w:w="105" w:type="dxa"/>
            </w:tcMar>
          </w:tcPr>
          <w:p>
            <w:pPr>
              <w:spacing w:after="0"/>
              <w:jc w:val="left"/>
            </w:pPr>
            <w:r>
              <w:rPr>
                <w:rFonts w:ascii="Arial" w:hAnsi="Arial"/>
                <w:b/>
                <w:i w:val="0"/>
                <w:color w:val="FFFFFF"/>
                <w:sz w:val="17"/>
              </w:rPr>
              <w:t>FCP</w:t>
            </w:r>
          </w:p>
        </w:tc>
        <w:tc>
          <w:tcPr>
            <w:tcW w:type="dxa" w:w="1123"/>
            <w:vAlign w:val="center"/>
            <w:shd w:fill="1B2A4A"/>
            <w:tcMar>
              <w:top w:w="100" w:type="dxa"/>
              <w:start w:w="105" w:type="dxa"/>
              <w:bottom w:w="100" w:type="dxa"/>
              <w:end w:w="105" w:type="dxa"/>
            </w:tcMar>
          </w:tcPr>
          <w:p>
            <w:pPr>
              <w:spacing w:after="0"/>
              <w:jc w:val="left"/>
            </w:pPr>
            <w:r>
              <w:rPr>
                <w:rFonts w:ascii="Arial" w:hAnsi="Arial"/>
                <w:b/>
                <w:i w:val="0"/>
                <w:color w:val="FFFFFF"/>
                <w:sz w:val="17"/>
              </w:rPr>
              <w:t>TBT</w:t>
            </w:r>
          </w:p>
        </w:tc>
        <w:tc>
          <w:tcPr>
            <w:tcW w:type="dxa" w:w="835"/>
            <w:vAlign w:val="center"/>
            <w:shd w:fill="1B2A4A"/>
            <w:tcMar>
              <w:top w:w="100" w:type="dxa"/>
              <w:start w:w="105" w:type="dxa"/>
              <w:bottom w:w="100" w:type="dxa"/>
              <w:end w:w="105" w:type="dxa"/>
            </w:tcMar>
          </w:tcPr>
          <w:p>
            <w:pPr>
              <w:spacing w:after="0"/>
              <w:jc w:val="left"/>
            </w:pPr>
            <w:r>
              <w:rPr>
                <w:rFonts w:ascii="Arial" w:hAnsi="Arial"/>
                <w:b/>
                <w:i w:val="0"/>
                <w:color w:val="FFFFFF"/>
                <w:sz w:val="17"/>
              </w:rPr>
              <w:t>CLS</w:t>
            </w:r>
          </w:p>
        </w:tc>
      </w:tr>
      <w:tr>
        <w:trPr>
          <w:cantSplit/>
        </w:trPr>
        <w:tc>
          <w:tcPr>
            <w:tcW w:type="dxa" w:w="1944"/>
            <w:vAlign w:val="center"/>
            <w:tcMar>
              <w:top w:w="75" w:type="dxa"/>
              <w:start w:w="105" w:type="dxa"/>
              <w:bottom w:w="75" w:type="dxa"/>
              <w:end w:w="105" w:type="dxa"/>
            </w:tcMar>
          </w:tcPr>
          <w:p>
            <w:pPr>
              <w:spacing w:after="0" w:line="240" w:lineRule="auto"/>
            </w:pPr>
            <w:r>
              <w:rPr>
                <w:rFonts w:ascii="Arial" w:hAnsi="Arial"/>
                <w:b w:val="0"/>
                <w:i w:val="0"/>
                <w:color w:val="1E293B"/>
                <w:sz w:val="17"/>
              </w:rPr>
              <w:t>Home</w:t>
            </w:r>
          </w:p>
        </w:tc>
        <w:tc>
          <w:tcPr>
            <w:tcW w:type="dxa" w:w="1080"/>
            <w:vAlign w:val="center"/>
            <w:tcMar>
              <w:top w:w="75" w:type="dxa"/>
              <w:start w:w="105" w:type="dxa"/>
              <w:bottom w:w="75" w:type="dxa"/>
              <w:end w:w="105" w:type="dxa"/>
            </w:tcMar>
          </w:tcPr>
          <w:p>
            <w:pPr>
              <w:spacing w:after="0" w:line="240" w:lineRule="auto"/>
            </w:pPr>
            <w:r>
              <w:rPr>
                <w:rFonts w:ascii="Arial" w:hAnsi="Arial"/>
                <w:b w:val="0"/>
                <w:i w:val="0"/>
                <w:color w:val="1E293B"/>
                <w:sz w:val="17"/>
              </w:rPr>
              <w:t>Mobile</w:t>
            </w:r>
          </w:p>
        </w:tc>
        <w:tc>
          <w:tcPr>
            <w:tcW w:type="dxa" w:w="792"/>
            <w:vAlign w:val="center"/>
            <w:tcMar>
              <w:top w:w="75" w:type="dxa"/>
              <w:start w:w="105" w:type="dxa"/>
              <w:bottom w:w="75" w:type="dxa"/>
              <w:end w:w="105" w:type="dxa"/>
            </w:tcMar>
          </w:tcPr>
          <w:p>
            <w:pPr>
              <w:spacing w:after="0" w:line="240" w:lineRule="auto"/>
            </w:pPr>
            <w:r>
              <w:rPr>
                <w:rFonts w:ascii="Arial" w:hAnsi="Arial"/>
                <w:b w:val="0"/>
                <w:i w:val="0"/>
                <w:color w:val="1E293B"/>
                <w:sz w:val="17"/>
              </w:rPr>
              <w:t>82</w:t>
            </w:r>
          </w:p>
        </w:tc>
        <w:tc>
          <w:tcPr>
            <w:tcW w:type="dxa" w:w="1037"/>
            <w:vAlign w:val="center"/>
            <w:tcMar>
              <w:top w:w="75" w:type="dxa"/>
              <w:start w:w="105" w:type="dxa"/>
              <w:bottom w:w="75" w:type="dxa"/>
              <w:end w:w="105" w:type="dxa"/>
            </w:tcMar>
          </w:tcPr>
          <w:p>
            <w:pPr>
              <w:spacing w:after="0" w:line="240" w:lineRule="auto"/>
            </w:pPr>
            <w:r>
              <w:rPr>
                <w:rFonts w:ascii="Arial" w:hAnsi="Arial"/>
                <w:b w:val="0"/>
                <w:i w:val="0"/>
                <w:color w:val="1E293B"/>
                <w:sz w:val="17"/>
              </w:rPr>
              <w:t>4.1s</w:t>
            </w:r>
          </w:p>
        </w:tc>
        <w:tc>
          <w:tcPr>
            <w:tcW w:type="dxa" w:w="1037"/>
            <w:vAlign w:val="center"/>
            <w:tcMar>
              <w:top w:w="75" w:type="dxa"/>
              <w:start w:w="105" w:type="dxa"/>
              <w:bottom w:w="75" w:type="dxa"/>
              <w:end w:w="105" w:type="dxa"/>
            </w:tcMar>
          </w:tcPr>
          <w:p>
            <w:pPr>
              <w:spacing w:after="0" w:line="240" w:lineRule="auto"/>
            </w:pPr>
            <w:r>
              <w:rPr>
                <w:rFonts w:ascii="Arial" w:hAnsi="Arial"/>
                <w:b w:val="0"/>
                <w:i w:val="0"/>
                <w:color w:val="1E293B"/>
                <w:sz w:val="17"/>
              </w:rPr>
              <w:t>2.1s</w:t>
            </w:r>
          </w:p>
        </w:tc>
        <w:tc>
          <w:tcPr>
            <w:tcW w:type="dxa" w:w="1123"/>
            <w:vAlign w:val="center"/>
            <w:tcMar>
              <w:top w:w="75" w:type="dxa"/>
              <w:start w:w="105" w:type="dxa"/>
              <w:bottom w:w="75" w:type="dxa"/>
              <w:end w:w="105" w:type="dxa"/>
            </w:tcMar>
          </w:tcPr>
          <w:p>
            <w:pPr>
              <w:spacing w:after="0" w:line="240" w:lineRule="auto"/>
            </w:pPr>
            <w:r>
              <w:rPr>
                <w:rFonts w:ascii="Arial" w:hAnsi="Arial"/>
                <w:b w:val="0"/>
                <w:i w:val="0"/>
                <w:color w:val="1E293B"/>
                <w:sz w:val="17"/>
              </w:rPr>
              <w:t>54ms</w:t>
            </w:r>
          </w:p>
        </w:tc>
        <w:tc>
          <w:tcPr>
            <w:tcW w:type="dxa" w:w="835"/>
            <w:vAlign w:val="center"/>
            <w:tcMar>
              <w:top w:w="75" w:type="dxa"/>
              <w:start w:w="105" w:type="dxa"/>
              <w:bottom w:w="75" w:type="dxa"/>
              <w:end w:w="105" w:type="dxa"/>
            </w:tcMar>
          </w:tcPr>
          <w:p>
            <w:pPr>
              <w:spacing w:after="0" w:line="240" w:lineRule="auto"/>
            </w:pPr>
            <w:r>
              <w:rPr>
                <w:rFonts w:ascii="Arial" w:hAnsi="Arial"/>
                <w:b w:val="0"/>
                <w:i w:val="0"/>
                <w:color w:val="1E293B"/>
                <w:sz w:val="17"/>
              </w:rPr>
              <w:t>0</w:t>
            </w:r>
          </w:p>
        </w:tc>
      </w:tr>
      <w:tr>
        <w:trPr>
          <w:cantSplit/>
        </w:trPr>
        <w:tc>
          <w:tcPr>
            <w:tcW w:type="dxa" w:w="1944"/>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Home</w:t>
            </w:r>
          </w:p>
        </w:tc>
        <w:tc>
          <w:tcPr>
            <w:tcW w:type="dxa" w:w="1080"/>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Desktop</w:t>
            </w:r>
          </w:p>
        </w:tc>
        <w:tc>
          <w:tcPr>
            <w:tcW w:type="dxa" w:w="792"/>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95</w:t>
            </w:r>
          </w:p>
        </w:tc>
        <w:tc>
          <w:tcPr>
            <w:tcW w:type="dxa" w:w="1037"/>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0.9s</w:t>
            </w:r>
          </w:p>
        </w:tc>
        <w:tc>
          <w:tcPr>
            <w:tcW w:type="dxa" w:w="1037"/>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0.4s</w:t>
            </w:r>
          </w:p>
        </w:tc>
        <w:tc>
          <w:tcPr>
            <w:tcW w:type="dxa" w:w="1123"/>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160ms</w:t>
            </w:r>
          </w:p>
        </w:tc>
        <w:tc>
          <w:tcPr>
            <w:tcW w:type="dxa" w:w="835"/>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0.022</w:t>
            </w:r>
          </w:p>
        </w:tc>
      </w:tr>
      <w:tr>
        <w:trPr>
          <w:cantSplit/>
        </w:trPr>
        <w:tc>
          <w:tcPr>
            <w:tcW w:type="dxa" w:w="1944"/>
            <w:vAlign w:val="center"/>
            <w:tcMar>
              <w:top w:w="75" w:type="dxa"/>
              <w:start w:w="105" w:type="dxa"/>
              <w:bottom w:w="75" w:type="dxa"/>
              <w:end w:w="105" w:type="dxa"/>
            </w:tcMar>
          </w:tcPr>
          <w:p>
            <w:pPr>
              <w:spacing w:after="0" w:line="240" w:lineRule="auto"/>
            </w:pPr>
            <w:r>
              <w:rPr>
                <w:rFonts w:ascii="Arial" w:hAnsi="Arial"/>
                <w:b w:val="0"/>
                <w:i w:val="0"/>
                <w:color w:val="1E293B"/>
                <w:sz w:val="17"/>
              </w:rPr>
              <w:t>CRS calculator</w:t>
            </w:r>
          </w:p>
        </w:tc>
        <w:tc>
          <w:tcPr>
            <w:tcW w:type="dxa" w:w="1080"/>
            <w:vAlign w:val="center"/>
            <w:tcMar>
              <w:top w:w="75" w:type="dxa"/>
              <w:start w:w="105" w:type="dxa"/>
              <w:bottom w:w="75" w:type="dxa"/>
              <w:end w:w="105" w:type="dxa"/>
            </w:tcMar>
          </w:tcPr>
          <w:p>
            <w:pPr>
              <w:spacing w:after="0" w:line="240" w:lineRule="auto"/>
            </w:pPr>
            <w:r>
              <w:rPr>
                <w:rFonts w:ascii="Arial" w:hAnsi="Arial"/>
                <w:b w:val="0"/>
                <w:i w:val="0"/>
                <w:color w:val="1E293B"/>
                <w:sz w:val="17"/>
              </w:rPr>
              <w:t>Mobile</w:t>
            </w:r>
          </w:p>
        </w:tc>
        <w:tc>
          <w:tcPr>
            <w:tcW w:type="dxa" w:w="792"/>
            <w:vAlign w:val="center"/>
            <w:tcMar>
              <w:top w:w="75" w:type="dxa"/>
              <w:start w:w="105" w:type="dxa"/>
              <w:bottom w:w="75" w:type="dxa"/>
              <w:end w:w="105" w:type="dxa"/>
            </w:tcMar>
          </w:tcPr>
          <w:p>
            <w:pPr>
              <w:spacing w:after="0" w:line="240" w:lineRule="auto"/>
            </w:pPr>
            <w:r>
              <w:rPr>
                <w:rFonts w:ascii="Arial" w:hAnsi="Arial"/>
                <w:b w:val="0"/>
                <w:i w:val="0"/>
                <w:color w:val="1E293B"/>
                <w:sz w:val="17"/>
              </w:rPr>
              <w:t>75</w:t>
            </w:r>
          </w:p>
        </w:tc>
        <w:tc>
          <w:tcPr>
            <w:tcW w:type="dxa" w:w="1037"/>
            <w:vAlign w:val="center"/>
            <w:tcMar>
              <w:top w:w="75" w:type="dxa"/>
              <w:start w:w="105" w:type="dxa"/>
              <w:bottom w:w="75" w:type="dxa"/>
              <w:end w:w="105" w:type="dxa"/>
            </w:tcMar>
          </w:tcPr>
          <w:p>
            <w:pPr>
              <w:spacing w:after="0" w:line="240" w:lineRule="auto"/>
            </w:pPr>
            <w:r>
              <w:rPr>
                <w:rFonts w:ascii="Arial" w:hAnsi="Arial"/>
                <w:b w:val="0"/>
                <w:i w:val="0"/>
                <w:color w:val="1E293B"/>
                <w:sz w:val="17"/>
              </w:rPr>
              <w:t>4.8s</w:t>
            </w:r>
          </w:p>
        </w:tc>
        <w:tc>
          <w:tcPr>
            <w:tcW w:type="dxa" w:w="1037"/>
            <w:vAlign w:val="center"/>
            <w:tcMar>
              <w:top w:w="75" w:type="dxa"/>
              <w:start w:w="105" w:type="dxa"/>
              <w:bottom w:w="75" w:type="dxa"/>
              <w:end w:w="105" w:type="dxa"/>
            </w:tcMar>
          </w:tcPr>
          <w:p>
            <w:pPr>
              <w:spacing w:after="0" w:line="240" w:lineRule="auto"/>
            </w:pPr>
            <w:r>
              <w:rPr>
                <w:rFonts w:ascii="Arial" w:hAnsi="Arial"/>
                <w:b w:val="0"/>
                <w:i w:val="0"/>
                <w:color w:val="1E293B"/>
                <w:sz w:val="17"/>
              </w:rPr>
              <w:t>—</w:t>
            </w:r>
          </w:p>
        </w:tc>
        <w:tc>
          <w:tcPr>
            <w:tcW w:type="dxa" w:w="1123"/>
            <w:vAlign w:val="center"/>
            <w:tcMar>
              <w:top w:w="75" w:type="dxa"/>
              <w:start w:w="105" w:type="dxa"/>
              <w:bottom w:w="75" w:type="dxa"/>
              <w:end w:w="105" w:type="dxa"/>
            </w:tcMar>
          </w:tcPr>
          <w:p>
            <w:pPr>
              <w:spacing w:after="0" w:line="240" w:lineRule="auto"/>
            </w:pPr>
            <w:r>
              <w:rPr>
                <w:rFonts w:ascii="Arial" w:hAnsi="Arial"/>
                <w:b w:val="0"/>
                <w:i w:val="0"/>
                <w:color w:val="1E293B"/>
                <w:sz w:val="17"/>
              </w:rPr>
              <w:t>260ms</w:t>
            </w:r>
          </w:p>
        </w:tc>
        <w:tc>
          <w:tcPr>
            <w:tcW w:type="dxa" w:w="835"/>
            <w:vAlign w:val="center"/>
            <w:tcMar>
              <w:top w:w="75" w:type="dxa"/>
              <w:start w:w="105" w:type="dxa"/>
              <w:bottom w:w="75" w:type="dxa"/>
              <w:end w:w="105" w:type="dxa"/>
            </w:tcMar>
          </w:tcPr>
          <w:p>
            <w:pPr>
              <w:spacing w:after="0" w:line="240" w:lineRule="auto"/>
            </w:pPr>
            <w:r>
              <w:rPr>
                <w:rFonts w:ascii="Arial" w:hAnsi="Arial"/>
                <w:b w:val="0"/>
                <w:i w:val="0"/>
                <w:color w:val="1E293B"/>
                <w:sz w:val="17"/>
              </w:rPr>
              <w:t>0</w:t>
            </w:r>
          </w:p>
        </w:tc>
      </w:tr>
      <w:tr>
        <w:trPr>
          <w:cantSplit/>
        </w:trPr>
        <w:tc>
          <w:tcPr>
            <w:tcW w:type="dxa" w:w="1944"/>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CRS calculator</w:t>
            </w:r>
          </w:p>
        </w:tc>
        <w:tc>
          <w:tcPr>
            <w:tcW w:type="dxa" w:w="1080"/>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Desktop</w:t>
            </w:r>
          </w:p>
        </w:tc>
        <w:tc>
          <w:tcPr>
            <w:tcW w:type="dxa" w:w="792"/>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99</w:t>
            </w:r>
          </w:p>
        </w:tc>
        <w:tc>
          <w:tcPr>
            <w:tcW w:type="dxa" w:w="1037"/>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0.8s</w:t>
            </w:r>
          </w:p>
        </w:tc>
        <w:tc>
          <w:tcPr>
            <w:tcW w:type="dxa" w:w="1037"/>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w:t>
            </w:r>
          </w:p>
        </w:tc>
        <w:tc>
          <w:tcPr>
            <w:tcW w:type="dxa" w:w="1123"/>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90ms</w:t>
            </w:r>
          </w:p>
        </w:tc>
        <w:tc>
          <w:tcPr>
            <w:tcW w:type="dxa" w:w="835"/>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0.02</w:t>
            </w:r>
          </w:p>
        </w:tc>
      </w:tr>
      <w:tr>
        <w:trPr>
          <w:cantSplit/>
        </w:trPr>
        <w:tc>
          <w:tcPr>
            <w:tcW w:type="dxa" w:w="1944"/>
            <w:vAlign w:val="center"/>
            <w:tcMar>
              <w:top w:w="75" w:type="dxa"/>
              <w:start w:w="105" w:type="dxa"/>
              <w:bottom w:w="75" w:type="dxa"/>
              <w:end w:w="105" w:type="dxa"/>
            </w:tcMar>
          </w:tcPr>
          <w:p>
            <w:pPr>
              <w:spacing w:after="0" w:line="240" w:lineRule="auto"/>
            </w:pPr>
            <w:r>
              <w:rPr>
                <w:rFonts w:ascii="Arial" w:hAnsi="Arial"/>
                <w:b w:val="0"/>
                <w:i w:val="0"/>
                <w:color w:val="1E293B"/>
                <w:sz w:val="17"/>
              </w:rPr>
              <w:t>Blog article</w:t>
            </w:r>
          </w:p>
        </w:tc>
        <w:tc>
          <w:tcPr>
            <w:tcW w:type="dxa" w:w="1080"/>
            <w:vAlign w:val="center"/>
            <w:tcMar>
              <w:top w:w="75" w:type="dxa"/>
              <w:start w:w="105" w:type="dxa"/>
              <w:bottom w:w="75" w:type="dxa"/>
              <w:end w:w="105" w:type="dxa"/>
            </w:tcMar>
          </w:tcPr>
          <w:p>
            <w:pPr>
              <w:spacing w:after="0" w:line="240" w:lineRule="auto"/>
            </w:pPr>
            <w:r>
              <w:rPr>
                <w:rFonts w:ascii="Arial" w:hAnsi="Arial"/>
                <w:b w:val="0"/>
                <w:i w:val="0"/>
                <w:color w:val="1E293B"/>
                <w:sz w:val="17"/>
              </w:rPr>
              <w:t>Mobile</w:t>
            </w:r>
          </w:p>
        </w:tc>
        <w:tc>
          <w:tcPr>
            <w:tcW w:type="dxa" w:w="792"/>
            <w:vAlign w:val="center"/>
            <w:tcMar>
              <w:top w:w="75" w:type="dxa"/>
              <w:start w:w="105" w:type="dxa"/>
              <w:bottom w:w="75" w:type="dxa"/>
              <w:end w:w="105" w:type="dxa"/>
            </w:tcMar>
          </w:tcPr>
          <w:p>
            <w:pPr>
              <w:spacing w:after="0" w:line="240" w:lineRule="auto"/>
            </w:pPr>
            <w:r>
              <w:rPr>
                <w:rFonts w:ascii="Arial" w:hAnsi="Arial"/>
                <w:b w:val="0"/>
                <w:i w:val="0"/>
                <w:color w:val="1E293B"/>
                <w:sz w:val="17"/>
              </w:rPr>
              <w:t>80</w:t>
            </w:r>
          </w:p>
        </w:tc>
        <w:tc>
          <w:tcPr>
            <w:tcW w:type="dxa" w:w="1037"/>
            <w:vAlign w:val="center"/>
            <w:tcMar>
              <w:top w:w="75" w:type="dxa"/>
              <w:start w:w="105" w:type="dxa"/>
              <w:bottom w:w="75" w:type="dxa"/>
              <w:end w:w="105" w:type="dxa"/>
            </w:tcMar>
          </w:tcPr>
          <w:p>
            <w:pPr>
              <w:spacing w:after="0" w:line="240" w:lineRule="auto"/>
            </w:pPr>
            <w:r>
              <w:rPr>
                <w:rFonts w:ascii="Arial" w:hAnsi="Arial"/>
                <w:b w:val="0"/>
                <w:i w:val="0"/>
                <w:color w:val="1E293B"/>
                <w:sz w:val="17"/>
              </w:rPr>
              <w:t>4.2s</w:t>
            </w:r>
          </w:p>
        </w:tc>
        <w:tc>
          <w:tcPr>
            <w:tcW w:type="dxa" w:w="1037"/>
            <w:vAlign w:val="center"/>
            <w:tcMar>
              <w:top w:w="75" w:type="dxa"/>
              <w:start w:w="105" w:type="dxa"/>
              <w:bottom w:w="75" w:type="dxa"/>
              <w:end w:w="105" w:type="dxa"/>
            </w:tcMar>
          </w:tcPr>
          <w:p>
            <w:pPr>
              <w:spacing w:after="0" w:line="240" w:lineRule="auto"/>
            </w:pPr>
            <w:r>
              <w:rPr>
                <w:rFonts w:ascii="Arial" w:hAnsi="Arial"/>
                <w:b w:val="0"/>
                <w:i w:val="0"/>
                <w:color w:val="1E293B"/>
                <w:sz w:val="17"/>
              </w:rPr>
              <w:t>—</w:t>
            </w:r>
          </w:p>
        </w:tc>
        <w:tc>
          <w:tcPr>
            <w:tcW w:type="dxa" w:w="1123"/>
            <w:vAlign w:val="center"/>
            <w:tcMar>
              <w:top w:w="75" w:type="dxa"/>
              <w:start w:w="105" w:type="dxa"/>
              <w:bottom w:w="75" w:type="dxa"/>
              <w:end w:w="105" w:type="dxa"/>
            </w:tcMar>
          </w:tcPr>
          <w:p>
            <w:pPr>
              <w:spacing w:after="0" w:line="240" w:lineRule="auto"/>
            </w:pPr>
            <w:r>
              <w:rPr>
                <w:rFonts w:ascii="Arial" w:hAnsi="Arial"/>
                <w:b w:val="0"/>
                <w:i w:val="0"/>
                <w:color w:val="1E293B"/>
                <w:sz w:val="17"/>
              </w:rPr>
              <w:t>70ms</w:t>
            </w:r>
          </w:p>
        </w:tc>
        <w:tc>
          <w:tcPr>
            <w:tcW w:type="dxa" w:w="835"/>
            <w:vAlign w:val="center"/>
            <w:tcMar>
              <w:top w:w="75" w:type="dxa"/>
              <w:start w:w="105" w:type="dxa"/>
              <w:bottom w:w="75" w:type="dxa"/>
              <w:end w:w="105" w:type="dxa"/>
            </w:tcMar>
          </w:tcPr>
          <w:p>
            <w:pPr>
              <w:spacing w:after="0" w:line="240" w:lineRule="auto"/>
            </w:pPr>
            <w:r>
              <w:rPr>
                <w:rFonts w:ascii="Arial" w:hAnsi="Arial"/>
                <w:b w:val="0"/>
                <w:i w:val="0"/>
                <w:color w:val="1E293B"/>
                <w:sz w:val="17"/>
              </w:rPr>
              <w:t>—</w:t>
            </w:r>
          </w:p>
        </w:tc>
      </w:tr>
      <w:tr>
        <w:trPr>
          <w:cantSplit/>
        </w:trPr>
        <w:tc>
          <w:tcPr>
            <w:tcW w:type="dxa" w:w="1944"/>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Blog article</w:t>
            </w:r>
          </w:p>
        </w:tc>
        <w:tc>
          <w:tcPr>
            <w:tcW w:type="dxa" w:w="1080"/>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Desktop</w:t>
            </w:r>
          </w:p>
        </w:tc>
        <w:tc>
          <w:tcPr>
            <w:tcW w:type="dxa" w:w="792"/>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65</w:t>
            </w:r>
          </w:p>
        </w:tc>
        <w:tc>
          <w:tcPr>
            <w:tcW w:type="dxa" w:w="1037"/>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1.0s</w:t>
            </w:r>
          </w:p>
        </w:tc>
        <w:tc>
          <w:tcPr>
            <w:tcW w:type="dxa" w:w="1037"/>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w:t>
            </w:r>
          </w:p>
        </w:tc>
        <w:tc>
          <w:tcPr>
            <w:tcW w:type="dxa" w:w="1123"/>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1,750ms</w:t>
            </w:r>
          </w:p>
        </w:tc>
        <w:tc>
          <w:tcPr>
            <w:tcW w:type="dxa" w:w="835"/>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0.001</w:t>
            </w:r>
          </w:p>
        </w:tc>
      </w:tr>
    </w:tbl>
    <w:p>
      <w:pPr>
        <w:spacing w:before="80"/>
      </w:pPr>
      <w:r>
        <w:rPr>
          <w:rFonts w:ascii="Arial" w:hAnsi="Arial"/>
          <w:b/>
          <w:i w:val="0"/>
          <w:color w:val="1E293B"/>
          <w:sz w:val="19"/>
        </w:rPr>
        <w:t xml:space="preserve">Interpretation. </w:t>
      </w:r>
      <w:r>
        <w:rPr>
          <w:rFonts w:ascii="Arial" w:hAnsi="Arial"/>
          <w:b w:val="0"/>
          <w:i w:val="0"/>
          <w:color w:val="1E293B"/>
          <w:sz w:val="19"/>
        </w:rPr>
        <w:t>The captured mobile LCP values are 1.6–2.3 seconds above Google’s good target. Desktop LCP is under one second in these three templates, but the blog has high main-thread blocking. TBT is a lab diagnostic and is not the same metric as field INP.</w:t>
      </w:r>
    </w:p>
    <w:p>
      <w:r>
        <w:rPr>
          <w:rFonts w:ascii="Arial" w:hAnsi="Arial"/>
          <w:b/>
          <w:i w:val="0"/>
          <w:color w:val="1E293B"/>
          <w:sz w:val="20"/>
        </w:rPr>
        <w:t xml:space="preserve">Homepage diagnostics: </w:t>
      </w:r>
      <w:r>
        <w:rPr>
          <w:rFonts w:ascii="Arial" w:hAnsi="Arial"/>
          <w:b w:val="0"/>
          <w:i w:val="0"/>
          <w:color w:val="1E293B"/>
          <w:sz w:val="20"/>
        </w:rPr>
        <w:t>PageSpeed estimated about 600ms of render-blocking savings from CSS requests. The mobile LCP breakdown identified roughly 1.87s of render delay, the largest reported phase. The hero image was 39.7 KiB at w=750 and q=75, with about 30 KiB of potential savings estimated by PSI. The desktop report transferred 2.896 MB, recorded 2.2s of main-thread work and five long tasks.</w:t>
      </w:r>
    </w:p>
    <w:p>
      <w:r>
        <w:rPr>
          <w:rFonts w:ascii="Arial" w:hAnsi="Arial"/>
          <w:b/>
          <w:i w:val="0"/>
          <w:color w:val="1E293B"/>
          <w:sz w:val="20"/>
        </w:rPr>
        <w:t xml:space="preserve">Blog diagnostics: </w:t>
      </w:r>
      <w:r>
        <w:rPr>
          <w:rFonts w:ascii="Arial" w:hAnsi="Arial"/>
          <w:b w:val="0"/>
          <w:i w:val="0"/>
          <w:color w:val="1E293B"/>
          <w:sz w:val="20"/>
        </w:rPr>
        <w:t>the desktop report recorded eight long tasks; its largest shared React/runtime task was about 1.51s. That points to remaining client-side work after first paint, even though the sampled desktop LCP was 1.0s.</w:t>
      </w:r>
    </w:p>
    <w:p>
      <w:r>
        <w:rPr>
          <w:rFonts w:ascii="Arial" w:hAnsi="Arial"/>
          <w:b/>
          <w:i w:val="0"/>
          <w:color w:val="1E293B"/>
          <w:sz w:val="20"/>
        </w:rPr>
        <w:t xml:space="preserve">Field-data limitation: </w:t>
      </w:r>
      <w:r>
        <w:rPr>
          <w:rFonts w:ascii="Arial" w:hAnsi="Arial"/>
          <w:b w:val="0"/>
          <w:i w:val="0"/>
          <w:color w:val="1E293B"/>
          <w:sz w:val="20"/>
        </w:rPr>
        <w:t>PageSpeed showed no field data for the sampled URLs. Search Console and CrUX data are needed to confirm 28-day real-user LCP, INP and CLS by URL group.</w:t>
      </w:r>
    </w:p>
    <w:p>
      <w:pPr>
        <w:pStyle w:val="Heading1"/>
      </w:pPr>
      <w:r>
        <w:t>Speed Work in the Local Worktree</w:t>
      </w:r>
    </w:p>
    <w:p>
      <w:r>
        <w:t>These changes are in the current local build and have not changed the live production measurements. The latest local Next.js production build succeeded after the original hero photo quality setting was restored.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1584"/>
            <w:vAlign w:val="center"/>
            <w:shd w:fill="1B2A4A"/>
            <w:tcMar>
              <w:top w:w="100" w:type="dxa"/>
              <w:start w:w="105" w:type="dxa"/>
              <w:bottom w:w="100" w:type="dxa"/>
              <w:end w:w="105" w:type="dxa"/>
            </w:tcMar>
          </w:tcPr>
          <w:p>
            <w:pPr>
              <w:spacing w:after="0"/>
              <w:jc w:val="left"/>
            </w:pPr>
            <w:r>
              <w:rPr>
                <w:rFonts w:ascii="Arial" w:hAnsi="Arial"/>
                <w:b/>
                <w:i w:val="0"/>
                <w:color w:val="FFFFFF"/>
                <w:sz w:val="16"/>
              </w:rPr>
              <w:t>Area</w:t>
            </w:r>
          </w:p>
        </w:tc>
        <w:tc>
          <w:tcPr>
            <w:tcW w:type="dxa" w:w="3672"/>
            <w:vAlign w:val="center"/>
            <w:shd w:fill="1B2A4A"/>
            <w:tcMar>
              <w:top w:w="100" w:type="dxa"/>
              <w:start w:w="105" w:type="dxa"/>
              <w:bottom w:w="100" w:type="dxa"/>
              <w:end w:w="105" w:type="dxa"/>
            </w:tcMar>
          </w:tcPr>
          <w:p>
            <w:pPr>
              <w:spacing w:after="0"/>
              <w:jc w:val="left"/>
            </w:pPr>
            <w:r>
              <w:rPr>
                <w:rFonts w:ascii="Arial" w:hAnsi="Arial"/>
                <w:b/>
                <w:i w:val="0"/>
                <w:color w:val="FFFFFF"/>
                <w:sz w:val="16"/>
              </w:rPr>
              <w:t>Local change</w:t>
            </w:r>
          </w:p>
        </w:tc>
        <w:tc>
          <w:tcPr>
            <w:tcW w:type="dxa" w:w="4104"/>
            <w:vAlign w:val="center"/>
            <w:shd w:fill="1B2A4A"/>
            <w:tcMar>
              <w:top w:w="100" w:type="dxa"/>
              <w:start w:w="105" w:type="dxa"/>
              <w:bottom w:w="100" w:type="dxa"/>
              <w:end w:w="105" w:type="dxa"/>
            </w:tcMar>
          </w:tcPr>
          <w:p>
            <w:pPr>
              <w:spacing w:after="0"/>
              <w:jc w:val="left"/>
            </w:pPr>
            <w:r>
              <w:rPr>
                <w:rFonts w:ascii="Arial" w:hAnsi="Arial"/>
                <w:b/>
                <w:i w:val="0"/>
                <w:color w:val="FFFFFF"/>
                <w:sz w:val="16"/>
              </w:rPr>
              <w:t>Evidence / limitation</w:t>
            </w:r>
          </w:p>
        </w:tc>
      </w:tr>
      <w:tr>
        <w:trPr>
          <w:cantSplit/>
        </w:trPr>
        <w:tc>
          <w:tcPr>
            <w:tcW w:type="dxa" w:w="1584"/>
            <w:vAlign w:val="center"/>
            <w:tcMar>
              <w:top w:w="75" w:type="dxa"/>
              <w:start w:w="105" w:type="dxa"/>
              <w:bottom w:w="75" w:type="dxa"/>
              <w:end w:w="105" w:type="dxa"/>
            </w:tcMar>
          </w:tcPr>
          <w:p>
            <w:pPr>
              <w:spacing w:after="0" w:line="240" w:lineRule="auto"/>
            </w:pPr>
            <w:r>
              <w:rPr>
                <w:rFonts w:ascii="Arial" w:hAnsi="Arial"/>
                <w:b w:val="0"/>
                <w:i w:val="0"/>
                <w:color w:val="1E293B"/>
                <w:sz w:val="16"/>
              </w:rPr>
              <w:t>Initial JavaScript</w:t>
            </w:r>
          </w:p>
        </w:tc>
        <w:tc>
          <w:tcPr>
            <w:tcW w:type="dxa" w:w="3672"/>
            <w:vAlign w:val="center"/>
            <w:tcMar>
              <w:top w:w="75" w:type="dxa"/>
              <w:start w:w="105" w:type="dxa"/>
              <w:bottom w:w="75" w:type="dxa"/>
              <w:end w:w="105" w:type="dxa"/>
            </w:tcMar>
          </w:tcPr>
          <w:p>
            <w:pPr>
              <w:spacing w:after="0" w:line="240" w:lineRule="auto"/>
            </w:pPr>
            <w:r>
              <w:rPr>
                <w:rFonts w:ascii="Arial" w:hAnsi="Arial"/>
                <w:b w:val="0"/>
                <w:i w:val="0"/>
                <w:color w:val="1E293B"/>
                <w:sz w:val="16"/>
              </w:rPr>
              <w:t>Split header interactions, lazy-loaded chatbot and consultation UI, and moved static blog-carousel data out of the client bundle.</w:t>
            </w:r>
          </w:p>
        </w:tc>
        <w:tc>
          <w:tcPr>
            <w:tcW w:type="dxa" w:w="4104"/>
            <w:vAlign w:val="center"/>
            <w:tcMar>
              <w:top w:w="75" w:type="dxa"/>
              <w:start w:w="105" w:type="dxa"/>
              <w:bottom w:w="75" w:type="dxa"/>
              <w:end w:w="105" w:type="dxa"/>
            </w:tcMar>
          </w:tcPr>
          <w:p>
            <w:pPr>
              <w:spacing w:after="0" w:line="240" w:lineRule="auto"/>
            </w:pPr>
            <w:r>
              <w:rPr>
                <w:rFonts w:ascii="Arial" w:hAnsi="Arial"/>
                <w:b w:val="0"/>
                <w:i w:val="0"/>
                <w:color w:val="1E293B"/>
                <w:sz w:val="16"/>
              </w:rPr>
              <w:t>Homepage referenced JS gzip: 325.8 KiB to 224.0 KiB (about 31% less). CRS and blog sampled chunks were 230.9 KiB and 193.6 KiB.</w:t>
            </w:r>
          </w:p>
        </w:tc>
      </w:tr>
      <w:tr>
        <w:trPr>
          <w:cantSplit/>
        </w:trPr>
        <w:tc>
          <w:tcPr>
            <w:tcW w:type="dxa" w:w="158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Below-fold and data work</w:t>
            </w:r>
          </w:p>
        </w:tc>
        <w:tc>
          <w:tcPr>
            <w:tcW w:type="dxa" w:w="3672"/>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Draw history loads only when needed; PNP data is server-provided; TemplateMotion scans newly inserted nodes only.</w:t>
            </w:r>
          </w:p>
        </w:tc>
        <w:tc>
          <w:tcPr>
            <w:tcW w:type="dxa" w:w="410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Less eager client work while preserving existing page structure and interactions.</w:t>
            </w:r>
          </w:p>
        </w:tc>
      </w:tr>
      <w:tr>
        <w:trPr>
          <w:cantSplit/>
        </w:trPr>
        <w:tc>
          <w:tcPr>
            <w:tcW w:type="dxa" w:w="1584"/>
            <w:vAlign w:val="center"/>
            <w:tcMar>
              <w:top w:w="75" w:type="dxa"/>
              <w:start w:w="105" w:type="dxa"/>
              <w:bottom w:w="75" w:type="dxa"/>
              <w:end w:w="105" w:type="dxa"/>
            </w:tcMar>
          </w:tcPr>
          <w:p>
            <w:pPr>
              <w:spacing w:after="0" w:line="240" w:lineRule="auto"/>
            </w:pPr>
            <w:r>
              <w:rPr>
                <w:rFonts w:ascii="Arial" w:hAnsi="Arial"/>
                <w:b w:val="0"/>
                <w:i w:val="0"/>
                <w:color w:val="1E293B"/>
                <w:sz w:val="16"/>
              </w:rPr>
              <w:t>Image delivery</w:t>
            </w:r>
          </w:p>
        </w:tc>
        <w:tc>
          <w:tcPr>
            <w:tcW w:type="dxa" w:w="3672"/>
            <w:vAlign w:val="center"/>
            <w:tcMar>
              <w:top w:w="75" w:type="dxa"/>
              <w:start w:w="105" w:type="dxa"/>
              <w:bottom w:w="75" w:type="dxa"/>
              <w:end w:w="105" w:type="dxa"/>
            </w:tcMar>
          </w:tcPr>
          <w:p>
            <w:pPr>
              <w:spacing w:after="0" w:line="240" w:lineRule="auto"/>
            </w:pPr>
            <w:r>
              <w:rPr>
                <w:rFonts w:ascii="Arial" w:hAnsi="Arial"/>
                <w:b w:val="0"/>
                <w:i w:val="0"/>
                <w:color w:val="1E293B"/>
                <w:sz w:val="16"/>
              </w:rPr>
              <w:t>Use WebP, a 1440px desktop candidate, and high fetch priority for the hero. Hero quality is restored to its original q=60 setting; Next allows q=60 and q=75.</w:t>
            </w:r>
          </w:p>
        </w:tc>
        <w:tc>
          <w:tcPr>
            <w:tcW w:type="dxa" w:w="4104"/>
            <w:vAlign w:val="center"/>
            <w:tcMar>
              <w:top w:w="75" w:type="dxa"/>
              <w:start w:w="105" w:type="dxa"/>
              <w:bottom w:w="75" w:type="dxa"/>
              <w:end w:w="105" w:type="dxa"/>
            </w:tcMar>
          </w:tcPr>
          <w:p>
            <w:pPr>
              <w:spacing w:after="0" w:line="240" w:lineRule="auto"/>
            </w:pPr>
            <w:r>
              <w:rPr>
                <w:rFonts w:ascii="Arial" w:hAnsi="Arial"/>
                <w:b w:val="0"/>
                <w:i w:val="0"/>
                <w:color w:val="1E293B"/>
                <w:sz w:val="16"/>
              </w:rPr>
              <w:t>Keeps the original source quality choice while avoiding an oversized desktop candidate on standard desktop slots.</w:t>
            </w:r>
          </w:p>
        </w:tc>
      </w:tr>
      <w:tr>
        <w:trPr>
          <w:cantSplit/>
        </w:trPr>
        <w:tc>
          <w:tcPr>
            <w:tcW w:type="dxa" w:w="158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CSS delivery candidate</w:t>
            </w:r>
          </w:p>
        </w:tc>
        <w:tc>
          <w:tcPr>
            <w:tcW w:type="dxa" w:w="3672"/>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Next experimental.inlineCss is enabled to address the live render-blocking CSS diagnostic.</w:t>
            </w:r>
          </w:p>
        </w:tc>
        <w:tc>
          <w:tcPr>
            <w:tcW w:type="dxa" w:w="410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Local CSS content hashes matched in inline and external builds for home, PNP and CRS. Gzip HTML rose from about 109.3 KiB to 205.9 KiB while external CSS was about 48.7 KiB gzip; this tradeoff needs post-deploy mobile measurement.</w:t>
            </w:r>
          </w:p>
        </w:tc>
      </w:tr>
      <w:tr>
        <w:trPr>
          <w:cantSplit/>
        </w:trPr>
        <w:tc>
          <w:tcPr>
            <w:tcW w:type="dxa" w:w="1584"/>
            <w:vAlign w:val="center"/>
            <w:tcMar>
              <w:top w:w="75" w:type="dxa"/>
              <w:start w:w="105" w:type="dxa"/>
              <w:bottom w:w="75" w:type="dxa"/>
              <w:end w:w="105" w:type="dxa"/>
            </w:tcMar>
          </w:tcPr>
          <w:p>
            <w:pPr>
              <w:spacing w:after="0" w:line="240" w:lineRule="auto"/>
            </w:pPr>
            <w:r>
              <w:rPr>
                <w:rFonts w:ascii="Arial" w:hAnsi="Arial"/>
                <w:b w:val="0"/>
                <w:i w:val="0"/>
                <w:color w:val="1E293B"/>
                <w:sz w:val="16"/>
              </w:rPr>
              <w:t>Build scope</w:t>
            </w:r>
          </w:p>
        </w:tc>
        <w:tc>
          <w:tcPr>
            <w:tcW w:type="dxa" w:w="3672"/>
            <w:vAlign w:val="center"/>
            <w:tcMar>
              <w:top w:w="75" w:type="dxa"/>
              <w:start w:w="105" w:type="dxa"/>
              <w:bottom w:w="75" w:type="dxa"/>
              <w:end w:w="105" w:type="dxa"/>
            </w:tcMar>
          </w:tcPr>
          <w:p>
            <w:pPr>
              <w:spacing w:after="0" w:line="240" w:lineRule="auto"/>
            </w:pPr>
            <w:r>
              <w:rPr>
                <w:rFonts w:ascii="Arial" w:hAnsi="Arial"/>
                <w:b w:val="0"/>
                <w:i w:val="0"/>
                <w:color w:val="1E293B"/>
                <w:sz w:val="16"/>
              </w:rPr>
              <w:t>The latest Next production build succeeded and generated 187 route entries.</w:t>
            </w:r>
          </w:p>
        </w:tc>
        <w:tc>
          <w:tcPr>
            <w:tcW w:type="dxa" w:w="4104"/>
            <w:vAlign w:val="center"/>
            <w:tcMar>
              <w:top w:w="75" w:type="dxa"/>
              <w:start w:w="105" w:type="dxa"/>
              <w:bottom w:w="75" w:type="dxa"/>
              <w:end w:w="105" w:type="dxa"/>
            </w:tcMar>
          </w:tcPr>
          <w:p>
            <w:pPr>
              <w:spacing w:after="0" w:line="240" w:lineRule="auto"/>
            </w:pPr>
            <w:r>
              <w:rPr>
                <w:rFonts w:ascii="Arial" w:hAnsi="Arial"/>
                <w:b w:val="0"/>
                <w:i w:val="0"/>
                <w:color w:val="1E293B"/>
                <w:sz w:val="16"/>
              </w:rPr>
              <w:t>The route count includes generated entries beyond the 155 public sitemap URLs.</w:t>
            </w:r>
          </w:p>
        </w:tc>
      </w:tr>
    </w:tbl>
    <w:p>
      <w:pPr>
        <w:pStyle w:val="Heading1"/>
      </w:pPr>
      <w:r>
        <w:t>Visual Preservation Check</w:t>
      </w:r>
    </w:p>
    <w:p>
      <w:r>
        <w:t>The CSS source itself was not changed by the CSS-delivery optimization; the CSS bytes remained the same in local inline and external build comparisons for homepage, PNP and CRS outputs. The local production rendering was inspected at 390 × 844 and 1440 × 900. The document width did not exceed the viewport at either size, and no horizontal overflow was observed. The hero image quality was restored to the original q=60 code setting before the final build.</w:t>
      </w:r>
    </w:p>
    <w:p>
      <w:r>
        <w:t>This confirms the local responsive layout and delivery-mode check, but it is not a pixel-diff against every production route or every viewport. Full post-deploy visual and PageSpeed comparisons remain necessary before calling the change verified across the complete live site.</w:t>
      </w:r>
    </w:p>
    <w:p>
      <w:pPr>
        <w:pStyle w:val="Heading1"/>
      </w:pPr>
      <w:r>
        <w:t>Technical SEO and SERP Readiness</w:t>
      </w:r>
    </w:p>
    <w:p>
      <w:pPr>
        <w:pStyle w:val="Heading2"/>
      </w:pPr>
      <w:r>
        <w:t>Technical crawl signals</w:t>
      </w:r>
    </w:p>
    <w:p>
      <w:r>
        <w:t>The live sitemap and robots directives are accessible. Every crawled URL returned a self-referencing canonical and exactly one H1. No title or description duplicates and no missing image alt attributes were observed in this 155-URL crawl. Page word counts ranged from 650 to 6,813; length alone does not establish quality or relevance.</w:t>
      </w:r>
    </w:p>
    <w:p>
      <w:r>
        <w:t>Metadata length outliers are review prompts, not automatic ranking failures. Seven titles were shorter than 30 characters; fourteen descriptions were under 120 characters; nineteen descriptions exceeded 165 characters. Google may generate different search snippets, so compare impressions and click-through rate in Search Console before rewriting metadata in bulk.</w:t>
      </w:r>
    </w:p>
    <w:p>
      <w:r>
        <w:br w:type="page"/>
      </w:r>
    </w:p>
    <w:p>
      <w:pPr>
        <w:pStyle w:val="Heading2"/>
      </w:pPr>
      <w:r>
        <w:t>Title and description outliers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8064"/>
            <w:vAlign w:val="center"/>
            <w:shd w:fill="1B2A4A"/>
            <w:tcMar>
              <w:top w:w="100" w:type="dxa"/>
              <w:start w:w="105" w:type="dxa"/>
              <w:bottom w:w="100" w:type="dxa"/>
              <w:end w:w="105" w:type="dxa"/>
            </w:tcMar>
          </w:tcPr>
          <w:p>
            <w:pPr>
              <w:spacing w:after="0"/>
              <w:jc w:val="left"/>
            </w:pPr>
            <w:r>
              <w:rPr>
                <w:rFonts w:ascii="Arial" w:hAnsi="Arial"/>
                <w:b/>
                <w:i w:val="0"/>
                <w:color w:val="FFFFFF"/>
                <w:sz w:val="17"/>
              </w:rPr>
              <w:t>Title under 30 characters</w:t>
            </w:r>
          </w:p>
        </w:tc>
        <w:tc>
          <w:tcPr>
            <w:tcW w:type="dxa" w:w="1296"/>
            <w:vAlign w:val="center"/>
            <w:shd w:fill="1B2A4A"/>
            <w:tcMar>
              <w:top w:w="100" w:type="dxa"/>
              <w:start w:w="105" w:type="dxa"/>
              <w:bottom w:w="100" w:type="dxa"/>
              <w:end w:w="105" w:type="dxa"/>
            </w:tcMar>
          </w:tcPr>
          <w:p>
            <w:pPr>
              <w:spacing w:after="0"/>
              <w:jc w:val="left"/>
            </w:pPr>
            <w:r>
              <w:rPr>
                <w:rFonts w:ascii="Arial" w:hAnsi="Arial"/>
                <w:b/>
                <w:i w:val="0"/>
                <w:color w:val="FFFFFF"/>
                <w:sz w:val="17"/>
              </w:rPr>
              <w:t>Chars</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7"/>
              </w:rPr>
              <w:t>/citizenship/pr-card-renewal-standalone-page</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7"/>
              </w:rPr>
              <w:t>27</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/inadmissibility-and-appeals/deferral-request</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28</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7"/>
              </w:rPr>
              <w:t>/inadmissibility-and-appeals/detention-review</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7"/>
              </w:rPr>
              <w:t>28</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/inadmissibility-and-appeals/stay-of-removal</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27</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7"/>
              </w:rPr>
              <w:t>/legal/canada-immigration-disclaimer</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7"/>
              </w:rPr>
              <w:t>29</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/legal/privacy-policy</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7"/>
              </w:rPr>
              <w:t>14</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7"/>
              </w:rPr>
              <w:t>/legal/terms-of-service</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7"/>
              </w:rPr>
              <w:t>12</w:t>
            </w:r>
          </w:p>
        </w:tc>
      </w:tr>
    </w:tbl>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8064"/>
            <w:vAlign w:val="center"/>
            <w:shd w:fill="1B2A4A"/>
            <w:tcMar>
              <w:top w:w="100" w:type="dxa"/>
              <w:start w:w="105" w:type="dxa"/>
              <w:bottom w:w="100" w:type="dxa"/>
              <w:end w:w="105" w:type="dxa"/>
            </w:tcMar>
          </w:tcPr>
          <w:p>
            <w:pPr>
              <w:spacing w:after="0"/>
              <w:jc w:val="left"/>
            </w:pPr>
            <w:r>
              <w:rPr>
                <w:rFonts w:ascii="Arial" w:hAnsi="Arial"/>
                <w:b/>
                <w:i w:val="0"/>
                <w:color w:val="FFFFFF"/>
                <w:sz w:val="16"/>
              </w:rPr>
              <w:t>Description under 120 characters</w:t>
            </w:r>
          </w:p>
        </w:tc>
        <w:tc>
          <w:tcPr>
            <w:tcW w:type="dxa" w:w="1296"/>
            <w:vAlign w:val="center"/>
            <w:shd w:fill="1B2A4A"/>
            <w:tcMar>
              <w:top w:w="100" w:type="dxa"/>
              <w:start w:w="105" w:type="dxa"/>
              <w:bottom w:w="100" w:type="dxa"/>
              <w:end w:w="105" w:type="dxa"/>
            </w:tcMar>
          </w:tcPr>
          <w:p>
            <w:pPr>
              <w:spacing w:after="0"/>
              <w:jc w:val="left"/>
            </w:pPr>
            <w:r>
              <w:rPr>
                <w:rFonts w:ascii="Arial" w:hAnsi="Arial"/>
                <w:b/>
                <w:i w:val="0"/>
                <w:color w:val="FFFFFF"/>
                <w:sz w:val="16"/>
              </w:rPr>
              <w:t>Chars</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/citizenship/citizenship-revocation-appeal</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119</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/citizenship/pr-card-replacement</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100</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/citizenship/proof-of-adoption-record</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104</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/inadmissibility-and-appeals/deferral-request</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112</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/inadmissibility-and-appeals/financial-inadmissibility</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116</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/inadmissibility-and-appeals/mandamus-application</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113</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/inadmissibility-and-appeals/misrepresentation</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114</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/inadmissibility-and-appeals/stay-motion</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100</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/inadmissibility-and-appeals/stay-of-removal</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118</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/sponsor/minimum-necessary-income</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118</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/sponsor/orphaned-relatives</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118</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/sponsor/pgp-invitation-to-apply-canada</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119</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/sponsor/spousal-open-work-permit</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116</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/sponsor/super-visa-for-parents</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117</w:t>
            </w:r>
          </w:p>
        </w:tc>
      </w:tr>
    </w:tbl>
    <w:p>
      <w:r>
        <w:br w:type="page"/>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8064"/>
            <w:vAlign w:val="center"/>
            <w:shd w:fill="1B2A4A"/>
            <w:tcMar>
              <w:top w:w="100" w:type="dxa"/>
              <w:start w:w="105" w:type="dxa"/>
              <w:bottom w:w="100" w:type="dxa"/>
              <w:end w:w="105" w:type="dxa"/>
            </w:tcMar>
          </w:tcPr>
          <w:p>
            <w:pPr>
              <w:spacing w:after="0"/>
              <w:jc w:val="left"/>
            </w:pPr>
            <w:r>
              <w:rPr>
                <w:rFonts w:ascii="Arial" w:hAnsi="Arial"/>
                <w:b/>
                <w:i w:val="0"/>
                <w:color w:val="FFFFFF"/>
                <w:sz w:val="16"/>
              </w:rPr>
              <w:t>Description over 165 characters</w:t>
            </w:r>
          </w:p>
        </w:tc>
        <w:tc>
          <w:tcPr>
            <w:tcW w:type="dxa" w:w="1296"/>
            <w:vAlign w:val="center"/>
            <w:shd w:fill="1B2A4A"/>
            <w:tcMar>
              <w:top w:w="100" w:type="dxa"/>
              <w:start w:w="105" w:type="dxa"/>
              <w:bottom w:w="100" w:type="dxa"/>
              <w:end w:w="105" w:type="dxa"/>
            </w:tcMar>
          </w:tcPr>
          <w:p>
            <w:pPr>
              <w:spacing w:after="0"/>
              <w:jc w:val="left"/>
            </w:pPr>
            <w:r>
              <w:rPr>
                <w:rFonts w:ascii="Arial" w:hAnsi="Arial"/>
                <w:b/>
                <w:i w:val="0"/>
                <w:color w:val="FFFFFF"/>
                <w:sz w:val="16"/>
              </w:rPr>
              <w:t>Chars</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/blog/alberta-advantage-immigration-program-2026</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206</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/blog/atlantic-immigration-program-employer-checklist</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196</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/blog/bc-pnp-2026-streams-priorities</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191</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/blog/canada-immigration-scams-authorized-representative</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195</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/blog/canadian-experience-class-2026-requirements</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176</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/blog/change-dli-study-permit-canada</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187</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/blog/express-entry-french-language-category-2026</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171</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/blog/express-entry-profile-expiry-what-to-do</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193</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/blog/express-entry-proof-of-funds-2026</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188</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/blog/francophone-community-immigration-pilot-canada</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215</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/blog/lmia-wage-thresholds-2026</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186</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/blog/manitoba-pnp-2026-skilled-worker-guide</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175</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/blog/ontario-pnp-2026-oinp-updates</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173</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/blog/restore-status-canada-worker-student</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172</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/blog/rural-lmia-temporary-measures-2026</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212</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/blog/spouse-open-work-permit-2026</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207</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/blog/study-permit-pal-tal-exemption-2026</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199</w:t>
            </w:r>
          </w:p>
        </w:tc>
      </w:tr>
      <w:tr>
        <w:trPr>
          <w:cantSplit/>
        </w:trPr>
        <w:tc>
          <w:tcPr>
            <w:tcW w:type="dxa" w:w="806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/blog/visitor-record-vs-trv-canada</w:t>
            </w:r>
          </w:p>
        </w:tc>
        <w:tc>
          <w:tcPr>
            <w:tcW w:type="dxa" w:w="1296"/>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178</w:t>
            </w:r>
          </w:p>
        </w:tc>
      </w:tr>
      <w:tr>
        <w:trPr>
          <w:cantSplit/>
        </w:trPr>
        <w:tc>
          <w:tcPr>
            <w:tcW w:type="dxa" w:w="8064"/>
            <w:vAlign w:val="center"/>
            <w:tcMar>
              <w:top w:w="75" w:type="dxa"/>
              <w:start w:w="105" w:type="dxa"/>
              <w:bottom w:w="75" w:type="dxa"/>
              <w:end w:w="105" w:type="dxa"/>
            </w:tcMar>
          </w:tcPr>
          <w:p>
            <w:pPr>
              <w:spacing w:after="0" w:line="240" w:lineRule="auto"/>
            </w:pPr>
            <w:r>
              <w:rPr>
                <w:rFonts w:ascii="Arial" w:hAnsi="Arial"/>
                <w:b w:val="0"/>
                <w:i w:val="0"/>
                <w:color w:val="1E293B"/>
                <w:sz w:val="16"/>
              </w:rPr>
              <w:t>/legal/privacy-policy</w:t>
            </w:r>
          </w:p>
        </w:tc>
        <w:tc>
          <w:tcPr>
            <w:tcW w:type="dxa" w:w="1296"/>
            <w:vAlign w:val="center"/>
            <w:tcMar>
              <w:top w:w="75" w:type="dxa"/>
              <w:start w:w="105" w:type="dxa"/>
              <w:bottom w:w="75" w:type="dxa"/>
              <w:end w:w="105" w:type="dxa"/>
            </w:tcMar>
          </w:tcPr>
          <w:p>
            <w:pPr>
              <w:spacing w:after="0" w:line="240" w:lineRule="auto"/>
            </w:pPr>
            <w:r>
              <w:rPr>
                <w:rFonts w:ascii="Arial" w:hAnsi="Arial"/>
                <w:b w:val="0"/>
                <w:i w:val="0"/>
                <w:color w:val="1E293B"/>
                <w:sz w:val="16"/>
              </w:rPr>
              <w:t>166</w:t>
            </w:r>
          </w:p>
        </w:tc>
      </w:tr>
    </w:tbl>
    <w:p>
      <w:pPr>
        <w:pStyle w:val="Heading2"/>
      </w:pPr>
      <w:r>
        <w:t>Content relevance and trust</w:t>
      </w:r>
    </w:p>
    <w:p>
      <w:r>
        <w:rPr>
          <w:rFonts w:ascii="Arial" w:hAnsi="Arial"/>
          <w:b/>
          <w:i w:val="0"/>
          <w:color w:val="DC2626"/>
          <w:sz w:val="20"/>
        </w:rPr>
        <w:t xml:space="preserve">High priority: the live Global Talent Stream page has a major content-topic mismatch. </w:t>
      </w:r>
      <w:r>
        <w:rPr>
          <w:rFonts w:ascii="Arial" w:hAnsi="Arial"/>
          <w:b w:val="0"/>
          <w:i w:val="0"/>
          <w:color w:val="1E293B"/>
          <w:sz w:val="20"/>
        </w:rPr>
        <w:t>Under GTS headings it describes a Canadian study and post-graduation pathway, directs readers to study-permit guidance, and includes study-permit/post-graduation questions. The route is reachable and its title/canonical are present, but its visible copy does not answer the search intent implied by its title and URL. This requires an editorial correction using current official program sources; no copy change was made as part of the visual-preserving speed work.</w:t>
      </w:r>
    </w:p>
    <w:p>
      <w:pPr>
        <w:pStyle w:val="Heading2"/>
      </w:pPr>
      <w:r>
        <w:t>GEO and entity signals</w:t>
      </w:r>
    </w:p>
    <w:p>
      <w:r>
        <w:t>The homepage visibly names Pankaj Khanna and displays CICC licence R711256 with a link to the regulator register. The footer exposes business contact details and government/regulator links. Homepage JSON-LD included ProfessionalService, WebSite, Person, WebPage, BreadcrumbList and FAQPage. These signals support entity clarity, but they do not establish rankings or substitute for accurate, original page-level content and citations to controlling sources.</w:t>
      </w:r>
    </w:p>
    <w:p>
      <w:pPr>
        <w:pStyle w:val="Heading2"/>
      </w:pPr>
      <w:r>
        <w:t>AEO and structured answers</w:t>
      </w:r>
    </w:p>
    <w:p>
      <w:r>
        <w:t>The homepage and service pages use question-style headings and FAQ sections. FAQPage structured data was detected across the sampled pages. Google’s published FAQ rich-result guidance limits eligibility primarily to well-known, authoritative government and health sites, so this consultancy should not plan on FAQ markup producing a Google FAQ rich result. Keep markup only where it matches visible page content and validates; structured data does not guarantee display.</w:t>
      </w:r>
    </w:p>
    <w:p>
      <w:pPr>
        <w:pStyle w:val="Heading1"/>
      </w:pPr>
      <w:r>
        <w:t>Priority Recommendations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69"/>
        <w:gridCol w:w="2469"/>
        <w:gridCol w:w="2469"/>
        <w:gridCol w:w="2469"/>
      </w:tblGrid>
      <w:tr>
        <w:trPr>
          <w:tblHeader w:val="true"/>
        </w:trPr>
        <w:tc>
          <w:tcPr>
            <w:tcW w:type="dxa" w:w="1080"/>
            <w:vAlign w:val="center"/>
            <w:shd w:fill="1B2A4A"/>
            <w:tcMar>
              <w:top w:w="100" w:type="dxa"/>
              <w:start w:w="105" w:type="dxa"/>
              <w:bottom w:w="100" w:type="dxa"/>
              <w:end w:w="105" w:type="dxa"/>
            </w:tcMar>
          </w:tcPr>
          <w:p>
            <w:pPr>
              <w:spacing w:after="0"/>
              <w:jc w:val="left"/>
            </w:pPr>
            <w:r>
              <w:rPr>
                <w:rFonts w:ascii="Arial" w:hAnsi="Arial"/>
                <w:b/>
                <w:i w:val="0"/>
                <w:color w:val="FFFFFF"/>
                <w:sz w:val="16"/>
              </w:rPr>
              <w:t>Priority</w:t>
            </w:r>
          </w:p>
        </w:tc>
        <w:tc>
          <w:tcPr>
            <w:tcW w:type="dxa" w:w="2232"/>
            <w:vAlign w:val="center"/>
            <w:shd w:fill="1B2A4A"/>
            <w:tcMar>
              <w:top w:w="100" w:type="dxa"/>
              <w:start w:w="105" w:type="dxa"/>
              <w:bottom w:w="100" w:type="dxa"/>
              <w:end w:w="105" w:type="dxa"/>
            </w:tcMar>
          </w:tcPr>
          <w:p>
            <w:pPr>
              <w:spacing w:after="0"/>
              <w:jc w:val="left"/>
            </w:pPr>
            <w:r>
              <w:rPr>
                <w:rFonts w:ascii="Arial" w:hAnsi="Arial"/>
                <w:b/>
                <w:i w:val="0"/>
                <w:color w:val="FFFFFF"/>
                <w:sz w:val="16"/>
              </w:rPr>
              <w:t>Issue</w:t>
            </w:r>
          </w:p>
        </w:tc>
        <w:tc>
          <w:tcPr>
            <w:tcW w:type="dxa" w:w="1224"/>
            <w:vAlign w:val="center"/>
            <w:shd w:fill="1B2A4A"/>
            <w:tcMar>
              <w:top w:w="100" w:type="dxa"/>
              <w:start w:w="105" w:type="dxa"/>
              <w:bottom w:w="100" w:type="dxa"/>
              <w:end w:w="105" w:type="dxa"/>
            </w:tcMar>
          </w:tcPr>
          <w:p>
            <w:pPr>
              <w:spacing w:after="0"/>
              <w:jc w:val="left"/>
            </w:pPr>
            <w:r>
              <w:rPr>
                <w:rFonts w:ascii="Arial" w:hAnsi="Arial"/>
                <w:b/>
                <w:i w:val="0"/>
                <w:color w:val="FFFFFF"/>
                <w:sz w:val="16"/>
              </w:rPr>
              <w:t>Area</w:t>
            </w:r>
          </w:p>
        </w:tc>
        <w:tc>
          <w:tcPr>
            <w:tcW w:type="dxa" w:w="4824"/>
            <w:vAlign w:val="center"/>
            <w:shd w:fill="1B2A4A"/>
            <w:tcMar>
              <w:top w:w="100" w:type="dxa"/>
              <w:start w:w="105" w:type="dxa"/>
              <w:bottom w:w="100" w:type="dxa"/>
              <w:end w:w="105" w:type="dxa"/>
            </w:tcMar>
          </w:tcPr>
          <w:p>
            <w:pPr>
              <w:spacing w:after="0"/>
              <w:jc w:val="left"/>
            </w:pPr>
            <w:r>
              <w:rPr>
                <w:rFonts w:ascii="Arial" w:hAnsi="Arial"/>
                <w:b/>
                <w:i w:val="0"/>
                <w:color w:val="FFFFFF"/>
                <w:sz w:val="16"/>
              </w:rPr>
              <w:t>Next action</w:t>
            </w:r>
          </w:p>
        </w:tc>
      </w:tr>
      <w:tr>
        <w:trPr>
          <w:cantSplit/>
        </w:trPr>
        <w:tc>
          <w:tcPr>
            <w:tcW w:type="dxa" w:w="1080"/>
            <w:vAlign w:val="center"/>
            <w:tcMar>
              <w:top w:w="75" w:type="dxa"/>
              <w:start w:w="105" w:type="dxa"/>
              <w:bottom w:w="75" w:type="dxa"/>
              <w:end w:w="105" w:type="dxa"/>
            </w:tcMar>
          </w:tcPr>
          <w:p>
            <w:pPr>
              <w:spacing w:after="0" w:line="240" w:lineRule="auto"/>
            </w:pPr>
            <w:r>
              <w:rPr>
                <w:rFonts w:ascii="Arial" w:hAnsi="Arial"/>
                <w:b w:val="0"/>
                <w:i w:val="0"/>
                <w:color w:val="1E293B"/>
                <w:sz w:val="16"/>
              </w:rPr>
              <w:t>Critical</w:t>
            </w:r>
          </w:p>
        </w:tc>
        <w:tc>
          <w:tcPr>
            <w:tcW w:type="dxa" w:w="2232"/>
            <w:vAlign w:val="center"/>
            <w:tcMar>
              <w:top w:w="75" w:type="dxa"/>
              <w:start w:w="105" w:type="dxa"/>
              <w:bottom w:w="75" w:type="dxa"/>
              <w:end w:w="105" w:type="dxa"/>
            </w:tcMar>
          </w:tcPr>
          <w:p>
            <w:pPr>
              <w:spacing w:after="0" w:line="240" w:lineRule="auto"/>
            </w:pPr>
            <w:r>
              <w:rPr>
                <w:rFonts w:ascii="Arial" w:hAnsi="Arial"/>
                <w:b w:val="0"/>
                <w:i w:val="0"/>
                <w:color w:val="1E293B"/>
                <w:sz w:val="16"/>
              </w:rPr>
              <w:t>Mobile LCP above 4s on all three sampled page families</w:t>
            </w:r>
          </w:p>
        </w:tc>
        <w:tc>
          <w:tcPr>
            <w:tcW w:type="dxa" w:w="1224"/>
            <w:vAlign w:val="center"/>
            <w:tcMar>
              <w:top w:w="75" w:type="dxa"/>
              <w:start w:w="105" w:type="dxa"/>
              <w:bottom w:w="75" w:type="dxa"/>
              <w:end w:w="105" w:type="dxa"/>
            </w:tcMar>
          </w:tcPr>
          <w:p>
            <w:pPr>
              <w:spacing w:after="0" w:line="240" w:lineRule="auto"/>
            </w:pPr>
            <w:r>
              <w:rPr>
                <w:rFonts w:ascii="Arial" w:hAnsi="Arial"/>
                <w:b w:val="0"/>
                <w:i w:val="0"/>
                <w:color w:val="1E293B"/>
                <w:sz w:val="16"/>
              </w:rPr>
              <w:t>Speed</w:t>
            </w:r>
          </w:p>
        </w:tc>
        <w:tc>
          <w:tcPr>
            <w:tcW w:type="dxa" w:w="4824"/>
            <w:vAlign w:val="center"/>
            <w:tcMar>
              <w:top w:w="75" w:type="dxa"/>
              <w:start w:w="105" w:type="dxa"/>
              <w:bottom w:w="75" w:type="dxa"/>
              <w:end w:w="105" w:type="dxa"/>
            </w:tcMar>
          </w:tcPr>
          <w:p>
            <w:pPr>
              <w:spacing w:after="0" w:line="240" w:lineRule="auto"/>
            </w:pPr>
            <w:r>
              <w:rPr>
                <w:rFonts w:ascii="Arial" w:hAnsi="Arial"/>
                <w:b w:val="0"/>
                <w:i w:val="0"/>
                <w:color w:val="1E293B"/>
                <w:sz w:val="16"/>
              </w:rPr>
              <w:t>After deployment, rerun PSI for mobile home, CRS, blog and one page per shared service template; identify the actual LCP element and reduce render delay while retaining the design. Target LCP ≤2.5s.</w:t>
            </w:r>
          </w:p>
        </w:tc>
      </w:tr>
      <w:tr>
        <w:trPr>
          <w:cantSplit/>
        </w:trPr>
        <w:tc>
          <w:tcPr>
            <w:tcW w:type="dxa" w:w="1080"/>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High</w:t>
            </w:r>
          </w:p>
        </w:tc>
        <w:tc>
          <w:tcPr>
            <w:tcW w:type="dxa" w:w="2232"/>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Global Talent Stream page contains unrelated study-permit content</w:t>
            </w:r>
          </w:p>
        </w:tc>
        <w:tc>
          <w:tcPr>
            <w:tcW w:type="dxa" w:w="122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SERP / trust</w:t>
            </w:r>
          </w:p>
        </w:tc>
        <w:tc>
          <w:tcPr>
            <w:tcW w:type="dxa" w:w="482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Correct page copy and FAQ against current official GTS sources; recheck title, headings, internal links and structured data after editorial review.</w:t>
            </w:r>
          </w:p>
        </w:tc>
      </w:tr>
      <w:tr>
        <w:trPr>
          <w:cantSplit/>
        </w:trPr>
        <w:tc>
          <w:tcPr>
            <w:tcW w:type="dxa" w:w="1080"/>
            <w:vAlign w:val="center"/>
            <w:tcMar>
              <w:top w:w="75" w:type="dxa"/>
              <w:start w:w="105" w:type="dxa"/>
              <w:bottom w:w="75" w:type="dxa"/>
              <w:end w:w="105" w:type="dxa"/>
            </w:tcMar>
          </w:tcPr>
          <w:p>
            <w:pPr>
              <w:spacing w:after="0" w:line="240" w:lineRule="auto"/>
            </w:pPr>
            <w:r>
              <w:rPr>
                <w:rFonts w:ascii="Arial" w:hAnsi="Arial"/>
                <w:b w:val="0"/>
                <w:i w:val="0"/>
                <w:color w:val="1E293B"/>
                <w:sz w:val="16"/>
              </w:rPr>
              <w:t>High</w:t>
            </w:r>
          </w:p>
        </w:tc>
        <w:tc>
          <w:tcPr>
            <w:tcW w:type="dxa" w:w="2232"/>
            <w:vAlign w:val="center"/>
            <w:tcMar>
              <w:top w:w="75" w:type="dxa"/>
              <w:start w:w="105" w:type="dxa"/>
              <w:bottom w:w="75" w:type="dxa"/>
              <w:end w:w="105" w:type="dxa"/>
            </w:tcMar>
          </w:tcPr>
          <w:p>
            <w:pPr>
              <w:spacing w:after="0" w:line="240" w:lineRule="auto"/>
            </w:pPr>
            <w:r>
              <w:rPr>
                <w:rFonts w:ascii="Arial" w:hAnsi="Arial"/>
                <w:b w:val="0"/>
                <w:i w:val="0"/>
                <w:color w:val="1E293B"/>
                <w:sz w:val="16"/>
              </w:rPr>
              <w:t>Blog desktop TBT 1,750ms and shared task 1.51s</w:t>
            </w:r>
          </w:p>
        </w:tc>
        <w:tc>
          <w:tcPr>
            <w:tcW w:type="dxa" w:w="1224"/>
            <w:vAlign w:val="center"/>
            <w:tcMar>
              <w:top w:w="75" w:type="dxa"/>
              <w:start w:w="105" w:type="dxa"/>
              <w:bottom w:w="75" w:type="dxa"/>
              <w:end w:w="105" w:type="dxa"/>
            </w:tcMar>
          </w:tcPr>
          <w:p>
            <w:pPr>
              <w:spacing w:after="0" w:line="240" w:lineRule="auto"/>
            </w:pPr>
            <w:r>
              <w:rPr>
                <w:rFonts w:ascii="Arial" w:hAnsi="Arial"/>
                <w:b w:val="0"/>
                <w:i w:val="0"/>
                <w:color w:val="1E293B"/>
                <w:sz w:val="16"/>
              </w:rPr>
              <w:t>Speed</w:t>
            </w:r>
          </w:p>
        </w:tc>
        <w:tc>
          <w:tcPr>
            <w:tcW w:type="dxa" w:w="4824"/>
            <w:vAlign w:val="center"/>
            <w:tcMar>
              <w:top w:w="75" w:type="dxa"/>
              <w:start w:w="105" w:type="dxa"/>
              <w:bottom w:w="75" w:type="dxa"/>
              <w:end w:w="105" w:type="dxa"/>
            </w:tcMar>
          </w:tcPr>
          <w:p>
            <w:pPr>
              <w:spacing w:after="0" w:line="240" w:lineRule="auto"/>
            </w:pPr>
            <w:r>
              <w:rPr>
                <w:rFonts w:ascii="Arial" w:hAnsi="Arial"/>
                <w:b w:val="0"/>
                <w:i w:val="0"/>
                <w:color w:val="1E293B"/>
                <w:sz w:val="16"/>
              </w:rPr>
              <w:t>Profile client chunks and long tasks in the production build; defer non-critical hydration and interaction code without delaying visible content.</w:t>
            </w:r>
          </w:p>
        </w:tc>
      </w:tr>
      <w:tr>
        <w:trPr>
          <w:cantSplit/>
        </w:trPr>
        <w:tc>
          <w:tcPr>
            <w:tcW w:type="dxa" w:w="1080"/>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High</w:t>
            </w:r>
          </w:p>
        </w:tc>
        <w:tc>
          <w:tcPr>
            <w:tcW w:type="dxa" w:w="2232"/>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Inline CSS trades a blocking request for larger HTML</w:t>
            </w:r>
          </w:p>
        </w:tc>
        <w:tc>
          <w:tcPr>
            <w:tcW w:type="dxa" w:w="122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Speed</w:t>
            </w:r>
          </w:p>
        </w:tc>
        <w:tc>
          <w:tcPr>
            <w:tcW w:type="dxa" w:w="482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Measure cold mobile and desktop after deployment. Keep inlineCss only if repeated LCP/paint improvements outweigh added HTML transfer and TTFB.</w:t>
            </w:r>
          </w:p>
        </w:tc>
      </w:tr>
      <w:tr>
        <w:trPr>
          <w:cantSplit/>
        </w:trPr>
        <w:tc>
          <w:tcPr>
            <w:tcW w:type="dxa" w:w="1080"/>
            <w:vAlign w:val="center"/>
            <w:tcMar>
              <w:top w:w="75" w:type="dxa"/>
              <w:start w:w="105" w:type="dxa"/>
              <w:bottom w:w="75" w:type="dxa"/>
              <w:end w:w="105" w:type="dxa"/>
            </w:tcMar>
          </w:tcPr>
          <w:p>
            <w:pPr>
              <w:spacing w:after="0" w:line="240" w:lineRule="auto"/>
            </w:pPr>
            <w:r>
              <w:rPr>
                <w:rFonts w:ascii="Arial" w:hAnsi="Arial"/>
                <w:b w:val="0"/>
                <w:i w:val="0"/>
                <w:color w:val="1E293B"/>
                <w:sz w:val="16"/>
              </w:rPr>
              <w:t>Medium</w:t>
            </w:r>
          </w:p>
        </w:tc>
        <w:tc>
          <w:tcPr>
            <w:tcW w:type="dxa" w:w="2232"/>
            <w:vAlign w:val="center"/>
            <w:tcMar>
              <w:top w:w="75" w:type="dxa"/>
              <w:start w:w="105" w:type="dxa"/>
              <w:bottom w:w="75" w:type="dxa"/>
              <w:end w:w="105" w:type="dxa"/>
            </w:tcMar>
          </w:tcPr>
          <w:p>
            <w:pPr>
              <w:spacing w:after="0" w:line="240" w:lineRule="auto"/>
            </w:pPr>
            <w:r>
              <w:rPr>
                <w:rFonts w:ascii="Arial" w:hAnsi="Arial"/>
                <w:b w:val="0"/>
                <w:i w:val="0"/>
                <w:color w:val="1E293B"/>
                <w:sz w:val="16"/>
              </w:rPr>
              <w:t>Metadata outliers on 7 titles and 33 descriptions</w:t>
            </w:r>
          </w:p>
        </w:tc>
        <w:tc>
          <w:tcPr>
            <w:tcW w:type="dxa" w:w="1224"/>
            <w:vAlign w:val="center"/>
            <w:tcMar>
              <w:top w:w="75" w:type="dxa"/>
              <w:start w:w="105" w:type="dxa"/>
              <w:bottom w:w="75" w:type="dxa"/>
              <w:end w:w="105" w:type="dxa"/>
            </w:tcMar>
          </w:tcPr>
          <w:p>
            <w:pPr>
              <w:spacing w:after="0" w:line="240" w:lineRule="auto"/>
            </w:pPr>
            <w:r>
              <w:rPr>
                <w:rFonts w:ascii="Arial" w:hAnsi="Arial"/>
                <w:b w:val="0"/>
                <w:i w:val="0"/>
                <w:color w:val="1E293B"/>
                <w:sz w:val="16"/>
              </w:rPr>
              <w:t>SEO</w:t>
            </w:r>
          </w:p>
        </w:tc>
        <w:tc>
          <w:tcPr>
            <w:tcW w:type="dxa" w:w="4824"/>
            <w:vAlign w:val="center"/>
            <w:tcMar>
              <w:top w:w="75" w:type="dxa"/>
              <w:start w:w="105" w:type="dxa"/>
              <w:bottom w:w="75" w:type="dxa"/>
              <w:end w:w="105" w:type="dxa"/>
            </w:tcMar>
          </w:tcPr>
          <w:p>
            <w:pPr>
              <w:spacing w:after="0" w:line="240" w:lineRule="auto"/>
            </w:pPr>
            <w:r>
              <w:rPr>
                <w:rFonts w:ascii="Arial" w:hAnsi="Arial"/>
                <w:b w:val="0"/>
                <w:i w:val="0"/>
                <w:color w:val="1E293B"/>
                <w:sz w:val="16"/>
              </w:rPr>
              <w:t>Review the listed URLs against query intent and Search Console snippets; edit selectively, not to hit a character count.</w:t>
            </w:r>
          </w:p>
        </w:tc>
      </w:tr>
      <w:tr>
        <w:trPr>
          <w:cantSplit/>
        </w:trPr>
        <w:tc>
          <w:tcPr>
            <w:tcW w:type="dxa" w:w="1080"/>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Medium</w:t>
            </w:r>
          </w:p>
        </w:tc>
        <w:tc>
          <w:tcPr>
            <w:tcW w:type="dxa" w:w="2232"/>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No CrUX field data available in sampled PSI reports</w:t>
            </w:r>
          </w:p>
        </w:tc>
        <w:tc>
          <w:tcPr>
            <w:tcW w:type="dxa" w:w="122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Measurement</w:t>
            </w:r>
          </w:p>
        </w:tc>
        <w:tc>
          <w:tcPr>
            <w:tcW w:type="dxa" w:w="4824"/>
            <w:vAlign w:val="center"/>
            <w:tcMar>
              <w:top w:w="75" w:type="dxa"/>
              <w:start w:w="105" w:type="dxa"/>
              <w:bottom w:w="75" w:type="dxa"/>
              <w:end w:w="105" w:type="dxa"/>
            </w:tcMar>
            <w:shd w:fill="F8F9FA"/>
          </w:tcPr>
          <w:p>
            <w:pPr>
              <w:spacing w:after="0" w:line="240" w:lineRule="auto"/>
            </w:pPr>
            <w:r>
              <w:rPr>
                <w:rFonts w:ascii="Arial" w:hAnsi="Arial"/>
                <w:b w:val="0"/>
                <w:i w:val="0"/>
                <w:color w:val="1E293B"/>
                <w:sz w:val="16"/>
              </w:rPr>
              <w:t>Use Search Console Core Web Vitals and real-user monitoring after enough traffic accumulates; segment by mobile and shared template.</w:t>
            </w:r>
          </w:p>
        </w:tc>
      </w:tr>
    </w:tbl>
    <w:p>
      <w:pPr>
        <w:pStyle w:val="Heading2"/>
      </w:pPr>
      <w:r>
        <w:t>Implementation sequence</w:t>
      </w:r>
    </w:p>
    <w:p>
      <w:r>
        <w:rPr>
          <w:rFonts w:ascii="Arial" w:hAnsi="Arial"/>
          <w:b/>
          <w:i w:val="0"/>
          <w:color w:val="1E293B"/>
          <w:sz w:val="20"/>
        </w:rPr>
        <w:t xml:space="preserve">1. Build verified. </w:t>
      </w:r>
      <w:r>
        <w:rPr>
          <w:rFonts w:ascii="Arial" w:hAnsi="Arial"/>
          <w:b w:val="0"/>
          <w:i w:val="0"/>
          <w:color w:val="1E293B"/>
          <w:sz w:val="20"/>
        </w:rPr>
        <w:t>The final local production build passed after restoring the original hero q=60 setting.</w:t>
      </w:r>
    </w:p>
    <w:p>
      <w:r>
        <w:rPr>
          <w:rFonts w:ascii="Arial" w:hAnsi="Arial"/>
          <w:b/>
          <w:i w:val="0"/>
          <w:color w:val="1E293B"/>
          <w:sz w:val="20"/>
        </w:rPr>
        <w:t xml:space="preserve">2. Release the local speed changes through the normal deployment process. </w:t>
      </w:r>
      <w:r>
        <w:rPr>
          <w:rFonts w:ascii="Arial" w:hAnsi="Arial"/>
          <w:b w:val="0"/>
          <w:i w:val="0"/>
          <w:color w:val="1E293B"/>
          <w:sz w:val="20"/>
        </w:rPr>
        <w:t>The present PSI readings describe production before this local build.</w:t>
      </w:r>
    </w:p>
    <w:p>
      <w:r>
        <w:rPr>
          <w:rFonts w:ascii="Arial" w:hAnsi="Arial"/>
          <w:b/>
          <w:i w:val="0"/>
          <w:color w:val="1E293B"/>
          <w:sz w:val="20"/>
        </w:rPr>
        <w:t xml:space="preserve">3. Measure the same URLs again. </w:t>
      </w:r>
      <w:r>
        <w:rPr>
          <w:rFonts w:ascii="Arial" w:hAnsi="Arial"/>
          <w:b w:val="0"/>
          <w:i w:val="0"/>
          <w:color w:val="1E293B"/>
          <w:sz w:val="20"/>
        </w:rPr>
        <w:t>Compare mobile and desktop PSI for the home, CRS and blog pages, then add at least one URL for each shared page template. Record LCP element, render delay, transfer size, TBT and CLS.</w:t>
      </w:r>
    </w:p>
    <w:p>
      <w:r>
        <w:rPr>
          <w:rFonts w:ascii="Arial" w:hAnsi="Arial"/>
          <w:b/>
          <w:i w:val="0"/>
          <w:color w:val="1E293B"/>
          <w:sz w:val="20"/>
        </w:rPr>
        <w:t xml:space="preserve">4. Verify real-user experience. </w:t>
      </w:r>
      <w:r>
        <w:rPr>
          <w:rFonts w:ascii="Arial" w:hAnsi="Arial"/>
          <w:b w:val="0"/>
          <w:i w:val="0"/>
          <w:color w:val="1E293B"/>
          <w:sz w:val="20"/>
        </w:rPr>
        <w:t>Use Search Console/CrUX when field data is available; check URL groups and mobile-specific problems rather than relying on the performance score alone.</w:t>
      </w:r>
    </w:p>
    <w:p>
      <w:r>
        <w:rPr>
          <w:rFonts w:ascii="Arial" w:hAnsi="Arial"/>
          <w:b/>
          <w:i w:val="0"/>
          <w:color w:val="1E293B"/>
          <w:sz w:val="20"/>
        </w:rPr>
        <w:t xml:space="preserve">5. Correct content relevance separately. </w:t>
      </w:r>
      <w:r>
        <w:rPr>
          <w:rFonts w:ascii="Arial" w:hAnsi="Arial"/>
          <w:b w:val="0"/>
          <w:i w:val="0"/>
          <w:color w:val="1E293B"/>
          <w:sz w:val="20"/>
        </w:rPr>
        <w:t>Have an editor validate the GTS page against current official sources; this will change visible text, so it is outside the no-visual-change speed patch.</w:t>
      </w:r>
    </w:p>
    <w:p>
      <w:pPr>
        <w:pStyle w:val="Heading1"/>
      </w:pPr>
      <w:r>
        <w:t>Google guidance and audit sources</w:t>
      </w:r>
    </w:p>
    <w:p>
      <w:r>
        <w:t>Google does not promise a ranking position from a technical score. Core Web Vitals are one aspect of page experience. Google’s good thresholds are LCP within 2.5 seconds, INP within 200 milliseconds and CLS below 0.1, assessed at the 75th percentile for field data. Lab TBT helps diagnose blocking work but does not replace field INP.</w:t>
      </w:r>
    </w:p>
    <w:p>
      <w:pPr>
        <w:spacing w:after="60"/>
      </w:pPr>
      <w:r>
        <w:rPr>
          <w:rFonts w:ascii="Arial" w:hAnsi="Arial"/>
          <w:b/>
          <w:i w:val="0"/>
          <w:color w:val="1E293B"/>
          <w:sz w:val="18"/>
        </w:rPr>
        <w:t xml:space="preserve">Core Web Vitals thresholds: </w:t>
      </w:r>
      <w:hyperlink r:id="rId9">
        <w:r>
          <w:rPr>
            <w:rFonts w:ascii="Arial" w:hAnsi="Arial"/>
            <w:color w:val="2563EB"/>
            <w:sz w:val="17.6"/>
            <w:u w:val="single"/>
          </w:rPr>
          <w:t>https://web.dev/articles/vitals</w:t>
        </w:r>
      </w:hyperlink>
    </w:p>
    <w:p>
      <w:pPr>
        <w:spacing w:after="60"/>
      </w:pPr>
      <w:r>
        <w:rPr>
          <w:rFonts w:ascii="Arial" w:hAnsi="Arial"/>
          <w:b/>
          <w:i w:val="0"/>
          <w:color w:val="1E293B"/>
          <w:sz w:val="18"/>
        </w:rPr>
        <w:t xml:space="preserve">Google Search Central page experience: </w:t>
      </w:r>
      <w:hyperlink r:id="rId10">
        <w:r>
          <w:rPr>
            <w:rFonts w:ascii="Arial" w:hAnsi="Arial"/>
            <w:color w:val="2563EB"/>
            <w:sz w:val="17.6"/>
            <w:u w:val="single"/>
          </w:rPr>
          <w:t>https://developers.google.com/search/docs/appearance/page-experience</w:t>
        </w:r>
      </w:hyperlink>
    </w:p>
    <w:p>
      <w:pPr>
        <w:spacing w:after="60"/>
      </w:pPr>
      <w:r>
        <w:rPr>
          <w:rFonts w:ascii="Arial" w:hAnsi="Arial"/>
          <w:b/>
          <w:i w:val="0"/>
          <w:color w:val="1E293B"/>
          <w:sz w:val="18"/>
        </w:rPr>
        <w:t xml:space="preserve">Google Search technical requirements: </w:t>
      </w:r>
      <w:hyperlink r:id="rId11">
        <w:r>
          <w:rPr>
            <w:rFonts w:ascii="Arial" w:hAnsi="Arial"/>
            <w:color w:val="2563EB"/>
            <w:sz w:val="17.6"/>
            <w:u w:val="single"/>
          </w:rPr>
          <w:t>https://developers.google.com/search/docs/essentials/technical</w:t>
        </w:r>
      </w:hyperlink>
    </w:p>
    <w:p>
      <w:pPr>
        <w:spacing w:after="60"/>
      </w:pPr>
      <w:r>
        <w:rPr>
          <w:rFonts w:ascii="Arial" w:hAnsi="Arial"/>
          <w:b/>
          <w:i w:val="0"/>
          <w:color w:val="1E293B"/>
          <w:sz w:val="18"/>
        </w:rPr>
        <w:t xml:space="preserve">Google FAQ rich-result guidance: </w:t>
      </w:r>
      <w:hyperlink r:id="rId12">
        <w:r>
          <w:rPr>
            <w:rFonts w:ascii="Arial" w:hAnsi="Arial"/>
            <w:color w:val="2563EB"/>
            <w:sz w:val="17.6"/>
            <w:u w:val="single"/>
          </w:rPr>
          <w:t>https://developers.google.com/search/blog/2023/08/howto-faq-changes</w:t>
        </w:r>
      </w:hyperlink>
    </w:p>
    <w:p>
      <w:pPr>
        <w:spacing w:after="60"/>
      </w:pPr>
      <w:r>
        <w:rPr>
          <w:rFonts w:ascii="Arial" w:hAnsi="Arial"/>
          <w:b/>
          <w:i w:val="0"/>
          <w:color w:val="1E293B"/>
          <w:sz w:val="18"/>
        </w:rPr>
        <w:t xml:space="preserve">Google spam policies for scaled content: </w:t>
      </w:r>
      <w:hyperlink r:id="rId13">
        <w:r>
          <w:rPr>
            <w:rFonts w:ascii="Arial" w:hAnsi="Arial"/>
            <w:color w:val="2563EB"/>
            <w:sz w:val="17.6"/>
            <w:u w:val="single"/>
          </w:rPr>
          <w:t>https://developers.google.com/search/docs/essentials/spam-policies#scaled-content</w:t>
        </w:r>
      </w:hyperlink>
      <w:r>
        <w:rPr>
          <w:rFonts w:ascii="Arial" w:hAnsi="Arial"/>
          <w:b w:val="0"/>
          <w:i w:val="0"/>
          <w:color w:val="475569"/>
          <w:sz w:val="18"/>
        </w:rPr>
        <w:t xml:space="preserve">  The GTS mismatch is a relevance warning; this audit does not conclude that the site violates policy.</w:t>
      </w:r>
    </w:p>
    <w:p>
      <w:pPr>
        <w:spacing w:after="60"/>
      </w:pPr>
      <w:r>
        <w:rPr>
          <w:rFonts w:ascii="Arial" w:hAnsi="Arial"/>
          <w:b/>
          <w:i w:val="0"/>
          <w:color w:val="1E293B"/>
          <w:sz w:val="18"/>
        </w:rPr>
        <w:t xml:space="preserve">Homepage PageSpeed Insights, mobile: </w:t>
      </w:r>
      <w:hyperlink r:id="rId14">
        <w:r>
          <w:rPr>
            <w:rFonts w:ascii="Arial" w:hAnsi="Arial"/>
            <w:color w:val="2563EB"/>
            <w:sz w:val="17.6"/>
            <w:u w:val="single"/>
          </w:rPr>
          <w:t>https://pagespeed.web.dev/analysis/https-commonwealthmigration-ca/to1nyvk2mp?form_factor=mobile</w:t>
        </w:r>
      </w:hyperlink>
    </w:p>
    <w:p>
      <w:pPr>
        <w:spacing w:after="60"/>
      </w:pPr>
      <w:r>
        <w:rPr>
          <w:rFonts w:ascii="Arial" w:hAnsi="Arial"/>
          <w:b/>
          <w:i w:val="0"/>
          <w:color w:val="1E293B"/>
          <w:sz w:val="18"/>
        </w:rPr>
        <w:t xml:space="preserve">Homepage PageSpeed Insights, desktop: </w:t>
      </w:r>
      <w:hyperlink r:id="rId15">
        <w:r>
          <w:rPr>
            <w:rFonts w:ascii="Arial" w:hAnsi="Arial"/>
            <w:color w:val="2563EB"/>
            <w:sz w:val="17.6"/>
            <w:u w:val="single"/>
          </w:rPr>
          <w:t>https://pagespeed.web.dev/analysis/https-commonwealthmigration-ca/to1nyvk2mp?form_factor=desktop</w:t>
        </w:r>
      </w:hyperlink>
    </w:p>
    <w:p>
      <w:pPr>
        <w:spacing w:after="60"/>
      </w:pPr>
      <w:r>
        <w:rPr>
          <w:rFonts w:ascii="Arial" w:hAnsi="Arial"/>
          <w:b/>
          <w:i w:val="0"/>
          <w:color w:val="1E293B"/>
          <w:sz w:val="18"/>
        </w:rPr>
        <w:t xml:space="preserve">CRS calculator PageSpeed Insights reports: </w:t>
      </w:r>
      <w:hyperlink r:id="rId16">
        <w:r>
          <w:rPr>
            <w:rFonts w:ascii="Arial" w:hAnsi="Arial"/>
            <w:color w:val="2563EB"/>
            <w:sz w:val="17.6"/>
            <w:u w:val="single"/>
          </w:rPr>
          <w:t>https://pagespeed.web.dev/analysis/https-commonwealthmigration-ca/r5kbu3k383</w:t>
        </w:r>
      </w:hyperlink>
      <w:r>
        <w:rPr>
          <w:rFonts w:ascii="Arial" w:hAnsi="Arial"/>
          <w:b w:val="0"/>
          <w:i w:val="0"/>
          <w:color w:val="475569"/>
          <w:sz w:val="18"/>
        </w:rPr>
        <w:t xml:space="preserve">  Mobile and desktop lab results.</w:t>
      </w:r>
    </w:p>
    <w:p>
      <w:pPr>
        <w:spacing w:after="60"/>
      </w:pPr>
      <w:r>
        <w:rPr>
          <w:rFonts w:ascii="Arial" w:hAnsi="Arial"/>
          <w:b/>
          <w:i w:val="0"/>
          <w:color w:val="1E293B"/>
          <w:sz w:val="18"/>
        </w:rPr>
        <w:t xml:space="preserve">Blog PageSpeed Insights reports: </w:t>
      </w:r>
      <w:hyperlink r:id="rId17">
        <w:r>
          <w:rPr>
            <w:rFonts w:ascii="Arial" w:hAnsi="Arial"/>
            <w:color w:val="2563EB"/>
            <w:sz w:val="17.6"/>
            <w:u w:val="single"/>
          </w:rPr>
          <w:t>https://pagespeed.web.dev/analysis/https-commonwealthmigration-ca/8ho9wls0wv</w:t>
        </w:r>
      </w:hyperlink>
      <w:r>
        <w:rPr>
          <w:rFonts w:ascii="Arial" w:hAnsi="Arial"/>
          <w:b w:val="0"/>
          <w:i w:val="0"/>
          <w:color w:val="475569"/>
          <w:sz w:val="18"/>
        </w:rPr>
        <w:t xml:space="preserve">  Mobile and desktop lab results.</w:t>
      </w:r>
    </w:p>
    <w:p>
      <w:pPr>
        <w:spacing w:after="60"/>
      </w:pPr>
      <w:r>
        <w:rPr>
          <w:rFonts w:ascii="Arial" w:hAnsi="Arial"/>
          <w:b/>
          <w:i w:val="0"/>
          <w:color w:val="1E293B"/>
          <w:sz w:val="18"/>
        </w:rPr>
        <w:t xml:space="preserve">Production robots.txt: </w:t>
      </w:r>
      <w:hyperlink r:id="rId18">
        <w:r>
          <w:rPr>
            <w:rFonts w:ascii="Arial" w:hAnsi="Arial"/>
            <w:color w:val="2563EB"/>
            <w:sz w:val="17.6"/>
            <w:u w:val="single"/>
          </w:rPr>
          <w:t>https://commonwealthmigration.ca/robots.txt</w:t>
        </w:r>
      </w:hyperlink>
    </w:p>
    <w:p>
      <w:pPr>
        <w:spacing w:after="60"/>
      </w:pPr>
      <w:r>
        <w:rPr>
          <w:rFonts w:ascii="Arial" w:hAnsi="Arial"/>
          <w:b/>
          <w:i w:val="0"/>
          <w:color w:val="1E293B"/>
          <w:sz w:val="18"/>
        </w:rPr>
        <w:t xml:space="preserve">Production XML sitemap: </w:t>
      </w:r>
      <w:hyperlink r:id="rId19">
        <w:r>
          <w:rPr>
            <w:rFonts w:ascii="Arial" w:hAnsi="Arial"/>
            <w:color w:val="2563EB"/>
            <w:sz w:val="17.6"/>
            <w:u w:val="single"/>
          </w:rPr>
          <w:t>https://commonwealthmigration.ca/sitemap.xml</w:t>
        </w:r>
      </w:hyperlink>
    </w:p>
    <w:p>
      <w:pPr>
        <w:pStyle w:val="Heading1"/>
      </w:pPr>
      <w:r>
        <w:t>Pages Audited</w:t>
      </w:r>
    </w:p>
    <w:p>
      <w:r>
        <w:t>All 155 URLs listed below were fetched and checked for reachability, canonical, H1 count, title/description uniqueness, and image alt attributes. One route required a retry and loaded successfully. Route families are included to make the full-site crawl scope explicit.</w:t>
      </w:r>
    </w:p>
    <w:p>
      <w:r>
        <w:br w:type="page"/>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6840"/>
            <w:vAlign w:val="center"/>
            <w:shd w:fill="1B2A4A"/>
            <w:tcMar>
              <w:top w:w="100" w:type="dxa"/>
              <w:start w:w="105" w:type="dxa"/>
              <w:bottom w:w="100" w:type="dxa"/>
              <w:end w:w="105" w:type="dxa"/>
            </w:tcMar>
          </w:tcPr>
          <w:p>
            <w:pPr>
              <w:spacing w:after="0"/>
              <w:jc w:val="left"/>
            </w:pPr>
            <w:r>
              <w:rPr>
                <w:rFonts w:ascii="Arial" w:hAnsi="Arial"/>
                <w:b/>
                <w:i w:val="0"/>
                <w:color w:val="FFFFFF"/>
                <w:sz w:val="15"/>
              </w:rPr>
              <w:t>Sitemap URL path</w:t>
            </w:r>
          </w:p>
        </w:tc>
        <w:tc>
          <w:tcPr>
            <w:tcW w:type="dxa" w:w="2520"/>
            <w:vAlign w:val="center"/>
            <w:shd w:fill="1B2A4A"/>
            <w:tcMar>
              <w:top w:w="100" w:type="dxa"/>
              <w:start w:w="105" w:type="dxa"/>
              <w:bottom w:w="100" w:type="dxa"/>
              <w:end w:w="105" w:type="dxa"/>
            </w:tcMar>
          </w:tcPr>
          <w:p>
            <w:pPr>
              <w:spacing w:after="0"/>
              <w:jc w:val="left"/>
            </w:pPr>
            <w:r>
              <w:rPr>
                <w:rFonts w:ascii="Arial" w:hAnsi="Arial"/>
                <w:b/>
                <w:i w:val="0"/>
                <w:color w:val="FFFFFF"/>
                <w:sz w:val="15"/>
              </w:rPr>
              <w:t>Page type</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Home</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/about/immigration-office-brampton-ontario</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About and location</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/assessment/free-canada-immigration-assessment</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Assessment</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/canada-immigration-from-uk</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Location guide</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/about/about-commonwealth-migration</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About and location</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/about/canada-immigration-consulting-process</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About and location</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/canada-immigration-news</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News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/contact/book-immigration-consultation-canada</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Contact</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/immigration-draws</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Draw data</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/pnp-draws</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Draw data</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/tools/canada-immigration-calculators</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Tools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/tools/crs-calculator-canada</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Tools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/blog/alberta-advantage-immigration-program-2026</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/blog/atlantic-immigration-program-employer-checklist</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/blog/atlantic-immigration-program-guide</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/blog/bc-pnp-2026-streams-priorities</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/blog/canada-citizenship-requirements</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/blog/canada-immigration-levels-plan-2026</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/blog/canada-immigration-news-monthly-ircc-update</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/blog/canada-immigration-processing-times</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/blog/canada-immigration-scams-authorized-representative</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/blog/canada-pr-pathways-2026</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/blog/canada-study-permit-2026</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/blog/canada-super-visa-2026</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/blog/canada-visitor-visa-documents-refusal</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/blog/canada-work-permit-types-2026</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/blog/canadian-experience-class-2026-requirements</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/blog/change-dli-study-permit-canada</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/blog/crs-score-canada-how-to-improve</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/blog/express-entry-canada-2026-categories</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/blog/express-entry-french-language-category-2026</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/blog/express-entry-profile-expiry-what-to-do</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/blog/express-entry-proof-of-funds-2026</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/blog/francophone-community-immigration-pilot-canada</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/blog/lmia-canada-explained</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/blog/lmia-wage-thresholds-2026</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/blog/maintained-status-work-permit-extension-canada</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/blog/manitoba-pnp-2026-skilled-worker-guide</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/blog/ontario-pnp-2026-oinp-updates</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/blog/parents-grandparents-program-canada</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/blog/pgwp-canada-2026</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/blog/pgwp-field-of-study-2026</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/blog/pr-card-renewal-canada</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/blog/provincial-nominee-program-canada-2026</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/blog/restore-status-canada-worker-student</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/blog/rural-community-immigration-pilot-canada</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/blog/rural-lmia-temporary-measures-2026</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/blog/spousal-sponsorship-canada-2026</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/blog/spouse-open-work-permit-2026</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/blog/study-permit-pal-tal-exemption-2026</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/blog/visitor-record-vs-trv-canada</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/blog/what-delays-canada-immigration-application</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Blog</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/citizenship/adult-grant-of-citizenship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/citizenship/citizenship-certificate</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Citizenship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/citizenship/citizenship-renunciation</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/citizenship/citizenship-resumption</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Citizenship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/citizenship/citizenship-revocation-appeal</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/citizenship/citizenship-through-adoption</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Citizenship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/citizenship/minor-grant-of-citizenship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/citizenship/pr-card-renewal-and-citizenship-combined-overview</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Citizenship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/citizenship/pr-card-renewal-standalone-page</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/citizenship/pr-card-replacement</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Citizenship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/citizenship/pr-through-adoption</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/citizenship/pr-travel-document-prtd</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Citizenship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/citizenship/proof-of-adoption-record</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Citizenship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/immigrate/agri-food-immigration-pilot</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/immigrate/alberta-pnp-aaip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/immigrate/atlantic-immigration-program</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/immigrate/british-columbia-pnp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/immigrate/business-immigration-and-start-up-visa</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/immigrate/canadian-experience-class</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/immigrate/express-entry</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/immigrate/federal-skilled-trades</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/immigrate/federal-skilled-worker</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/immigrate/home-child-care-provider-pilot</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/immigrate/home-support-worker-pilot</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/immigrate/humanitarian-and-compassionate</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/immigrate/in-canada-refugee-claim</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/immigrate/manitoba-pnp-mpnp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/immigrate/municipal-nominee-program</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/immigrate/new-brunswick-pnp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/immigrate/newfoundland-and-labrador-pnp</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/immigrate/nova-scotia-pnp-nsnp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/immigrate/one-year-window-reunification</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/immigrate/ontario-pnp-oinp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/immigrate/pnp-linked-express-entry</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/immigrate/pre-removal-risk-assessment-prra</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/immigrate/prince-edward-island-pnp</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/immigrate/protected-persons-apply-for-pr</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/immigrate/provincial-nominee-program-all-provinces-consolidated</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/immigrate/refugee-travel-document</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/immigrate/rural-and-northern-immigration-pilot</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/immigrate/saskatchewan-pnp-sinp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/immigrate/temporary-resident-to-pr-pathway</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/immigrate/yukon-nwt-nunavut-nominee-programs</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Immigration programs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/inadmissibility-and-appeals/admissibility-hearing</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/inadmissibility-and-appeals/arc-authorization-to-return-to-canada</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/inadmissibility-and-appeals/criminal-inadmissibility-overview</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/inadmissibility-and-appeals/criminal-rehabilitation</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/inadmissibility-and-appeals/deemed-rehabilitation</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/inadmissibility-and-appeals/deferral-request</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/inadmissibility-and-appeals/detention-review</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/inadmissibility-and-appeals/financial-inadmissibility</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/inadmissibility-and-appeals/judicial-review-federal-court</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/inadmissibility-and-appeals/mandamus-application</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/inadmissibility-and-appeals/medical-inadmissibility</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/inadmissibility-and-appeals/misrepresentation</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/inadmissibility-and-appeals/record-suspension-pardon</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/inadmissibility-and-appeals/refusal-and-pfl-response</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/inadmissibility-and-appeals/removal-order</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/inadmissibility-and-appeals/removal-order-appeal</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/inadmissibility-and-appeals/residency-obligation-appeal</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/inadmissibility-and-appeals/sponsorship-appeal-iad</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/inadmissibility-and-appeals/stay-motion</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/inadmissibility-and-appeals/stay-of-removal</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/inadmissibility-and-appeals/temporary-resident-permit-trp</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Appeals and inadmissibility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/sponsor/adopted-child-sponsorship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/sponsor/conjugal-partner-sponsorship</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/sponsor/dependent-child-sponsorship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/sponsor/family-sponsorship-overview-all-categories</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/sponsor/inland-sponsorship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/sponsor/minimum-necessary-income</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/sponsor/orphaned-relatives</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/sponsor/outland-sponsorship</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/sponsor/parents-and-grandparents-program-pgp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/sponsor/pgp-invitation-to-apply-canada</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/sponsor/sponsorship-appeal</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/sponsor/sponsorship-eligibility</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/sponsor/sponsorship-processing-times</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/sponsor/spousal-and-partner-sponsorship-overview</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/sponsor/spousal-common-law-sponsorship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/sponsor/spousal-open-work-permit</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/sponsor/super-visa-for-parents</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Sponsorship</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/tools/document-checklist-canada</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Tools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/tools/noc-finder-canada</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Tools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/tools/pnp-eligibility-canada</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Tools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/visit/business-visa</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Visitor routes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/visit/eta-electronic-travel-authorization</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Visitor routes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/visit/super-visa-standalone-page</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Visitor routes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/visit/transit-visa</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Visitor routes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/visit/visitor-record</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Visitor routes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/visit/visitor-visa-trv-and-super-visa-combined</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Visitor routes</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/visit/visitor-visa-trv-standalone-page</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Visitor routes</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/work-and-study/canada-study-permit</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Work and study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/work-and-study/canada-work-permit-overview</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Work and study</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/work-and-study/global-talent-stream</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Work and study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/work-and-study/international-experience-canada-iec</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Work and study</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/work-and-study/lmia-and-employer-services-overview</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Work and study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/work-and-study/post-graduation-work-permit-pgwp</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Work and study</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/work-and-study/tfwp-employer-compliance</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Work and study</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/legal/canada-immigration-disclaimer</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Legal</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/legal/privacy-policy</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Legal</w:t>
            </w:r>
          </w:p>
        </w:tc>
      </w:tr>
      <w:tr>
        <w:trPr>
          <w:cantSplit/>
        </w:trPr>
        <w:tc>
          <w:tcPr>
            <w:tcW w:type="dxa" w:w="684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/legal/refund-policy</w:t>
            </w:r>
          </w:p>
        </w:tc>
        <w:tc>
          <w:tcPr>
            <w:tcW w:type="dxa" w:w="2520"/>
            <w:vAlign w:val="center"/>
            <w:tcMar>
              <w:top w:w="40" w:type="dxa"/>
              <w:start w:w="80" w:type="dxa"/>
              <w:bottom w:w="40" w:type="dxa"/>
              <w:end w:w="80" w:type="dxa"/>
            </w:tcMar>
            <w:shd w:fill="F8F9FA"/>
          </w:tcPr>
          <w:p>
            <w:pPr>
              <w:spacing w:after="0" w:line="228" w:lineRule="auto"/>
            </w:pPr>
            <w:r>
              <w:rPr>
                <w:rFonts w:ascii="Arial" w:hAnsi="Arial"/>
                <w:b w:val="0"/>
                <w:i w:val="0"/>
                <w:color w:val="1E293B"/>
                <w:sz w:val="15"/>
              </w:rPr>
              <w:t>Legal</w:t>
            </w:r>
          </w:p>
        </w:tc>
      </w:tr>
      <w:tr>
        <w:trPr>
          <w:cantSplit/>
        </w:trPr>
        <w:tc>
          <w:tcPr>
            <w:tcW w:type="dxa" w:w="6840"/>
            <w:vAlign w:val="center"/>
            <w:tcMar>
              <w:top w:w="40" w:type="dxa"/>
              <w:start w:w="80" w:type="dxa"/>
              <w:bottom w:w="40" w:type="dxa"/>
              <w:end w:w="80" w:type="dxa"/>
            </w:tcMar>
          </w:tcPr>
          <w:p>
            <w:pPr>
              <w:spacing w:after="0" w:line="228" w:lineRule="auto"/>
            </w:pPr>
            <w:r>
              <w:rPr>
                <w:rFonts w:ascii="Arial" w:hAnsi="Arial"/>
                <w:b w:val="0"/>
                <w:i w:val="0"/>
                <w:color w:val="1E293B"/>
                <w:sz w:val="15"/>
              </w:rPr>
              <w:t>/legal/terms-of-service</w:t>
            </w:r>
          </w:p>
        </w:tc>
        <w:tc>
          <w:tcPr>
            <w:tcW w:type="dxa" w:w="2520"/>
            <w:vAlign w:val="center"/>
            <w:tcMar>
              <w:top w:w="40" w:type="dxa"/>
              <w:start w:w="80" w:type="dxa"/>
              <w:bottom w:w="40" w:type="dxa"/>
              <w:end w:w="80" w:type="dxa"/>
            </w:tcMar>
          </w:tcPr>
          <w:p>
            <w:pPr>
              <w:spacing w:after="0" w:line="228" w:lineRule="auto"/>
            </w:pPr>
            <w:r>
              <w:rPr>
                <w:rFonts w:ascii="Arial" w:hAnsi="Arial"/>
                <w:b w:val="0"/>
                <w:i w:val="0"/>
                <w:color w:val="1E293B"/>
                <w:sz w:val="15"/>
              </w:rPr>
              <w:t>Legal</w:t>
            </w:r>
          </w:p>
        </w:tc>
      </w:tr>
    </w:tbl>
    <w:sectPr w:rsidR="00FC693F" w:rsidRPr="0006063C" w:rsidSect="00034616">
      <w:footerReference w:type="default" r:id="rId2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b w:val="0"/>
        <w:i w:val="0"/>
        <w:color w:val="475569"/>
        <w:sz w:val="16"/>
      </w:rPr>
      <w:t>Commonwealth Migration  |  Website speed and SERP readiness audit  |  20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eb.dev/articles/vitals" TargetMode="External"/><Relationship Id="rId10" Type="http://schemas.openxmlformats.org/officeDocument/2006/relationships/hyperlink" Target="https://developers.google.com/search/docs/appearance/page-experience" TargetMode="External"/><Relationship Id="rId11" Type="http://schemas.openxmlformats.org/officeDocument/2006/relationships/hyperlink" Target="https://developers.google.com/search/docs/essentials/technical" TargetMode="External"/><Relationship Id="rId12" Type="http://schemas.openxmlformats.org/officeDocument/2006/relationships/hyperlink" Target="https://developers.google.com/search/blog/2023/08/howto-faq-changes" TargetMode="External"/><Relationship Id="rId13" Type="http://schemas.openxmlformats.org/officeDocument/2006/relationships/hyperlink" Target="https://developers.google.com/search/docs/essentials/spam-policies#scaled-content" TargetMode="External"/><Relationship Id="rId14" Type="http://schemas.openxmlformats.org/officeDocument/2006/relationships/hyperlink" Target="https://pagespeed.web.dev/analysis/https-commonwealthmigration-ca/to1nyvk2mp?form_factor=mobile" TargetMode="External"/><Relationship Id="rId15" Type="http://schemas.openxmlformats.org/officeDocument/2006/relationships/hyperlink" Target="https://pagespeed.web.dev/analysis/https-commonwealthmigration-ca/to1nyvk2mp?form_factor=desktop" TargetMode="External"/><Relationship Id="rId16" Type="http://schemas.openxmlformats.org/officeDocument/2006/relationships/hyperlink" Target="https://pagespeed.web.dev/analysis/https-commonwealthmigration-ca/r5kbu3k383" TargetMode="External"/><Relationship Id="rId17" Type="http://schemas.openxmlformats.org/officeDocument/2006/relationships/hyperlink" Target="https://pagespeed.web.dev/analysis/https-commonwealthmigration-ca/8ho9wls0wv" TargetMode="External"/><Relationship Id="rId18" Type="http://schemas.openxmlformats.org/officeDocument/2006/relationships/hyperlink" Target="https://commonwealthmigration.ca/robots.txt" TargetMode="External"/><Relationship Id="rId19" Type="http://schemas.openxmlformats.org/officeDocument/2006/relationships/hyperlink" Target="https://commonwealthmigration.ca/sitemap.xml"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Speed and SERP Readiness Audit</dc:title>
  <dc:subject>Full site crawl, Core Web Vitals, and SERP readiness review</dc:subject>
  <dc:creator>Commonwealth Migration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