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Information Handoff Gap in International Relocation</w:t>
      </w:r>
    </w:p>
    <w:p>
      <w:pPr>
        <w:spacing w:after="280"/>
      </w:pPr>
      <w:r>
        <w:rPr>
          <w:i/>
        </w:rPr>
        <w:t>Why source verification and clear boundaries matter before people act on migration information</w:t>
      </w:r>
    </w:p>
    <w:p>
      <w:r>
        <w:t>People planning an international move rarely experience policy as a single document. They encounter a chain of explanations: a government page, a search result, a community post, an employer’s advice, and sometimes a professional consultation. Each handoff can add useful context, but each can also introduce ambiguity. That information handoff gap is a policy problem because a small misunderstanding can affect money, timing, employment, and a family’s decision to move.</w:t>
      </w:r>
    </w:p>
    <w:p>
      <w:pPr>
        <w:pStyle w:val="Heading1"/>
      </w:pPr>
      <w:r>
        <w:t>Information is part of the relocation system</w:t>
      </w:r>
    </w:p>
    <w:p>
      <w:r>
        <w:t>Immigration and relocation policies are often evaluated through outcomes such as admission numbers, labour-market participation, or settlement indicators. The communication layer that connects people to those policies receives less attention. Yet a rule that cannot be found, understood, or applied to the right question is difficult to use in practice. This matters internationally: policy information is read in many countries, translated through informal networks, and interpreted by employers, schools, community organizations, and private publishers.</w:t>
      </w:r>
    </w:p>
    <w:p>
      <w:r>
        <w:t>The official source remains essential, but it is not always sufficient on its own. Government pages may be accurate while still assuming that readers know the difference between an eligibility requirement, a program description, and an individual assessment. People comparing destinations from abroad may also find several accurate pages without an obvious explanation of how the pages relate to one another.</w:t>
      </w:r>
    </w:p>
    <w:p>
      <w:pPr>
        <w:pStyle w:val="Heading1"/>
      </w:pPr>
      <w:r>
        <w:t>The risk grows at each handoff</w:t>
      </w:r>
    </w:p>
    <w:p>
      <w:r>
        <w:t>A search result can omit a condition. A social post can repeat an old rule. A summary can turn a possibility into a promise. A well-intentioned employer can confuse a work-permit question with a permanent-residence question. Once an error is repeated, readers may encounter it in several places and mistake repetition for confirmation.</w:t>
      </w:r>
    </w:p>
    <w:p>
      <w:r>
        <w:t>The consequences are not limited to an incorrect form. People may pay for translations, language tests, credential assessments, travel, or housing based on an assumption that later proves wrong. Families may delay a decision or make one too quickly. These are ordinary policy effects experienced through an information system rather than through a statute or regulation alone.</w:t>
      </w:r>
    </w:p>
    <w:p>
      <w:pPr>
        <w:pStyle w:val="Heading1"/>
      </w:pPr>
      <w:r>
        <w:t>Four practices that make relocation information safer</w:t>
      </w:r>
    </w:p>
    <w:p>
      <w:r>
        <w:t>First, every practical explanation should identify its primary source and show when the source was checked. A visible date does not make a page permanently current, but it gives readers a starting point for judging whether further verification is needed.</w:t>
      </w:r>
    </w:p>
    <w:p>
      <w:r>
        <w:t>Second, writers should explain the boundary between general information and professional advice. A checklist can help a reader understand what to research; it cannot determine eligibility, interpret every fact pattern, or predict an official decision. Clear boundaries reduce both overconfidence and unnecessary fear.</w:t>
      </w:r>
    </w:p>
    <w:p>
      <w:r>
        <w:t>Third, publishers should plan for updates instead of treating corrections as exceptional. A page about a time-sensitive policy needs an owner, a review habit, and a way for readers to flag stale information. The source hierarchy should be visible: official requirements first, independent explanation second, and an invitation to seek individualized help where the facts are complex.</w:t>
      </w:r>
    </w:p>
    <w:p>
      <w:r>
        <w:t>Fourth, explanations should be organized around decisions rather than labels alone. Readers need to know which question a source answers, what evidence they need before relying on it, and what the source does not establish. This approach is more useful than collecting isolated program names or promising timelines.</w:t>
      </w:r>
    </w:p>
    <w:p>
      <w:pPr>
        <w:pStyle w:val="Heading1"/>
      </w:pPr>
      <w:r>
        <w:t>A shared responsibility across borders</w:t>
      </w:r>
    </w:p>
    <w:p>
      <w:r>
        <w:t>Settlement organizations, journalists, researchers, and professional publishers each have a different role. Settlement organizations can make official information more accessible without replacing its authority. Journalists can report the effect of a policy while linking to the underlying document. Researchers can show where terminology or administrative design creates unequal access to information. Professional publishers can provide navigation tools if they disclose their interests, avoid guaranteed outcomes, and distinguish education from individualized advice.</w:t>
      </w:r>
    </w:p>
    <w:p>
      <w:r>
        <w:t>This is also a question of trust. A country’s immigration system can be carefully designed and still appear arbitrary when people encounter contradictory explanations. Clear sourcing, visible uncertainty, and prompt corrections make policy more legible. They also make it easier for readers to recognize predatory promises and to ask better questions before spending money or making an irreversible decision.</w:t>
      </w:r>
    </w:p>
    <w:p>
      <w:pPr>
        <w:pStyle w:val="Heading1"/>
      </w:pPr>
      <w:r>
        <w:t>A hypothetical information handoff</w:t>
      </w:r>
    </w:p>
    <w:p>
      <w:pPr/>
      <w:r>
        <w:t>Consider a hypothetical worker planning a move to Canada. The immigration provider explains which official program information and document requirements the person should check, while making clear that only the responsible government authority can decide an application. The worker then asks the prospective employer to confirm the job title, work location, start date, and any employer-side documents. The employer verifies the employment details against its own records and identifies the next step it owns: issuing or correcting the employment documentation. It does not verify immigration eligibility.</w:t>
      </w:r>
    </w:p>
    <w:p>
      <w:pPr/>
      <w:r>
        <w:t>The housing provider receives only the information needed to assess a tenancy application and confirms its own requirements, such as identity, income, references, or a guarantor. The transport provider confirms route availability, baggage rules, and booking conditions from its current terms. The person moving remains responsible for comparing those answers with the official immigration instructions and for deciding whether the combined information is sufficient to act. A relocation coordinator can maintain a dated handoff record showing the question, source, verifier, status, and next owner, but should not silently convert one provider’s confirmation into another provider’s guarantee.</w:t>
      </w:r>
    </w:p>
    <w:p>
      <w:pPr/>
      <w:r>
        <w:t>In this example, verification follows the subject of the claim: immigration questions go to the relevant government source or authorized professional; employment facts go to the employer; housing conditions go to the housing provider; and transport terms go to the carrier. The next step belongs to the party that can actually perform it. That simple allocation helps prevent a reader from treating a chain of partial answers as one complete decision.</w:t>
      </w:r>
    </w:p>
    <w:p>
      <w:pPr>
        <w:pStyle w:val="Heading1"/>
      </w:pPr>
      <w:r>
        <w:t>Credential verification and sensitive documents</w:t>
      </w:r>
    </w:p>
    <w:p>
      <w:pPr/>
      <w:r>
        <w:t>Credential verification should be treated as a separate handoff, not as proof of immigration or employment success. An Educational Credential Assessment is used to verify whether a foreign degree, diploma, or certificate is valid and comparable to a Canadian credential, while regulated work may still require recognition and licensing by the relevant provincial or territorial regulator [1][2]. Readers should confirm which assessment or regulator applies to their occupation before paying for an assessment or presenting a credential as a licence.</w:t>
      </w:r>
    </w:p>
    <w:p>
      <w:pPr/>
      <w:r>
        <w:t>Sensitive documents require an equally explicit boundary. A passport, identity document, bank record, medical record, or credential file should be sent only through a trusted organization or secure channel after the recipient and purpose have been confirmed. Readers should ask what is required, who will access it, how long it will be retained, and how it will be deleted or returned. IRCC advises people to protect personal information in travel documents and not to provide a copy or its details unless they are sure the recipient is trusted [3]. A coordinator may track that a document was requested and verified without keeping unnecessary copies.</w:t>
      </w:r>
    </w:p>
    <w:p>
      <w:pPr>
        <w:pStyle w:val="Heading1"/>
      </w:pPr>
      <w:r>
        <w:t>A practical handoff checklist</w:t>
      </w:r>
    </w:p>
    <w:p>
      <w:pPr>
        <w:pStyle w:val="ListBullet"/>
      </w:pPr>
      <w:r>
        <w:t>□ State the exact question and the decision it supports.</w:t>
      </w:r>
    </w:p>
    <w:p>
      <w:pPr>
        <w:pStyle w:val="ListBullet"/>
      </w:pPr>
      <w:r>
        <w:t>□ Record the primary source, URL or document name, and the date checked.</w:t>
      </w:r>
    </w:p>
    <w:p>
      <w:pPr>
        <w:pStyle w:val="ListBullet"/>
      </w:pPr>
      <w:r>
        <w:t>□ Identify who verified the answer and what that person or organization is qualified to confirm.</w:t>
      </w:r>
    </w:p>
    <w:p>
      <w:pPr>
        <w:pStyle w:val="ListBullet"/>
      </w:pPr>
      <w:r>
        <w:t>□ Separate eligibility, credential recognition, employment facts, housing terms, and transport terms.</w:t>
      </w:r>
    </w:p>
    <w:p>
      <w:pPr>
        <w:pStyle w:val="ListBullet"/>
      </w:pPr>
      <w:r>
        <w:t>□ Confirm which facts could change the answer and when the information must be rechecked.</w:t>
      </w:r>
    </w:p>
    <w:p>
      <w:pPr>
        <w:pStyle w:val="ListBullet"/>
      </w:pPr>
      <w:r>
        <w:t>□ Assign the next step to a named owner; do not assume that one provider owns another provider’s task.</w:t>
      </w:r>
    </w:p>
    <w:p>
      <w:pPr>
        <w:pStyle w:val="ListBullet"/>
      </w:pPr>
      <w:r>
        <w:t>□ Use only the minimum sensitive information needed, and confirm the recipient and secure transfer method.</w:t>
      </w:r>
    </w:p>
    <w:p>
      <w:pPr>
        <w:pStyle w:val="ListBullet"/>
      </w:pPr>
      <w:r>
        <w:t>□ Keep a correction path: where can the reader report stale, contradictory, or misleading information?</w:t>
      </w:r>
    </w:p>
    <w:p>
      <w:pPr>
        <w:pStyle w:val="ListBullet"/>
      </w:pPr>
      <w:r>
        <w:t>□ If the facts are individual or high-stakes, direct the reader to the responsible authority or an appropriately authorized professional.</w:t>
      </w:r>
    </w:p>
    <w:p>
      <w:pPr>
        <w:pStyle w:val="Heading1"/>
      </w:pPr>
      <w:r>
        <w:t>The practical test</w:t>
      </w:r>
    </w:p>
    <w:p>
      <w:r>
        <w:t>Before acting on relocation information, a reader should be able to answer five questions: Who is responsible for the rule? When was the source last checked? What decision does it actually address? Which facts could change the answer? Where can the reader obtain individualized advice if needed? A publication that helps readers ask those questions contributes to better policy outcomes without pretending to replace an official decision-maker.</w:t>
      </w:r>
    </w:p>
    <w:p>
      <w:r>
        <w:t>International relocation will continue to involve difficult debates about mobility, labour, identity, and belonging. Those debates are mediated by the information people can use. Treating that information as part of the policy infrastructure—not as an afterthought—would make relocation systems more transparent, more humane, and easier to evaluate.</w:t>
      </w:r>
    </w:p>
    <w:p>
      <w:pPr>
        <w:pStyle w:val="ListBullet"/>
      </w:pPr>
      <w:r>
        <w:t>[1] Immigration, Refugees and Citizenship Canada, Educational credential assessment — checked 23 September 2026: https://www.canada.ca/en/immigration-refugees-citizenship/services/immigrate-canada/express-entry/documents/education-assessment.html</w:t>
      </w:r>
    </w:p>
    <w:p>
      <w:pPr>
        <w:pStyle w:val="ListBullet"/>
      </w:pPr>
      <w:r>
        <w:t>[2] Government of Canada, Foreign Credential Recognition — checked 23 September 2026: https://www.canada.ca/en/employment-social-development/programs/foreign-credential-recognition.html</w:t>
      </w:r>
    </w:p>
    <w:p>
      <w:pPr>
        <w:pStyle w:val="ListBullet"/>
      </w:pPr>
      <w:r>
        <w:t>[3] Immigration, Refugees and Citizenship Canada, Protect yourself from passport and other travel document fraud — checked 23 September 2026: https://www.canada.ca/en/immigration-refugees-citizenship/services/canadian-passports/protect-fraud.html</w:t>
      </w:r>
    </w:p>
    <w:p>
      <w:pPr>
        <w:pStyle w:val="Heading1"/>
      </w:pPr>
      <w:r>
        <w:t>Sources checked</w:t>
      </w:r>
    </w:p>
    <w:p>
      <w:pPr>
        <w:pStyle w:val="ListBullet"/>
      </w:pPr>
      <w:r>
        <w:t xml:space="preserve">Immigration Refugees and Citizenship Canada, Express Entry — checked 23 September 2026: </w:t>
      </w:r>
      <w:hyperlink r:id="rId9">
        <w:r>
          <w:rPr>
            <w:color w:val="0563C1"/>
            <w:u w:val="single"/>
          </w:rPr>
          <w:t>https://www.canada.ca/en/immigration-refugees-citizenship/services/immigrate-canada/express-entry.html</w:t>
        </w:r>
      </w:hyperlink>
    </w:p>
    <w:p>
      <w:pPr>
        <w:pStyle w:val="ListBullet"/>
      </w:pPr>
      <w:r>
        <w:t xml:space="preserve">Government of Canada, Immigration and citizenship — checked 23 September 2026: </w:t>
      </w:r>
      <w:hyperlink r:id="rId10">
        <w:r>
          <w:rPr>
            <w:color w:val="0563C1"/>
            <w:u w:val="single"/>
          </w:rPr>
          <w:t>https://www.canada.ca/en/services/immigration-citizenship.html</w:t>
        </w:r>
      </w:hyperlink>
    </w:p>
    <w:p>
      <w:pPr>
        <w:pStyle w:val="ListBullet"/>
      </w:pPr>
      <w:r>
        <w:t xml:space="preserve">Settlement.Org, newcomer information and resources — checked 23 September 2026: </w:t>
      </w:r>
      <w:hyperlink r:id="rId11">
        <w:r>
          <w:rPr>
            <w:color w:val="0563C1"/>
            <w:u w:val="single"/>
          </w:rPr>
          <w:t>https://settlement.org/</w:t>
        </w:r>
      </w:hyperlink>
    </w:p>
    <w:p>
      <w:pPr>
        <w:pStyle w:val="ListBullet"/>
      </w:pPr>
      <w:r>
        <w:t>Optional organizational reference — Commonwealth Migration Group, general Express Entry information — checked 23 September 2026: https://commonwealthmigration.ca/immigrate/express-entry</w:t>
      </w:r>
    </w:p>
    <w:p>
      <w:pPr>
        <w:pStyle w:val="Heading1"/>
      </w:pPr>
      <w:r>
        <w:t>Author information</w:t>
      </w:r>
    </w:p>
    <w:p>
      <w:r>
        <w:t>Anooj Dhawan works in content and outreach for Commonwealth Migration Group Inc. His role is editorial and communications-focused; he is not presenting himself as a licensed immigration consultant. The organizational relationship and any optional company link are disclosed separately from the evidence sources above and remain subject to independent verification and editorial review.</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nada.ca/en/immigration-refugees-citizenship/services/immigrate-canada/express-entry.html" TargetMode="External"/><Relationship Id="rId10" Type="http://schemas.openxmlformats.org/officeDocument/2006/relationships/hyperlink" Target="https://www.canada.ca/en/services/immigration-citizenship.html" TargetMode="External"/><Relationship Id="rId11" Type="http://schemas.openxmlformats.org/officeDocument/2006/relationships/hyperlink" Target="https://settlement.org/" TargetMode="External"/><Relationship Id="rId12" Type="http://schemas.openxmlformats.org/officeDocument/2006/relationships/hyperlink" Target="https://commonwealthmigration.ca/immigrate/express-en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