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Information Handoff Gap in International Relocation</w:t>
      </w:r>
    </w:p>
    <w:p>
      <w:pPr>
        <w:spacing w:after="280"/>
      </w:pPr>
      <w:r>
        <w:rPr>
          <w:i/>
        </w:rPr>
        <w:t>Why source verification and clear boundaries matter before people act on migration information</w:t>
      </w:r>
    </w:p>
    <w:p>
      <w:r>
        <w:t>People planning an international move rarely experience policy as a single document. They encounter a chain of explanations: a government page, a search result, a community post, an employer’s advice, and sometimes a professional consultation. Each handoff can add useful context, but each can also introduce ambiguity. That information handoff gap is a policy problem because a small misunderstanding can affect money, timing, employment, and a family’s decision to move.</w:t>
      </w:r>
    </w:p>
    <w:p>
      <w:pPr>
        <w:pStyle w:val="Heading1"/>
      </w:pPr>
      <w:r>
        <w:t>Information is part of the relocation system</w:t>
      </w:r>
    </w:p>
    <w:p>
      <w:r>
        <w:t>Immigration and relocation policies are often evaluated through outcomes such as admission numbers, labour-market participation, or settlement indicators. The communication layer that connects people to those policies receives less attention. Yet a rule that cannot be found, understood, or applied to the right question is difficult to use in practice. This matters internationally: policy information is read in many countries, translated through informal networks, and interpreted by employers, schools, community organizations, and private publishers.</w:t>
      </w:r>
    </w:p>
    <w:p>
      <w:r>
        <w:t>The official source remains essential, but it is not always sufficient on its own. Government pages may be accurate while still assuming that readers know the difference between an eligibility requirement, a program description, and an individual assessment. People comparing destinations from abroad may also find several accurate pages without an obvious explanation of how the pages relate to one another.</w:t>
      </w:r>
    </w:p>
    <w:p>
      <w:pPr>
        <w:pStyle w:val="Heading1"/>
      </w:pPr>
      <w:r>
        <w:t>The risk grows at each handoff</w:t>
      </w:r>
    </w:p>
    <w:p>
      <w:r>
        <w:t>A search result can omit a condition. A social post can repeat an old rule. A summary can turn a possibility into a promise. A well-intentioned employer can confuse a work-permit question with a permanent-residence question. Once an error is repeated, readers may encounter it in several places and mistake repetition for confirmation.</w:t>
      </w:r>
    </w:p>
    <w:p>
      <w:r>
        <w:t>The consequences are not limited to an incorrect form. People may pay for translations, language tests, credential assessments, travel, or housing based on an assumption that later proves wrong. Families may delay a decision or make one too quickly. These are ordinary policy effects experienced through an information system rather than through a statute or regulation alone.</w:t>
      </w:r>
    </w:p>
    <w:p>
      <w:pPr>
        <w:pStyle w:val="Heading1"/>
      </w:pPr>
      <w:r>
        <w:t>Four practices that make relocation information safer</w:t>
      </w:r>
    </w:p>
    <w:p>
      <w:r>
        <w:t>First, every practical explanation should identify its primary source and show when the source was checked. A visible date does not make a page permanently current, but it gives readers a starting point for judging whether further verification is needed.</w:t>
      </w:r>
    </w:p>
    <w:p>
      <w:r>
        <w:t>Second, writers should explain the boundary between general information and professional advice. A checklist can help a reader understand what to research; it cannot determine eligibility, interpret every fact pattern, or predict an official decision. Clear boundaries reduce both overconfidence and unnecessary fear.</w:t>
      </w:r>
    </w:p>
    <w:p>
      <w:r>
        <w:t>Third, publishers should plan for updates instead of treating corrections as exceptional. A page about a time-sensitive policy needs an owner, a review habit, and a way for readers to flag stale information. The source hierarchy should be visible: official requirements first, independent explanation second, and an invitation to seek individualized help where the facts are complex.</w:t>
      </w:r>
    </w:p>
    <w:p>
      <w:r>
        <w:t>Fourth, explanations should be organized around decisions rather than labels alone. Readers need to know which question a source answers, what evidence they need before relying on it, and what the source does not establish. This approach is more useful than collecting isolated program names or promising timelines.</w:t>
      </w:r>
    </w:p>
    <w:p>
      <w:pPr>
        <w:pStyle w:val="Heading1"/>
      </w:pPr>
      <w:r>
        <w:t>A shared responsibility across borders</w:t>
      </w:r>
    </w:p>
    <w:p>
      <w:r>
        <w:t>Settlement organizations, journalists, researchers, and professional publishers each have a different role. Settlement organizations can make official information more accessible without replacing its authority. Journalists can report the effect of a policy while linking to the underlying document. Researchers can show where terminology or administrative design creates unequal access to information. Professional publishers can provide navigation tools if they disclose their interests, avoid guaranteed outcomes, and distinguish education from individualized advice.</w:t>
      </w:r>
    </w:p>
    <w:p>
      <w:r>
        <w:t>This is also a question of trust. A country’s immigration system can be carefully designed and still appear arbitrary when people encounter contradictory explanations. Clear sourcing, visible uncertainty, and prompt corrections make policy more legible. They also make it easier for readers to recognize predatory promises and to ask better questions before spending money or making an irreversible decision.</w:t>
      </w:r>
    </w:p>
    <w:p>
      <w:pPr>
        <w:pStyle w:val="Heading1"/>
      </w:pPr>
      <w:r>
        <w:t>The practical test</w:t>
      </w:r>
    </w:p>
    <w:p>
      <w:r>
        <w:t>Before acting on relocation information, a reader should be able to answer five questions: Who is responsible for the rule? When was the source last checked? What decision does it actually address? Which facts could change the answer? Where can the reader obtain individualized advice if needed? A publication that helps readers ask those questions contributes to better policy outcomes without pretending to replace an official decision-maker.</w:t>
      </w:r>
    </w:p>
    <w:p>
      <w:r>
        <w:t>International relocation will continue to involve difficult debates about mobility, labour, identity, and belonging. Those debates are mediated by the information people can use. Treating that information as part of the policy infrastructure—not as an afterthought—would make relocation systems more transparent, more humane, and easier to evaluate.</w:t>
      </w:r>
    </w:p>
    <w:p>
      <w:pPr>
        <w:pStyle w:val="Heading1"/>
      </w:pPr>
      <w:r>
        <w:t>Sources checked</w:t>
      </w:r>
    </w:p>
    <w:p>
      <w:pPr>
        <w:pStyle w:val="ListBullet"/>
      </w:pPr>
      <w:r>
        <w:t xml:space="preserve">Immigration Refugees and Citizenship Canada, Express Entry — checked 23 September 2026: </w:t>
      </w:r>
      <w:hyperlink r:id="rId9">
        <w:r>
          <w:rPr>
            <w:color w:val="0563C1"/>
            <w:u w:val="single"/>
          </w:rPr>
          <w:t>https://www.canada.ca/en/immigration-refugees-citizenship/services/immigrate-canada/express-entry.html</w:t>
        </w:r>
      </w:hyperlink>
    </w:p>
    <w:p>
      <w:pPr>
        <w:pStyle w:val="ListBullet"/>
      </w:pPr>
      <w:r>
        <w:t xml:space="preserve">Government of Canada, Immigration and citizenship — checked 23 September 2026: </w:t>
      </w:r>
      <w:hyperlink r:id="rId10">
        <w:r>
          <w:rPr>
            <w:color w:val="0563C1"/>
            <w:u w:val="single"/>
          </w:rPr>
          <w:t>https://www.canada.ca/en/services/immigration-citizenship.html</w:t>
        </w:r>
      </w:hyperlink>
    </w:p>
    <w:p>
      <w:pPr>
        <w:pStyle w:val="ListBullet"/>
      </w:pPr>
      <w:r>
        <w:t xml:space="preserve">Settlement.Org, newcomer information and resources — checked 23 September 2026: </w:t>
      </w:r>
      <w:hyperlink r:id="rId11">
        <w:r>
          <w:rPr>
            <w:color w:val="0563C1"/>
            <w:u w:val="single"/>
          </w:rPr>
          <w:t>https://settlement.org/</w:t>
        </w:r>
      </w:hyperlink>
    </w:p>
    <w:p>
      <w:pPr>
        <w:pStyle w:val="ListBullet"/>
      </w:pPr>
      <w:r>
        <w:t xml:space="preserve">Commonwealth Migration Group, general Express Entry information — checked 23 September 2026: </w:t>
      </w:r>
      <w:hyperlink r:id="rId12">
        <w:r>
          <w:rPr>
            <w:color w:val="0563C1"/>
            <w:u w:val="single"/>
          </w:rPr>
          <w:t>https://commonwealthmigration.ca/immigrate/express-entry</w:t>
        </w:r>
      </w:hyperlink>
    </w:p>
    <w:p>
      <w:pPr>
        <w:pStyle w:val="Heading1"/>
      </w:pPr>
      <w:r>
        <w:t>Author information</w:t>
      </w:r>
    </w:p>
    <w:p>
      <w:r>
        <w:t>Anooj Dhawan works in content and outreach for Commonwealth Migration Group Inc. His role is editorial and communications-focused; he is not presenting himself as a licensed immigration consultant. The organizational relationship and any reference link are subject to independent verification and editorial review.</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ada.ca/en/immigration-refugees-citizenship/services/immigrate-canada/express-entry.html" TargetMode="External"/><Relationship Id="rId10" Type="http://schemas.openxmlformats.org/officeDocument/2006/relationships/hyperlink" Target="https://www.canada.ca/en/services/immigration-citizenship.html" TargetMode="External"/><Relationship Id="rId11" Type="http://schemas.openxmlformats.org/officeDocument/2006/relationships/hyperlink" Target="https://settlement.org/" TargetMode="External"/><Relationship Id="rId12" Type="http://schemas.openxmlformats.org/officeDocument/2006/relationships/hyperlink" Target="https://commonwealthmigration.ca/immigrate/express-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