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"/>
      </w:pPr>
      <w:r>
        <w:rPr>
          <w:rFonts w:ascii="Arial" w:hAnsi="Arial"/>
          <w:b/>
          <w:color w:val="A71930"/>
          <w:sz w:val="17"/>
        </w:rPr>
        <w:t>CONTENT ORIGINALITY &amp; SEARCH READINESS</w:t>
      </w:r>
    </w:p>
    <w:p>
      <w:pPr>
        <w:pStyle w:val="Title"/>
      </w:pPr>
      <w:r>
        <w:t>Website content review</w:t>
      </w:r>
    </w:p>
    <w:p>
      <w:r>
        <w:rPr>
          <w:color w:val="5F6873"/>
          <w:sz w:val="18"/>
        </w:rPr>
        <w:t>Scope: commonwealthmigration.ca source content · 199 sitemap routes · review date: 26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EDEF"/>
            <w:vAlign w:val="center"/>
          </w:tcPr>
          <w:p>
            <w:pPr>
              <w:spacing w:after="40"/>
            </w:pPr>
            <w:r>
              <w:rPr>
                <w:b/>
                <w:color w:val="A71930"/>
              </w:rPr>
              <w:t xml:space="preserve">Can the site be certified 100% plagiarism-free?  </w:t>
            </w:r>
            <w:r>
              <w:t>No. This review does not use a comprehensive similarity database, and no finite web search can prove that every sentence is unique against every published or private source. The work reduces avoidable duplication and checks samples; it is not a plagiarism certificate.</w:t>
            </w:r>
          </w:p>
        </w:tc>
      </w:tr>
    </w:tbl>
    <w:p>
      <w:pPr>
        <w:pStyle w:val="Heading1"/>
      </w:pPr>
      <w:r>
        <w:t>What was reviewed</w:t>
      </w:r>
    </w:p>
    <w:p>
      <w:pPr>
        <w:pStyle w:val="ListBullet"/>
        <w:spacing w:after="40"/>
      </w:pPr>
      <w:r>
        <w:t>Rendered page inventory: 199 routes from the local sitemap. A full route and metadata crawl completed before the final copy-context edits; it checked HTTP status, title, meta description, canonical, H1 and main content.</w:t>
      </w:r>
    </w:p>
    <w:p>
      <w:pPr>
        <w:pStyle w:val="ListBullet"/>
        <w:spacing w:after="40"/>
      </w:pPr>
      <w:r>
        <w:t>Content sources: service pages, six Markdown-backed pages, city landing pages, provincial and territorial pathway guides, FAQ/schema pairs, blog article bodies, supporting page templates and related-content cards.</w:t>
      </w:r>
    </w:p>
    <w:p>
      <w:pPr>
        <w:pStyle w:val="ListBullet"/>
        <w:spacing w:after="40"/>
      </w:pPr>
      <w:r>
        <w:t>Search originality: exact-phrase web searches sampled distinctive passages. No verbatim result surfaced in those samples. Search coverage was not exhaustive, and search engines do not index every source.</w:t>
      </w:r>
    </w:p>
    <w:p>
      <w:pPr>
        <w:pStyle w:val="ListBullet"/>
        <w:spacing w:after="40"/>
      </w:pPr>
      <w:r>
        <w:t>Internal duplication: the first sitewide scan flagged 238 repeated paragraph groups. Most were shared brand copy, route notices, local FAQs, source guidance and article-card excerpts. These findings indicate reuse within the site, not external plagiarism by themselves.</w:t>
      </w:r>
    </w:p>
    <w:p>
      <w:pPr>
        <w:pStyle w:val="Heading1"/>
      </w:pPr>
      <w:r>
        <w:t>Content work completed</w:t>
      </w:r>
    </w:p>
    <w:p>
      <w:pPr>
        <w:pStyle w:val="ListBullet"/>
        <w:spacing w:after="40"/>
      </w:pPr>
      <w:r>
        <w:t>Removed artificial SEO word-count padding that expanded pages with repeated generic prose; the authored route content now carries the page guidance.</w:t>
      </w:r>
    </w:p>
    <w:p>
      <w:pPr>
        <w:pStyle w:val="ListBullet"/>
        <w:spacing w:after="40"/>
      </w:pPr>
      <w:r>
        <w:t>Reworked outdated or shallow pathway explanations with route-specific material, preserving each section’s purpose and grounding immigration claims in government or provincial sources.</w:t>
      </w:r>
    </w:p>
    <w:p>
      <w:pPr>
        <w:pStyle w:val="ListBullet"/>
        <w:spacing w:after="40"/>
      </w:pPr>
      <w:r>
        <w:t>Replaced generic service and article-template copy with topic-aware introductions, next-step guidance and calls to action. Location FAQs now identify the city while keeping federal eligibility rules consistent.</w:t>
      </w:r>
    </w:p>
    <w:p>
      <w:pPr>
        <w:pStyle w:val="ListBullet"/>
        <w:spacing w:after="40"/>
      </w:pPr>
      <w:r>
        <w:t>Kept visible FAQ answers synchronized with structured FAQ data. Deleted filler was replaced with practical checks, evidence examples, deadlines and next actions where the page needed them.</w:t>
      </w:r>
    </w:p>
    <w:p>
      <w:r>
        <w:br w:type="page"/>
      </w:r>
    </w:p>
    <w:p>
      <w:pPr>
        <w:pStyle w:val="Heading1"/>
      </w:pPr>
      <w:r>
        <w:t>Validation and responsive review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21A26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5083"/>
            <w:shd w:fill="121A26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7"/>
              </w:rPr>
              <w:t>Page data validator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7"/>
              </w:rPr>
              <w:t>6 Markdown page files and 6 route records validated.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7"/>
              </w:rPr>
              <w:t>Blog validator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7"/>
              </w:rPr>
              <w:t>65/65 published article bodies validated; 1,714 minimum, 2,103 average and 2,860 maximum words.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7"/>
              </w:rPr>
              <w:t>FAQ parity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7"/>
              </w:rPr>
              <w:t>659 visible FAQ questions and answers match structured FAQ data across 65 articles.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7"/>
              </w:rPr>
              <w:t>ESLint and diff checks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7"/>
              </w:rPr>
              <w:t>Changed JavaScript files passed ESLint; git diff --check passed.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7"/>
              </w:rPr>
              <w:t>Playwright after final copy edits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7"/>
              </w:rPr>
              <w:t>30 checks: 10 representative route types at 390, 768 and 1,440 px. No route failures, missing H1s, horizontal overflow, page errors or console errors.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7"/>
              </w:rPr>
              <w:t>Visual inspection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7"/>
              </w:rPr>
              <w:t>Reviewed a mobile homepage and desktop article hero screenshot; the edited copy fit existing components without changing layout structure.</w:t>
            </w:r>
          </w:p>
        </w:tc>
      </w:tr>
    </w:tbl>
    <w:p>
      <w:pPr>
        <w:pStyle w:val="Heading1"/>
      </w:pPr>
      <w:r>
        <w:t>Coverage limits</w:t>
      </w:r>
    </w:p>
    <w:p>
      <w:pPr>
        <w:pStyle w:val="ListBullet"/>
        <w:spacing w:after="40"/>
      </w:pPr>
      <w:r>
        <w:t>The 199-route crawl was not repeated to completion after the last copy-only adjustments. The attempted isolated rerun exhausted temporary build storage while compiling the larger route list; its timeout and server errors are not treated as page defects. The final copy changes received targeted Playwright coverage across the affected templates.</w:t>
      </w:r>
    </w:p>
    <w:p>
      <w:pPr>
        <w:pStyle w:val="ListBullet"/>
        <w:spacing w:after="40"/>
      </w:pPr>
      <w:r>
        <w:t>A similarity scan still needs a licensed plagiarism or web-matching service that can compare the final rendered site against a broad corpus. Any flagged passage should be reviewed for quotation, standard legal language, official terminology and properly attributed facts before rewriting.</w:t>
      </w:r>
    </w:p>
    <w:p>
      <w:pPr>
        <w:pStyle w:val="ListBullet"/>
        <w:spacing w:after="40"/>
      </w:pPr>
      <w:r>
        <w:t>The edits are in the local workspace and have not been deployed. Live search results, rankings, snippets and AI-generated answers will change over time; this work cannot guarantee SERP or AEO positions.</w:t>
      </w:r>
    </w:p>
    <w:p>
      <w:pPr>
        <w:pStyle w:val="Heading1"/>
      </w:pPr>
      <w:r>
        <w:t>Recommended final publication checks</w:t>
      </w:r>
    </w:p>
    <w:p>
      <w:pPr>
        <w:pStyle w:val="ListNumber"/>
        <w:spacing w:after="40"/>
      </w:pPr>
      <w:r>
        <w:t>Run the final rendered copy through an organization-approved similarity checker and manually review every meaningful match.</w:t>
      </w:r>
    </w:p>
    <w:p>
      <w:pPr>
        <w:pStyle w:val="ListNumber"/>
        <w:spacing w:after="40"/>
      </w:pPr>
      <w:r>
        <w:t>After deployment, crawl the live sitemap and confirm canonical URLs, indexability, FAQ output and mobile rendering against production.</w:t>
      </w:r>
    </w:p>
    <w:p>
      <w:pPr>
        <w:pStyle w:val="ListNumber"/>
        <w:spacing w:after="40"/>
      </w:pPr>
      <w:r>
        <w:t>Review Search Console impressions, queries and indexing over time, then update passages when official program rules change.</w:t>
      </w:r>
    </w:p>
    <w:p>
      <w:pPr>
        <w:pStyle w:val="Heading1"/>
      </w:pPr>
      <w:r>
        <w:t>Official references used for policy checks</w:t>
      </w:r>
    </w:p>
    <w:p>
      <w:pPr>
        <w:pStyle w:val="ListBullet"/>
        <w:spacing w:after="20"/>
      </w:pPr>
      <w:r>
        <w:t xml:space="preserve">IRCC Provincial Nominee Program overview: </w:t>
      </w:r>
      <w:r>
        <w:rPr>
          <w:sz w:val="16"/>
        </w:rPr>
        <w:t>https://www.canada.ca/en/immigration-refugees-citizenship/services/immigrate-canada/provincial-nominees.html</w:t>
      </w:r>
    </w:p>
    <w:p>
      <w:pPr>
        <w:pStyle w:val="ListBullet"/>
        <w:spacing w:after="20"/>
      </w:pPr>
      <w:r>
        <w:t xml:space="preserve">IRCC Express Entry PNP eligibility: </w:t>
      </w:r>
      <w:r>
        <w:rPr>
          <w:sz w:val="16"/>
        </w:rPr>
        <w:t>https://www.canada.ca/en/immigration-refugees-citizenship/services/immigrate-canada/provincial-nominees/express-entry/eligibility.html</w:t>
      </w:r>
    </w:p>
    <w:p>
      <w:pPr>
        <w:pStyle w:val="ListBullet"/>
        <w:spacing w:after="20"/>
      </w:pPr>
      <w:r>
        <w:t xml:space="preserve">Government of Canada: choose an immigration representative: </w:t>
      </w:r>
      <w:r>
        <w:rPr>
          <w:sz w:val="16"/>
        </w:rPr>
        <w:t>https://www.canada.ca/en/immigration-refugees-citizenship/services/immigration-citizenship-representative/choose.html</w:t>
      </w:r>
    </w:p>
    <w:p>
      <w:pPr>
        <w:pStyle w:val="ListBullet"/>
        <w:spacing w:after="20"/>
      </w:pPr>
      <w:r>
        <w:t xml:space="preserve">Ontario Workforce Priority stream: </w:t>
      </w:r>
      <w:r>
        <w:rPr>
          <w:sz w:val="16"/>
        </w:rPr>
        <w:t>https://www.ontario.ca/page/ontario-workforce-priority-stream</w:t>
      </w:r>
    </w:p>
    <w:p>
      <w:pPr>
        <w:spacing w:before="140"/>
      </w:pPr>
      <w:r>
        <w:rPr>
          <w:i/>
          <w:color w:val="6E7782"/>
          <w:sz w:val="16"/>
        </w:rPr>
        <w:t>Prepared from the project workspace and the checks recorded for this review. This report describes the evidence available on the review date; it is not legal advice, an originality certification or a ranking forecast.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E7782"/>
        <w:sz w:val="16"/>
      </w:rPr>
      <w:t xml:space="preserve">Internal review · 26 October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b/>
        <w:color w:val="6E7782"/>
        <w:sz w:val="16"/>
      </w:rPr>
      <w:t>COMMONWEALTH MIGRATION GROUP  |  CONTENT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30394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21A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A7193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21A2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