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20"/>
      </w:pPr>
      <w:r>
        <w:rPr>
          <w:rFonts w:ascii="Calibri" w:hAnsi="Calibri"/>
          <w:b/>
          <w:color w:val="173039"/>
          <w:sz w:val="36"/>
        </w:rPr>
        <w:t>What Brampton Newcomers Should Verify Before Choosing an Immigration Pathway</w:t>
      </w:r>
    </w:p>
    <w:p>
      <w:pPr>
        <w:keepLines/>
      </w:pPr>
      <w:r>
        <w:rPr>
          <w:rFonts w:ascii="Calibri" w:hAnsi="Calibri"/>
          <w:sz w:val="20"/>
        </w:rPr>
        <w:t>Moving forward with an immigration plan can involve forms, deadlines, family decisions and a steady stream of advice from relatives, social media and service providers. For newcomers in Brampton, the safest first step is to identify the exact decision in front of you and check it against current official instructions. A post, message or personal story can raise a useful question, but it cannot determine which rules apply to your own situation.</w:t>
      </w:r>
    </w:p>
    <w:p>
      <w:pPr>
        <w:keepLines/>
      </w:pPr>
      <w:r>
        <w:rPr>
          <w:rFonts w:ascii="Calibri" w:hAnsi="Calibri"/>
          <w:sz w:val="20"/>
        </w:rPr>
        <w:t>The checks below are a practical starting point for comparing information. They do not assess eligibility or replace advice from an authorized professional.</w:t>
      </w:r>
    </w:p>
    <w:p>
      <w:pPr>
        <w:pStyle w:val="Heading1"/>
      </w:pPr>
      <w:r>
        <w:t>Start with the decision and an official source</w:t>
      </w:r>
    </w:p>
    <w:p>
      <w:pPr>
        <w:keepLines/>
      </w:pPr>
      <w:r>
        <w:rPr>
          <w:rFonts w:ascii="Calibri" w:hAnsi="Calibri"/>
          <w:sz w:val="20"/>
        </w:rPr>
        <w:t>Before comparing programs, write down what you are trying to do: extend a temporary status, change employers, study, bring a family member, apply for permanent residence or respond to a request. These are different decisions, and a general explanation about “immigration to Canada” may not answer the one you face.</w:t>
      </w:r>
    </w:p>
    <w:p>
      <w:pPr>
        <w:keepLines/>
      </w:pPr>
      <w:r>
        <w:rPr>
          <w:rFonts w:ascii="Calibri" w:hAnsi="Calibri"/>
          <w:sz w:val="20"/>
        </w:rPr>
        <w:t xml:space="preserve">Use the Immigration, Refugees and Citizenship Canada (IRCC) page for the specific program, application or document. Start from the </w:t>
      </w:r>
      <w:hyperlink r:id="rId9">
        <w:r>
          <w:rPr>
            <w:color w:val="176B75"/>
            <w:u w:val="single"/>
            <w:rFonts w:ascii="Calibri" w:hAnsi="Calibri"/>
          </w:rPr>
          <w:t>Government of Canada immigration and citizenship pages</w:t>
        </w:r>
      </w:hyperlink>
      <w:r>
        <w:rPr>
          <w:rFonts w:ascii="Calibri" w:hAnsi="Calibri"/>
          <w:sz w:val="20"/>
        </w:rPr>
        <w:t>, then follow the links to current forms, eligibility instructions and fees. Check the date and the application stage described. A saved screenshot or an older checklist can become outdated when forms, program rules or intake periods change.</w:t>
      </w:r>
    </w:p>
    <w:p>
      <w:pPr>
        <w:keepLines/>
      </w:pPr>
      <w:r>
        <w:rPr>
          <w:rFonts w:ascii="Calibri" w:hAnsi="Calibri"/>
          <w:sz w:val="20"/>
        </w:rPr>
        <w:t>If someone shares a claim that seems important, ask: Which official page supports it? Does that page apply to my current status and application stage? When was it updated? If you cannot answer these questions, treat the claim as something to verify, not as a rule to act on.</w:t>
      </w:r>
    </w:p>
    <w:p>
      <w:pPr>
        <w:pStyle w:val="Heading1"/>
      </w:pPr>
      <w:r>
        <w:t>Compare the rule with your own facts</w:t>
      </w:r>
    </w:p>
    <w:p>
      <w:pPr>
        <w:keepLines/>
      </w:pPr>
      <w:r>
        <w:rPr>
          <w:rFonts w:ascii="Calibri" w:hAnsi="Calibri"/>
          <w:sz w:val="20"/>
        </w:rPr>
        <w:t>People can use the same program name while having different work histories, family situations, education, language results, travel histories or current status. A score, invitation or approval reported by one person does not establish that another person will qualify. Even a small difference in a date or document can affect which instructions apply.</w:t>
      </w:r>
    </w:p>
    <w:p>
      <w:pPr>
        <w:keepLines/>
      </w:pPr>
      <w:r>
        <w:rPr>
          <w:rFonts w:ascii="Calibri" w:hAnsi="Calibri"/>
          <w:sz w:val="20"/>
        </w:rPr>
        <w:t>Make a short list of the facts the official guide asks you to check. Compare each one with a document you can produce, such as a passport, permit, employment record, school letter or language result. Keep separate notes for facts you have confirmed and questions you still need answered. When a social media post or consultant’s general guide differs from the current IRCC page, use the official page to verify the requirement and seek qualified advice if the conflict remains unclear.</w:t>
      </w:r>
    </w:p>
    <w:p>
      <w:pPr>
        <w:pStyle w:val="Heading1"/>
      </w:pPr>
      <w:r>
        <w:t>Check who is giving paid immigration advice</w:t>
      </w:r>
    </w:p>
    <w:p>
      <w:pPr>
        <w:keepLines/>
      </w:pPr>
      <w:r>
        <w:rPr>
          <w:rFonts w:ascii="Calibri" w:hAnsi="Calibri"/>
          <w:sz w:val="20"/>
        </w:rPr>
        <w:t xml:space="preserve">Friends, relatives and community members can help you find information, but paid advice about an immigration application has specific rules. IRCC explains how to </w:t>
      </w:r>
      <w:hyperlink r:id="rId10">
        <w:r>
          <w:rPr>
            <w:color w:val="176B75"/>
            <w:u w:val="single"/>
            <w:rFonts w:ascii="Calibri" w:hAnsi="Calibri"/>
          </w:rPr>
          <w:t>choose and check an immigration representative</w:t>
        </w:r>
      </w:hyperlink>
      <w:r>
        <w:rPr>
          <w:rFonts w:ascii="Calibri" w:hAnsi="Calibri"/>
          <w:sz w:val="20"/>
        </w:rPr>
        <w:t>. A paid consultant should be authorized and in good standing with the College of Immigration and Citizenship Consultants; lawyers and Quebec notaries are regulated by their respective professional bodies.</w:t>
      </w:r>
    </w:p>
    <w:p>
      <w:pPr>
        <w:keepLines/>
      </w:pPr>
      <w:r>
        <w:rPr>
          <w:rFonts w:ascii="Calibri" w:hAnsi="Calibri"/>
          <w:sz w:val="20"/>
        </w:rPr>
        <w:t>Before hiring anyone, ask for the person’s full name and regulator membership details. Confirm the membership independently through the regulator’s register. Get the work to be done, fees, payment schedule and refund terms in writing. Read every form before signing, including any form that appoints someone to communicate with IRCC on your behalf. You do not have to hire a representative to apply, and a representative cannot guarantee an approval.</w:t>
      </w:r>
    </w:p>
    <w:p>
      <w:pPr>
        <w:pStyle w:val="Heading1"/>
      </w:pPr>
      <w:r>
        <w:t>Protect your documents and deadlines</w:t>
      </w:r>
    </w:p>
    <w:p>
      <w:pPr>
        <w:keepLines/>
      </w:pPr>
      <w:r>
        <w:rPr>
          <w:rFonts w:ascii="Calibri" w:hAnsi="Calibri"/>
          <w:sz w:val="20"/>
        </w:rPr>
        <w:t>Keep a complete copy of the forms, supporting records, receipts and messages connected with an application. Record the date each item was submitted and the next deadline or action. Before anything is filed, check that names, dates, employment details and family information match the underlying documents. If a detail is wrong or incomplete, raise it before submission rather than hoping it will be corrected later.</w:t>
      </w:r>
    </w:p>
    <w:p>
      <w:pPr>
        <w:keepLines/>
      </w:pPr>
      <w:r>
        <w:rPr>
          <w:rFonts w:ascii="Calibri" w:hAnsi="Calibri"/>
          <w:sz w:val="20"/>
        </w:rPr>
        <w:t>Do not hand over account passwords or sign blank forms. Use the official IRCC account and payment instructions for government fees. If you appoint or change a representative, follow the current IRCC instructions for telling the department. When you receive a request, use the deadline and response method in that notice; do not rely on a forwarded summary without checking the original message in your account.</w:t>
      </w:r>
    </w:p>
    <w:p>
      <w:pPr>
        <w:pStyle w:val="Heading1"/>
      </w:pPr>
      <w:r>
        <w:t>Pause when a message creates pressure</w:t>
      </w:r>
    </w:p>
    <w:p>
      <w:pPr>
        <w:keepLines/>
      </w:pPr>
      <w:r>
        <w:rPr>
          <w:rFonts w:ascii="Calibri" w:hAnsi="Calibri"/>
          <w:sz w:val="20"/>
        </w:rPr>
        <w:t xml:space="preserve">Urgent messages can be difficult to assess, especially when they refer to status, family members or a deadline. IRCC’s </w:t>
      </w:r>
      <w:hyperlink r:id="rId11">
        <w:r>
          <w:rPr>
            <w:color w:val="176B75"/>
            <w:u w:val="single"/>
            <w:rFonts w:ascii="Calibri" w:hAnsi="Calibri"/>
          </w:rPr>
          <w:t>guidance on fraud targeting newcomers</w:t>
        </w:r>
      </w:hyperlink>
      <w:r>
        <w:rPr>
          <w:rFonts w:ascii="Calibri" w:hAnsi="Calibri"/>
          <w:sz w:val="20"/>
        </w:rPr>
        <w:t xml:space="preserve"> describes warning signs such as threats, demands for unusual payment methods and promises of a guaranteed visa or job. Verify a message by going directly to an official government account or contact page instead of using a link or phone number in a suspicious message.</w:t>
      </w:r>
    </w:p>
    <w:p>
      <w:pPr>
        <w:keepLines/>
      </w:pPr>
      <w:r>
        <w:rPr>
          <w:rFonts w:ascii="Calibri" w:hAnsi="Calibri"/>
          <w:sz w:val="20"/>
        </w:rPr>
        <w:t>Pause before sharing a passport scan, client number, banking details or one-time security code. If you think a message may be genuine but you are unsure, use the contact details on Canada.ca or in your own IRCC account to confirm it. No one outside the responsible decision-maker can promise the result of an application.</w:t>
      </w:r>
    </w:p>
    <w:p>
      <w:pPr>
        <w:pStyle w:val="Heading1"/>
      </w:pPr>
      <w:r>
        <w:t>Find local settlement support in Brampton</w:t>
      </w:r>
    </w:p>
    <w:p>
      <w:pPr>
        <w:keepLines/>
      </w:pPr>
      <w:r>
        <w:rPr>
          <w:rFonts w:ascii="Calibri" w:hAnsi="Calibri"/>
          <w:sz w:val="20"/>
        </w:rPr>
        <w:t xml:space="preserve">Immigration forms are only one part of starting life in a new city. Newcomers may also be looking for language classes, job-search help, credential guidance, a settlement plan or a connection to local community services. IRCC’s </w:t>
      </w:r>
      <w:hyperlink r:id="rId12">
        <w:r>
          <w:rPr>
            <w:color w:val="176B75"/>
            <w:u w:val="single"/>
            <w:rFonts w:ascii="Calibri" w:hAnsi="Calibri"/>
          </w:rPr>
          <w:t>free newcomer services finder</w:t>
        </w:r>
      </w:hyperlink>
      <w:r>
        <w:rPr>
          <w:rFonts w:ascii="Calibri" w:hAnsi="Calibri"/>
          <w:sz w:val="20"/>
        </w:rPr>
        <w:t xml:space="preserve"> lets you search by city or postal code and filter for service type, language and in-person or online support. Enter Brampton or a nearby postal code, then contact a provider before visiting to confirm the service and eligibility that apply to you.</w:t>
      </w:r>
    </w:p>
    <w:p>
      <w:pPr>
        <w:keepLines/>
      </w:pPr>
      <w:r>
        <w:rPr>
          <w:rFonts w:ascii="Calibri" w:hAnsi="Calibri"/>
          <w:sz w:val="20"/>
        </w:rPr>
        <w:t>Local settlement organizations can help with practical needs, while IRCC remains the source for federal immigration requirements. Knowing which question belongs to which service makes it easier to get the right help without sharing sensitive information with an unverified source.</w:t>
      </w:r>
    </w:p>
    <w:p>
      <w:pPr>
        <w:pStyle w:val="Heading1"/>
      </w:pPr>
      <w:r>
        <w:t>A short check before you act</w:t>
      </w:r>
    </w:p>
    <w:p>
      <w:pPr>
        <w:keepLines/>
      </w:pPr>
      <w:r>
        <w:rPr>
          <w:rFonts w:ascii="Calibri" w:hAnsi="Calibri"/>
          <w:sz w:val="20"/>
        </w:rPr>
        <w:t>Before paying a fee, signing a form or submitting an application, ask yourself:</w:t>
      </w:r>
    </w:p>
    <w:p>
      <w:pPr>
        <w:pStyle w:val="ListBullet"/>
        <w:spacing w:after="30" w:line="240" w:lineRule="auto"/>
      </w:pPr>
      <w:r>
        <w:rPr>
          <w:rFonts w:ascii="Calibri" w:hAnsi="Calibri"/>
          <w:sz w:val="20"/>
        </w:rPr>
        <w:t>What exact decision or application stage am I dealing with?</w:t>
      </w:r>
    </w:p>
    <w:p>
      <w:pPr>
        <w:pStyle w:val="ListBullet"/>
        <w:spacing w:after="30" w:line="240" w:lineRule="auto"/>
      </w:pPr>
      <w:r>
        <w:rPr>
          <w:rFonts w:ascii="Calibri" w:hAnsi="Calibri"/>
          <w:sz w:val="20"/>
        </w:rPr>
        <w:t>Which current IRCC page explains the requirement?</w:t>
      </w:r>
    </w:p>
    <w:p>
      <w:pPr>
        <w:pStyle w:val="ListBullet"/>
        <w:spacing w:after="30" w:line="240" w:lineRule="auto"/>
      </w:pPr>
      <w:r>
        <w:rPr>
          <w:rFonts w:ascii="Calibri" w:hAnsi="Calibri"/>
          <w:sz w:val="20"/>
        </w:rPr>
        <w:t>Do my documents support the facts the guide asks me to provide?</w:t>
      </w:r>
    </w:p>
    <w:p>
      <w:pPr>
        <w:pStyle w:val="ListBullet"/>
        <w:spacing w:after="30" w:line="240" w:lineRule="auto"/>
      </w:pPr>
      <w:r>
        <w:rPr>
          <w:rFonts w:ascii="Calibri" w:hAnsi="Calibri"/>
          <w:sz w:val="20"/>
        </w:rPr>
        <w:t>If I am paying for advice, have I checked the representative’s authorization and written terms?</w:t>
      </w:r>
    </w:p>
    <w:p>
      <w:pPr>
        <w:pStyle w:val="ListBullet"/>
        <w:spacing w:after="30" w:line="240" w:lineRule="auto"/>
      </w:pPr>
      <w:r>
        <w:rPr>
          <w:rFonts w:ascii="Calibri" w:hAnsi="Calibri"/>
          <w:sz w:val="20"/>
        </w:rPr>
        <w:t>Do I know the next deadline and have I saved a complete copy of what was submitted?</w:t>
      </w:r>
    </w:p>
    <w:p>
      <w:pPr>
        <w:pStyle w:val="ListBullet"/>
        <w:spacing w:after="30" w:line="240" w:lineRule="auto"/>
      </w:pPr>
      <w:r>
        <w:rPr>
          <w:rFonts w:ascii="Calibri" w:hAnsi="Calibri"/>
          <w:sz w:val="20"/>
        </w:rPr>
        <w:t>If I need settlement help in Brampton, have I confirmed the service and eligibility directly with the provider?</w:t>
      </w:r>
    </w:p>
    <w:p>
      <w:pPr>
        <w:keepLines/>
      </w:pPr>
      <w:r>
        <w:rPr>
          <w:rFonts w:ascii="Calibri" w:hAnsi="Calibri"/>
          <w:sz w:val="20"/>
        </w:rPr>
        <w:t>These checks cannot remove every uncertainty, but they can help separate official requirements from outdated or incomplete advice. When a question depends on your own history or documents, verify the current instructions and get help from an authorized professional before you make a decision.</w:t>
      </w:r>
    </w:p>
    <w:p>
      <w:pPr>
        <w:keepLines/>
      </w:pPr>
      <w:r>
        <w:rPr>
          <w:rFonts w:ascii="Calibri" w:hAnsi="Calibri"/>
          <w:b/>
          <w:sz w:val="20"/>
        </w:rPr>
        <w:t>Author bio:</w:t>
      </w:r>
      <w:r>
        <w:rPr>
          <w:rFonts w:ascii="Calibri" w:hAnsi="Calibri"/>
          <w:sz w:val="20"/>
        </w:rPr>
        <w:t xml:space="preserve"> Anuj Dhawan is Content and Outreach Manager at Commonwealth Migration Group Inc., a Brampton-based immigration services firm. This article provides general information and is not legal advice.</w:t>
      </w:r>
    </w:p>
    <w:p>
      <w:pPr>
        <w:keepLines/>
      </w:pPr>
      <w:r>
        <w:rPr>
          <w:rFonts w:ascii="Calibri" w:hAnsi="Calibri"/>
          <w:b/>
          <w:sz w:val="20"/>
        </w:rPr>
        <w:t>Sources:</w:t>
      </w:r>
      <w:r>
        <w:rPr>
          <w:rFonts w:ascii="Calibri" w:hAnsi="Calibri"/>
          <w:sz w:val="20"/>
        </w:rPr>
        <w:t xml:space="preserve"> All linked sources above are official Government of Canada or IRCC pages, reviewed 27 October 2026.</w:t>
      </w:r>
    </w:p>
    <w:sectPr w:rsidR="00FC693F" w:rsidRPr="0006063C" w:rsidSect="00034616">
      <w:pgSz w:w="12240" w:h="15840"/>
      <w:pgMar w:top="835" w:right="1123" w:bottom="83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0" w:lineRule="auto"/>
    </w:pPr>
    <w:rPr>
      <w:rFonts w:ascii="Calibri" w:hAnsi="Calibri"/>
      <w:color w:val="2C34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Calibri" w:hAnsi="Calibri"/>
      <w:b/>
      <w:bCs/>
      <w:color w:val="0C5962"/>
      <w:sz w:val="24"/>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Calibri" w:hAnsi="Calibri"/>
      <w:b/>
      <w:bCs/>
      <w:color w:val="0C596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Calibri" w:hAnsi="Calibri"/>
      <w:b/>
      <w:color w:val="17303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ada.ca/en/services/immigration-citizenship.html" TargetMode="External"/><Relationship Id="rId10" Type="http://schemas.openxmlformats.org/officeDocument/2006/relationships/hyperlink" Target="https://www.canada.ca/en/immigration-refugees-citizenship/services/immigration-citizenship-representative.html" TargetMode="External"/><Relationship Id="rId11" Type="http://schemas.openxmlformats.org/officeDocument/2006/relationships/hyperlink" Target="https://www.canada.ca/en/immigration-refugees-citizenship/services/protect-fraud/newcomers.html" TargetMode="External"/><Relationship Id="rId12" Type="http://schemas.openxmlformats.org/officeDocument/2006/relationships/hyperlink" Target="https://ircc.canada.ca/english/newcomers/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Brampton Newcomers Should Verify Before Choosing an Immigration Pathway</dc:title>
  <dc:subject>Guest article for Mabuhay Canada</dc:subject>
  <dc:creator>Anuj Dhawan</dc:creator>
  <cp:keywords>Brampton, newcomer information, Canadian immigration</cp:keywords>
  <dc:description>generated by python-docx</dc:description>
  <cp:lastModifiedBy/>
  <cp:revision>1</cp:revision>
  <dcterms:created xsi:type="dcterms:W3CDTF">2013-12-23T23:15:00Z</dcterms:created>
  <dcterms:modified xsi:type="dcterms:W3CDTF">2013-12-23T23:15:00Z</dcterms:modified>
  <cp:category/>
</cp:coreProperties>
</file>