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The Information Gap: What Newcomers to Brampton Need Before They Arrive</w:t>
      </w:r>
    </w:p>
    <w:p>
      <w:pPr>
        <w:spacing w:after="260"/>
      </w:pPr>
      <w:r>
        <w:rPr>
          <w:b/>
          <w:color w:val="5D6773"/>
          <w:sz w:val="20"/>
        </w:rPr>
        <w:t>By Anuj Dhawan</w:t>
      </w:r>
    </w:p>
    <w:p>
      <w:pPr>
        <w:widowControl/>
      </w:pPr>
      <w:r>
        <w:t>Moving to Brampton often starts with a browser full of open tabs. One page explains an immigration document, another describes a school board, a third lists rentals, and a fourth promises work. The hard part is not that information is unavailable. It is knowing which information applies to a person’s status, where it is current, and how a national rule connects to services in a particular neighbourhood.</w:t>
      </w:r>
    </w:p>
    <w:p>
      <w:pPr>
        <w:widowControl/>
      </w:pPr>
      <w:r>
        <w:t>That distinction matters in a city where immigration is part of everyday life. Statistics Canada’s 2021 Census counted 343,690 immigrants among 650,160 Brampton residents in private households. The figure is a census snapshot, not a count of people who arrived recently, but it shows why clear settlement information is a public concern rather than a niche topic.</w:t>
      </w:r>
    </w:p>
    <w:p>
      <w:pPr>
        <w:widowControl/>
      </w:pPr>
      <w:r>
        <w:t>For families planning a move, the information gap can have practical costs: a missed school-registration step, an unnecessary trip to an office, a misunderstanding about eligibility for a service, or a decision based on a rental or job post that has not been checked. A useful plan begins by separating three questions: what federal rules say, what Ontario and Peel provide, and what a Brampton address changes.</w:t>
      </w:r>
    </w:p>
    <w:p>
      <w:pPr>
        <w:pStyle w:val="Heading2"/>
      </w:pPr>
      <w:r>
        <w:t>Start with the rule that applies to your status</w:t>
      </w:r>
    </w:p>
    <w:p>
      <w:pPr>
        <w:widowControl/>
      </w:pPr>
      <w:r>
        <w:t>“Newcomer” is a broad everyday word, not a single legal category. Permanent residents, protected persons, temporary residents, international students and people still outside Canada may have different permissions and access to programs. A social post that says “new arrivals can get this service” may leave out the eligibility condition that matters most.</w:t>
      </w:r>
    </w:p>
    <w:p>
      <w:pPr>
        <w:widowControl/>
      </w:pPr>
      <w:r>
        <w:t xml:space="preserve">Before travelling, eligible applicants can use </w:t>
      </w:r>
      <w:hyperlink r:id="rId9">
        <w:r>
          <w:rPr>
            <w:color w:val="1769AA"/>
            <w:u w:val="single"/>
            <w:color w:val="0563C1"/>
            <w:u w:val="single"/>
          </w:rPr>
          <w:t>IRCC-funded pre-arrival services</w:t>
        </w:r>
      </w:hyperlink>
      <w:r>
        <w:t xml:space="preserve"> to prepare for life and work in Canada. After arrival, the federal </w:t>
      </w:r>
      <w:hyperlink r:id="rId10">
        <w:r>
          <w:rPr>
            <w:color w:val="1769AA"/>
            <w:u w:val="single"/>
            <w:color w:val="0563C1"/>
            <w:u w:val="single"/>
          </w:rPr>
          <w:t>newcomer service finder</w:t>
        </w:r>
      </w:hyperlink>
      <w:r>
        <w:t xml:space="preserve"> lists free settlement services for people who meet its criteria. Those criteria are not universal: IRCC says economic-class permanent residents have a limited access period, with changes that began on April 1, 2026. The federal page also says to call or email a provider before visiting to confirm it offers the service needed.</w:t>
      </w:r>
    </w:p>
    <w:p>
      <w:pPr>
        <w:widowControl/>
      </w:pPr>
      <w:r>
        <w:t>That is a small but important habit: verify the program’s current eligibility page, then confirm details with the provider. Do not assume that another person’s experience, even from the same country or city, applies to a different immigration category.</w:t>
      </w:r>
    </w:p>
    <w:p>
      <w:pPr>
        <w:pStyle w:val="Heading2"/>
      </w:pPr>
      <w:r>
        <w:t>Use a local map, then check the provider</w:t>
      </w:r>
    </w:p>
    <w:p>
      <w:pPr>
        <w:widowControl/>
      </w:pPr>
      <w:r>
        <w:t xml:space="preserve">National directories can tell people what kinds of services exist. A local directory helps answer the next question: where to start. Peel Region’s </w:t>
      </w:r>
      <w:hyperlink r:id="rId11">
        <w:r>
          <w:rPr>
            <w:color w:val="1769AA"/>
            <w:u w:val="single"/>
            <w:color w:val="0563C1"/>
            <w:u w:val="single"/>
          </w:rPr>
          <w:t>Community Services Map</w:t>
        </w:r>
      </w:hyperlink>
      <w:r>
        <w:t xml:space="preserve"> covers Brampton, Mississauga and Caledon. It lets users search for settlement, language, housing assistance, childcare, schools, libraries, food banks and other services, with links to provider information and directions.</w:t>
      </w:r>
    </w:p>
    <w:p>
      <w:pPr>
        <w:widowControl/>
      </w:pPr>
      <w:r>
        <w:t>The map is a starting point, not a guarantee of eligibility, an appointment or a current opening. A useful next step is to make a short call or email with three questions: Does this provider serve my immigration category? Is the service available in my preferred language or online? What documents should I bring? This can prevent a family from travelling across Peel only to learn that the service is meant for a different group or requires a booking.</w:t>
      </w:r>
    </w:p>
    <w:p>
      <w:pPr>
        <w:widowControl/>
      </w:pPr>
      <w:r>
        <w:t>It also helps to think regionally. A Brampton address may connect a person to a Peel-wide service, while a school, transit route or provincial program may have its own catchment or process. “Local” does not always mean “run by the City of Brampton.”</w:t>
      </w:r>
    </w:p>
    <w:p>
      <w:pPr>
        <w:pStyle w:val="Heading2"/>
      </w:pPr>
      <w:r>
        <w:t>Treat housing, transit and school information as separate checks</w:t>
      </w:r>
    </w:p>
    <w:p>
      <w:pPr>
        <w:widowControl/>
      </w:pPr>
      <w:r>
        <w:t xml:space="preserve">Housing decisions are often urgent, which makes verification especially important. Ontario’s </w:t>
      </w:r>
      <w:hyperlink r:id="rId12">
        <w:r>
          <w:rPr>
            <w:color w:val="1769AA"/>
            <w:u w:val="single"/>
            <w:color w:val="0563C1"/>
            <w:u w:val="single"/>
          </w:rPr>
          <w:t>rental rights guide</w:t>
        </w:r>
      </w:hyperlink>
      <w:r>
        <w:t xml:space="preserve"> explains that many private residential rentals are covered by the Residential Tenancies Act and points renters to the standard lease and Landlord and Tenant Board resources. A listing or a landlord’s claim is not a substitute for checking the rules that apply to a specific arrangement. The provincial guide itself encourages people to seek legal advice when they need advice about their situation.</w:t>
      </w:r>
    </w:p>
    <w:p>
      <w:pPr>
        <w:widowControl/>
      </w:pPr>
      <w:r>
        <w:t xml:space="preserve">For daily travel, use the </w:t>
      </w:r>
      <w:hyperlink r:id="rId13">
        <w:r>
          <w:rPr>
            <w:color w:val="1769AA"/>
            <w:u w:val="single"/>
            <w:color w:val="0563C1"/>
            <w:u w:val="single"/>
          </w:rPr>
          <w:t>Brampton Transit route and service information</w:t>
        </w:r>
      </w:hyperlink>
      <w:r>
        <w:t xml:space="preserve"> and check current schedules before choosing a home or job based on an estimated commute. The City describes Züm as its limited-stop bus rapid transit service connecting major corridors and neighbouring municipalities. Route maps, fares and service can change, so a saved screenshot from months earlier may no longer answer a current question.</w:t>
      </w:r>
    </w:p>
    <w:p>
      <w:pPr>
        <w:widowControl/>
      </w:pPr>
      <w:r>
        <w:t xml:space="preserve">School registration deserves its own direct check with the board that serves the family’s address. For example, the Dufferin-Peel Catholic District School Board’s </w:t>
      </w:r>
      <w:hyperlink r:id="rId14">
        <w:r>
          <w:rPr>
            <w:color w:val="1769AA"/>
            <w:u w:val="single"/>
            <w:color w:val="0563C1"/>
            <w:u w:val="single"/>
          </w:rPr>
          <w:t>New to Canada page</w:t>
        </w:r>
      </w:hyperlink>
      <w:r>
        <w:t xml:space="preserve"> describes its registration process and newcomer reception and assessment centres. The board notes that admissions for non-Canadian students are considered individually. Families should ask the relevant board what documents it needs and whether an assessment or appointment is required before relying on advice shared in a community group.</w:t>
      </w:r>
    </w:p>
    <w:p>
      <w:pPr>
        <w:pStyle w:val="Heading2"/>
      </w:pPr>
      <w:r>
        <w:t>Verify work and immigration claims independently</w:t>
      </w:r>
    </w:p>
    <w:p>
      <w:pPr>
        <w:widowControl/>
      </w:pPr>
      <w:r>
        <w:t>Job advertisements can blur the difference between being employable, being authorized to work in Canada, and having a credential recognized for a regulated occupation. These are separate questions. Workers should check the conditions on their own immigration documents and consult official sources rather than assume that a recruiter’s message settles the matter.</w:t>
      </w:r>
    </w:p>
    <w:p>
      <w:pPr>
        <w:widowControl/>
      </w:pPr>
      <w:r>
        <w:t xml:space="preserve">Ontario’s </w:t>
      </w:r>
      <w:hyperlink r:id="rId15">
        <w:r>
          <w:rPr>
            <w:color w:val="1769AA"/>
            <w:u w:val="single"/>
            <w:color w:val="0563C1"/>
            <w:u w:val="single"/>
          </w:rPr>
          <w:t>information for foreign nationals working in the province</w:t>
        </w:r>
      </w:hyperlink>
      <w:r>
        <w:t xml:space="preserve"> summarizes employment standards that apply to many foreign nationals, while noting that exceptions and other legal rights may exist. It is a useful starting point for questions about minimum standards, not a personalized decision about an individual’s work authorization or claim.</w:t>
      </w:r>
    </w:p>
    <w:p>
      <w:pPr>
        <w:pStyle w:val="Heading2"/>
      </w:pPr>
      <w:r>
        <w:t>Make verification part of the plan</w:t>
      </w:r>
    </w:p>
    <w:p>
      <w:pPr>
        <w:widowControl/>
      </w:pPr>
      <w:r>
        <w:t>Before acting on a post or forwarded message, check who published it, when it was updated, which people it covers, and whether it links to the government agency, school board, transit authority or service provider responsible. Keep a dated copy of important guidance and contact the named organization when eligibility, an appointment or a deadline is unclear. For legal questions about an individual case, use an appropriately qualified adviser.</w:t>
      </w:r>
    </w:p>
    <w:p>
      <w:pPr>
        <w:widowControl/>
      </w:pPr>
      <w:r>
        <w:t>Settling in Brampton involves choices about housing, transport, work, school and community services that may come from different levels of government. The goal is not to read every page on the internet. It is to find the authoritative page for each decision, check that it applies to the person making it, and confirm the local step with the organization that delivers the service. A few minutes of verification before a move can make the first weeks less dependent on rumours and more grounded in information people can actually use.</w:t>
      </w:r>
    </w:p>
    <w:p>
      <w:pPr>
        <w:pStyle w:val="Heading2"/>
      </w:pPr>
      <w:r>
        <w:t>Author bio</w:t>
      </w:r>
    </w:p>
    <w:p>
      <w:pPr>
        <w:keepLines/>
      </w:pPr>
      <w:r>
        <w:t xml:space="preserve">Anuj Dhawan is affiliated with Commonwealth Migration Group, a Canadian immigration consultancy with its head office in Brampton; see the group’s </w:t>
      </w:r>
      <w:hyperlink r:id="rId16">
        <w:r>
          <w:rPr>
            <w:rStyle w:val="Hyperlink"/>
            <w:color w:val="0563C1"/>
            <w:u w:val="single"/>
          </w:rPr>
          <w:t>Brampton office information</w:t>
        </w:r>
      </w:hyperlink>
    </w:p>
    <w:sectPr w:rsidR="00FC693F" w:rsidRPr="0006063C" w:rsidSect="00034616">
      <w:pgSz w:w="12240" w:h="15840"/>
      <w:pgMar w:top="835"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242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45B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Calibri" w:hAnsi="Calibri"/>
      <w:b/>
      <w:color w:val="163A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settle-canada/pre-arrival-services/registration.html" TargetMode="External"/><Relationship Id="rId10" Type="http://schemas.openxmlformats.org/officeDocument/2006/relationships/hyperlink" Target="https://www.ircc.canada.ca/english/newcomers/services/index.asp" TargetMode="External"/><Relationship Id="rId11" Type="http://schemas.openxmlformats.org/officeDocument/2006/relationships/hyperlink" Target="https://peelregion.ca/planning-maps/settlement/" TargetMode="External"/><Relationship Id="rId12" Type="http://schemas.openxmlformats.org/officeDocument/2006/relationships/hyperlink" Target="https://www.ontario.ca/page/renting-ontario-your-rights" TargetMode="External"/><Relationship Id="rId13" Type="http://schemas.openxmlformats.org/officeDocument/2006/relationships/hyperlink" Target="https://www.brampton.ca/EN/residents/transit/About-Us/Pages/Fast-Facts.aspx" TargetMode="External"/><Relationship Id="rId14" Type="http://schemas.openxmlformats.org/officeDocument/2006/relationships/hyperlink" Target="https://www.dpcdsb.org/admissions/new-to-canada" TargetMode="External"/><Relationship Id="rId15" Type="http://schemas.openxmlformats.org/officeDocument/2006/relationships/hyperlink" Target="https://www.ontario.ca/files/2024-12/mlitsd-your-rights-under-the-esa-en-2024-12-12.pdf" TargetMode="External"/><Relationship Id="rId16" Type="http://schemas.openxmlformats.org/officeDocument/2006/relationships/hyperlink" Target="https://commonwealthmigration.ca/locations/bramp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Information Gap: What Newcomers to Brampton Need Before They Arrive</dc:title>
  <dc:subject>Guest article submission to Migrant Times</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