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Newcomer Information and Human Rights</w:t>
      </w:r>
    </w:p>
    <w:p>
      <w:pPr>
        <w:keepNext/>
        <w:spacing w:after="200"/>
      </w:pPr>
      <w:r>
        <w:rPr>
          <w:rFonts w:ascii="Aptos" w:hAnsi="Aptos"/>
          <w:color w:val="5B6974"/>
          <w:sz w:val="24"/>
        </w:rPr>
        <w:t>How fragmented guidance affects access to rights</w:t>
      </w:r>
    </w:p>
    <w:p>
      <w:pPr>
        <w:keepNext/>
        <w:spacing w:after="240"/>
      </w:pPr>
      <w:r>
        <w:rPr>
          <w:rFonts w:ascii="Aptos" w:hAnsi="Aptos"/>
          <w:b/>
          <w:color w:val="5B6974"/>
          <w:sz w:val="19"/>
        </w:rPr>
        <w:t>By Anuj Dhawan</w:t>
      </w:r>
    </w:p>
    <w:p>
      <w:r>
        <w:t>Someone who has just arrived in a country may be told that a right exists and still be unsure how to use it. A worker may not know where to ask about wages, a parent which school board serves a new address, or a tenant how to respond to a notice. These are not only communication failures: information affects whether a person can understand, claim and exercise a right.</w:t>
      </w:r>
    </w:p>
    <w:p>
      <w:r>
        <w:t>Newcomers often navigate immigration, housing, employment, health, education and local services at once. Each system has its own agencies, terms, eligibility rules and deadlines. Official information may be accurate but scattered, unevenly translated or written for people who already know how the system works. The question is whether someone can find it, understand that it applies to them and act in time.</w:t>
      </w:r>
    </w:p>
    <w:p>
      <w:pPr>
        <w:pStyle w:val="Heading1"/>
        <w:keepNext/>
      </w:pPr>
      <w:r>
        <w:t>Information is part of the route to a right</w:t>
      </w:r>
    </w:p>
    <w:p>
      <w:r>
        <w:t xml:space="preserve">The relationship between information and rights appears in international human-rights instruments. Article 19 of the </w:t>
      </w:r>
      <w:hyperlink r:id="rId9">
        <w:r>
          <w:rPr>
            <w:color w:val="176B87"/>
            <w:u w:val="single"/>
          </w:rPr>
          <w:t>International Covenant on Civil and Political Rights</w:t>
        </w:r>
      </w:hyperlink>
      <w:r>
        <w:t xml:space="preserve"> protects the freedom to seek, receive and impart information and ideas. The </w:t>
      </w:r>
      <w:hyperlink r:id="rId10">
        <w:r>
          <w:rPr>
            <w:color w:val="176B87"/>
            <w:u w:val="single"/>
          </w:rPr>
          <w:t>UN Committee on Economic, Social and Cultural Rights’ General Comment No. 14</w:t>
        </w:r>
      </w:hyperlink>
      <w:r>
        <w:t xml:space="preserve"> treats information accessibility as part of access to health services, alongside privacy and confidentiality. These texts do not make every service available to everyone; they show why accurate, accessible information matters to rights.</w:t>
      </w:r>
    </w:p>
    <w:p>
      <w:r>
        <w:t xml:space="preserve">For migrants, the </w:t>
      </w:r>
      <w:hyperlink r:id="rId11">
        <w:r>
          <w:rPr>
            <w:color w:val="176B87"/>
            <w:u w:val="single"/>
          </w:rPr>
          <w:t>Office of the UN High Commissioner for Human Rights</w:t>
        </w:r>
      </w:hyperlink>
      <w:r>
        <w:t xml:space="preserve"> has emphasized timely information about procedures, rights, obligations and remedies in a language a person understands. Without that, a formal right may be difficult to use.</w:t>
      </w:r>
    </w:p>
    <w:p>
      <w:r>
        <w:t>Information cannot replace legal representation, interpretation or public services, and newcomers do not share identical entitlements. But information systems shape how people exercise rights; a confusing letter or outdated page can matter when a deadline is near.</w:t>
      </w:r>
    </w:p>
    <w:p>
      <w:pPr>
        <w:pStyle w:val="Heading1"/>
        <w:keepNext/>
      </w:pPr>
      <w:r>
        <w:t>One person, several systems</w:t>
      </w:r>
    </w:p>
    <w:p>
      <w:r>
        <w:t>Consider an ordinary move. A family may need to check immigration-document conditions, find a school, understand a lease, register with a health provider and assess a job offer. Different institutions govern each question, use different language and may ask for the same history or documents. The person must often work out which office can answer.</w:t>
      </w:r>
    </w:p>
    <w:p>
      <w:r>
        <w:t xml:space="preserve">The distinction between a right and a support service matters. Canada’s </w:t>
      </w:r>
      <w:hyperlink r:id="rId12">
        <w:r>
          <w:rPr>
            <w:color w:val="176B87"/>
            <w:u w:val="single"/>
          </w:rPr>
          <w:t>federal newcomer-service finder</w:t>
        </w:r>
      </w:hyperlink>
      <w:r>
        <w:t xml:space="preserve"> lists free settlement services for eligible people. These can help clients navigate daily life, but do not decide a separate benefit claim. Eligibility varies and changes; a protected person, economic-class permanent resident, temporary worker and international student may have different access.</w:t>
      </w:r>
    </w:p>
    <w:p>
      <w:r>
        <w:t xml:space="preserve">Immigration permission and workplace rights are separate questions. Authorization to work is one; Ontario’s minimum employment standards are another. The province’s </w:t>
      </w:r>
      <w:hyperlink r:id="rId13">
        <w:r>
          <w:rPr>
            <w:color w:val="176B87"/>
            <w:u w:val="single"/>
          </w:rPr>
          <w:t>information for foreign nationals working in Ontario</w:t>
        </w:r>
      </w:hyperlink>
      <w:r>
        <w:t xml:space="preserve"> describes applicable rights and obligations. An official referral helps a worker check a recruiter’s claim before paying a fee, signing or leaving a job.</w:t>
      </w:r>
    </w:p>
    <w:p>
      <w:r>
        <w:t xml:space="preserve">Housing information is hard to use under pressure. Ontario’s </w:t>
      </w:r>
      <w:hyperlink r:id="rId14">
        <w:r>
          <w:rPr>
            <w:color w:val="176B87"/>
            <w:u w:val="single"/>
          </w:rPr>
          <w:t>rental-rights guide</w:t>
        </w:r>
      </w:hyperlink>
      <w:r>
        <w:t xml:space="preserve"> explains that the Residential Tenancies Act covers most private rentals and outlines the Landlord and Tenant Board’s role. A tenant still needs to know whether the rules fit their arrangement and which process applies. A general page cannot decide a dispute, but it can point to the responsible institution.</w:t>
      </w:r>
    </w:p>
    <w:p>
      <w:pPr>
        <w:pStyle w:val="Heading1"/>
        <w:keepNext/>
      </w:pPr>
      <w:r>
        <w:t>Brampton as a local case study</w:t>
      </w:r>
    </w:p>
    <w:p>
      <w:r>
        <w:t>The information gap is visible when national rules meet local life. Statistics Canada’s 2021 Census counted 343,690 immigrants among 650,160 Brampton residents in private households. This is a census snapshot, not a count of recent arrivals or anyone’s legal status. It shows why newcomer information is part of a city’s public infrastructure.</w:t>
      </w:r>
    </w:p>
    <w:p>
      <w:r>
        <w:t xml:space="preserve">The </w:t>
      </w:r>
      <w:hyperlink r:id="rId15">
        <w:r>
          <w:rPr>
            <w:color w:val="176B87"/>
            <w:u w:val="single"/>
          </w:rPr>
          <w:t>Peel Region Community Services Map</w:t>
        </w:r>
      </w:hyperlink>
      <w:r>
        <w:t xml:space="preserve"> lists settlement, language, housing, childcare, school, library and food-bank resources across Brampton, Mississauga and Caledon. It helps people find a starting point, but cannot determine eligibility, confirm availability or answer a legal question. Those limits should be clear to users.</w:t>
      </w:r>
    </w:p>
    <w:p>
      <w:r>
        <w:t>Local information must explain boundaries. A Brampton address may connect someone to a Peel-wide service, while a school board, transit route or provincial program may use a different process. “Local” does not always mean city-run. Unexplained referrals between institutions can erode trust.</w:t>
      </w:r>
    </w:p>
    <w:p>
      <w:pPr>
        <w:pStyle w:val="Heading1"/>
        <w:keepNext/>
      </w:pPr>
      <w:r>
        <w:t>Why accurate pages can still be hard to use</w:t>
      </w:r>
    </w:p>
    <w:p>
      <w:r>
        <w:t>Digital access is not the same as meaningful access. A page may be hard to use on a phone, unavailable in someone’s strongest language, too technical or incompatible with assistive technology. A service may require an appointment, referral or documents the person lacks. A hotline open only during working hours can be a barrier to shift workers.</w:t>
      </w:r>
    </w:p>
    <w:p>
      <w:r>
        <w:t>Outdated or decontextualized information adds risk. Community groups can share practical knowledge where official sources are hard to find, but may repeat an exception as a general rule or preserve an expired deadline. The answer is to connect peer support with reliable sources and make corrections easy.</w:t>
      </w:r>
    </w:p>
    <w:p>
      <w:r>
        <w:t>Timing changes what a person needs from a page. Someone facing a short response period needs the notice date, issuing body and official place to confirm what happens next. General guidance can orient them, but should not imply that a website or community worker can pause a deadline or decide a case. Urgent routes to the responsible office or a qualified adviser should be easy to find.</w:t>
      </w:r>
    </w:p>
    <w:p>
      <w:r>
        <w:t>Trust matters. People need to know who operates a website, why it collects information and what will happen next. A public page that routes someone to a commercial form without disclosing the relationship can confuse them. Agencies, community groups, employers, consultants and advertisers should be clearly distinguished.</w:t>
      </w:r>
    </w:p>
    <w:p>
      <w:r>
        <w:t>Navigation support needs a clear boundary. A settlement worker may help someone find a form, understand terms or prepare questions for an appointment, but that does not transfer decision-making responsibility from the agency. People should be able to tell whether they are receiving general navigation, regulated advice or an official determination. Clear handoffs protect users and community organizations.</w:t>
      </w:r>
    </w:p>
    <w:p>
      <w:pPr>
        <w:pStyle w:val="Heading1"/>
        <w:keepNext/>
      </w:pPr>
      <w:r>
        <w:t>Design information around the person using it</w:t>
      </w:r>
    </w:p>
    <w:p>
      <w:r>
        <w:t>Rights-based information design begins with the person’s decision. A page organized around an agency may not match the user’s question. Systems can start with a life event—starting work, enrolling a child, finding a doctor or responding to a letter—and show the official source, eligibility limits and next step.</w:t>
      </w:r>
    </w:p>
    <w:p>
      <w:r>
        <w:t>Several safeguards can make that information more usable:</w:t>
      </w:r>
    </w:p>
    <w:p>
      <w:pPr>
        <w:pStyle w:val="ListBullet"/>
        <w:spacing w:after="80"/>
        <w:ind w:left="403" w:hanging="230"/>
      </w:pPr>
      <w:r>
        <w:rPr>
          <w:b/>
        </w:rPr>
        <w:t>Name the source and date.</w:t>
      </w:r>
      <w:r>
        <w:t xml:space="preserve"> Identify the responsible institution, review date and place to check for changes.</w:t>
      </w:r>
    </w:p>
    <w:p>
      <w:pPr>
        <w:pStyle w:val="ListBullet"/>
        <w:spacing w:after="80"/>
        <w:ind w:left="403" w:hanging="230"/>
      </w:pPr>
      <w:r>
        <w:rPr>
          <w:b/>
        </w:rPr>
        <w:t>Separate categories.</w:t>
      </w:r>
      <w:r>
        <w:t xml:space="preserve"> Explain which rules depend on status, age, location, income or program. Do not use “newcomer” as a legal category.</w:t>
      </w:r>
    </w:p>
    <w:p>
      <w:pPr>
        <w:pStyle w:val="ListBullet"/>
        <w:spacing w:after="80"/>
        <w:ind w:left="403" w:hanging="230"/>
      </w:pPr>
      <w:r>
        <w:rPr>
          <w:b/>
        </w:rPr>
        <w:t>Use accessible language and formats.</w:t>
      </w:r>
      <w:r>
        <w:t xml:space="preserve"> Translate high-impact content, explain terms, support mobile and assistive technology, and provide human help.</w:t>
      </w:r>
    </w:p>
    <w:p>
      <w:pPr>
        <w:pStyle w:val="ListBullet"/>
        <w:spacing w:after="80"/>
        <w:ind w:left="403" w:hanging="230"/>
      </w:pPr>
      <w:r>
        <w:rPr>
          <w:b/>
        </w:rPr>
        <w:t>Show remedies.</w:t>
      </w:r>
      <w:r>
        <w:t xml:space="preserve"> Identify the agency, tribunal, complaint route or qualified adviser for disputed decisions.</w:t>
      </w:r>
    </w:p>
    <w:p>
      <w:pPr>
        <w:pStyle w:val="ListBullet"/>
        <w:spacing w:after="80"/>
        <w:ind w:left="403" w:hanging="230"/>
      </w:pPr>
      <w:r>
        <w:rPr>
          <w:b/>
        </w:rPr>
        <w:t>Protect privacy.</w:t>
      </w:r>
      <w:r>
        <w:t xml:space="preserve"> Collect only necessary data, explain why, and avoid informal channels for sensitive documents.</w:t>
      </w:r>
    </w:p>
    <w:p>
      <w:pPr>
        <w:pStyle w:val="ListBullet"/>
        <w:spacing w:after="80"/>
        <w:ind w:left="403" w:hanging="230"/>
      </w:pPr>
      <w:r>
        <w:rPr>
          <w:b/>
        </w:rPr>
        <w:t>Enable correction.</w:t>
      </w:r>
      <w:r>
        <w:t xml:space="preserve"> Make it easy to report broken links or unclear rules and publish updates promptly.</w:t>
      </w:r>
    </w:p>
    <w:p>
      <w:r>
        <w:t>These are design choices. Measure whether people can complete the next step, not only page views or translation counts. Institutions can test guidance with actual users and look for missed appointments, failed referrals, repeated document requests and uncertainty about responsibility.</w:t>
      </w:r>
    </w:p>
    <w:p>
      <w:r>
        <w:t>Evaluation should ask who could use the information and who could not. Page visits do not show whether someone found the right service, understood eligibility or reached a person when online help failed. With privacy safeguards, teams can review recurring questions, referral loops and inaccessible formats, then update guidance. Users can report confusing language, but should not carry the cost of correcting official information. Explain how to report an error and note important changes.</w:t>
      </w:r>
    </w:p>
    <w:p>
      <w:r>
        <w:t>No single channel works for everyone. A searchable page may not serve someone with limited data, a disability, low literacy or an urgent question in an unsupported language. Phone, in-person, accessible-document and community-referral options can complement one another, providing a reliable route and a fallback when the first channel fails.</w:t>
      </w:r>
    </w:p>
    <w:p>
      <w:pPr>
        <w:pStyle w:val="Heading1"/>
        <w:keepNext/>
      </w:pPr>
      <w:r>
        <w:t>From information to accountability</w:t>
      </w:r>
    </w:p>
    <w:p>
      <w:r>
        <w:t>Fragmented guidance is not solved by pretending every system is simple. Eligibility rules and institutional boundaries matter, but they can be explained so people know which rule applies, who can answer and what to do if a response is wrong or late.</w:t>
      </w:r>
    </w:p>
    <w:p>
      <w:r>
        <w:t>For policymakers, practical questions follow: who owns accuracy across agencies? Who cannot use the current system, and how is that measured? What alternative exists to a portal or hotline? How can community organizations help without being mistaken for decision-makers? How can institutions learn from people lost between referrals?</w:t>
      </w:r>
    </w:p>
    <w:p>
      <w:r>
        <w:t>Newcomers should not have to master government architecture to understand a right. Timely, accessible information connected to a real route for help can make formal protections usable. Access to information belongs in human-rights conversations as one condition that enables people to exercise their rights.</w:t>
      </w:r>
    </w:p>
    <w:p>
      <w:pPr>
        <w:pStyle w:val="Heading1"/>
        <w:keepNext/>
      </w:pPr>
      <w:r>
        <w:t>Author biography</w:t>
      </w:r>
    </w:p>
    <w:p>
      <w:r>
        <w:t>Anuj Dhawan is affiliated with Commonwealth Migration Group, a Canadian immigration consultancy with its head office in Brampton, Ontario. His work focuses on migration information, newcomer communication and the practical questions people face while navigating Canadian systems. His professional affiliation is disclosed here; the article is an independent, public-interest contribution and does not provide individual legal advice.</w:t>
      </w:r>
    </w:p>
    <w:sectPr w:rsidR="00FC693F" w:rsidRPr="0006063C" w:rsidSect="00034616">
      <w:pgSz w:w="12240" w:h="15840"/>
      <w:pgMar w:top="1080" w:right="1267" w:bottom="1080"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eorgia" w:hAnsi="Georgia"/>
      <w:color w:val="2A30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83A5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before="0"/>
      <w:contextualSpacing/>
    </w:pPr>
    <w:rPr>
      <w:rFonts w:asciiTheme="majorHAnsi" w:eastAsiaTheme="majorEastAsia" w:hAnsiTheme="majorHAnsi" w:cstheme="majorBidi" w:ascii="Aptos Display" w:hAnsi="Aptos Display"/>
      <w:b/>
      <w:color w:val="183A56"/>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2covenants.ohchr.org/About-ICCPR.html" TargetMode="External"/><Relationship Id="rId10" Type="http://schemas.openxmlformats.org/officeDocument/2006/relationships/hyperlink" Target="https://www.ohchr.org/sites/default/files/Documents/Issues/Women/WRGS/Health/GC14.pdf" TargetMode="External"/><Relationship Id="rId11" Type="http://schemas.openxmlformats.org/officeDocument/2006/relationships/hyperlink" Target="https://www.ohchr.org/Documents/Issues/Migration/InSearchofDignity-OHCHR_Report_HR_Migrants_at_Europes_Borders.pdf" TargetMode="External"/><Relationship Id="rId12" Type="http://schemas.openxmlformats.org/officeDocument/2006/relationships/hyperlink" Target="https://ircc.canada.ca/english/newcomers/services/" TargetMode="External"/><Relationship Id="rId13" Type="http://schemas.openxmlformats.org/officeDocument/2006/relationships/hyperlink" Target="https://www.ontario.ca/page/employment-rights-and-obligations-foreign-nationals" TargetMode="External"/><Relationship Id="rId14" Type="http://schemas.openxmlformats.org/officeDocument/2006/relationships/hyperlink" Target="https://www.ontario.ca/page/renting-ontario-your-rights" TargetMode="External"/><Relationship Id="rId15" Type="http://schemas.openxmlformats.org/officeDocument/2006/relationships/hyperlink" Target="https://peelregion.ca/planning-maps/settl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Newcomer Information and Human Rights</dc:title>
  <dc:subject>Blog contribution on access to rights and fragmented newcomer information</dc:subject>
  <dc:creator>Anuj Dhawan</dc:creator>
  <cp:keywords/>
  <dc:description>generated by python-docx</dc:description>
  <cp:lastModifiedBy/>
  <cp:revision>1</cp:revision>
  <dcterms:created xsi:type="dcterms:W3CDTF">2013-12-23T23:15:00Z</dcterms:created>
  <dcterms:modified xsi:type="dcterms:W3CDTF">2013-12-23T23:15:00Z</dcterms:modified>
  <cp:category/>
</cp:coreProperties>
</file>