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Commonwealth</w:t>
      </w:r>
      <w:r>
        <w:t xml:space="preserve"> </w:t>
      </w:r>
      <w:r>
        <w:t xml:space="preserve">Migration</w:t>
      </w:r>
      <w:r>
        <w:t xml:space="preserve"> </w:t>
      </w:r>
      <w:r>
        <w:t xml:space="preserve">Canada</w:t>
      </w:r>
      <w:r>
        <w:t xml:space="preserve"> </w:t>
      </w:r>
      <w:r>
        <w:t xml:space="preserve">-</w:t>
      </w:r>
      <w:r>
        <w:t xml:space="preserve"> </w:t>
      </w:r>
      <w:r>
        <w:t xml:space="preserve">SEO/AEO</w:t>
      </w:r>
      <w:r>
        <w:t xml:space="preserve"> </w:t>
      </w:r>
      <w:r>
        <w:t xml:space="preserve">Website</w:t>
      </w:r>
      <w:r>
        <w:t xml:space="preserve"> </w:t>
      </w:r>
      <w:r>
        <w:t xml:space="preserve">Content</w:t>
      </w:r>
    </w:p>
    <w:p>
      <w:pPr>
        <w:pStyle w:val="Subtitle"/>
      </w:pPr>
      <w:r>
        <w:t xml:space="preserve">Full</w:t>
      </w:r>
      <w:r>
        <w:t xml:space="preserve"> </w:t>
      </w:r>
      <w:r>
        <w:t xml:space="preserve">Page</w:t>
      </w:r>
      <w:r>
        <w:t xml:space="preserve"> </w:t>
      </w:r>
      <w:r>
        <w:t xml:space="preserve">Set</w:t>
      </w:r>
      <w:r>
        <w:t xml:space="preserve"> </w:t>
      </w:r>
      <w:r>
        <w:t xml:space="preserve">-</w:t>
      </w:r>
      <w:r>
        <w:t xml:space="preserve"> </w:t>
      </w:r>
      <w:r>
        <w:t xml:space="preserve">Prepared</w:t>
      </w:r>
      <w:r>
        <w:t xml:space="preserve"> </w:t>
      </w:r>
      <w:r>
        <w:t xml:space="preserve">for</w:t>
      </w:r>
      <w:r>
        <w:t xml:space="preserve"> </w:t>
      </w:r>
      <w:r>
        <w:t xml:space="preserve">Internal</w:t>
      </w:r>
      <w:r>
        <w:t xml:space="preserve"> </w:t>
      </w:r>
      <w:r>
        <w:t xml:space="preserve">Record</w:t>
      </w:r>
    </w:p>
    <w:bookmarkStart w:id="20" w:name="contents"/>
    <w:p>
      <w:pPr>
        <w:pStyle w:val="Heading2"/>
      </w:pPr>
      <w:r>
        <w:t xml:space="preserve">Contents</w:t>
      </w:r>
    </w:p>
    <w:p>
      <w:pPr>
        <w:numPr>
          <w:ilvl w:val="0"/>
          <w:numId w:val="1001"/>
        </w:numPr>
        <w:pStyle w:val="Compact"/>
      </w:pPr>
      <w:r>
        <w:t xml:space="preserve">Homepage (/)</w:t>
      </w:r>
    </w:p>
    <w:p>
      <w:pPr>
        <w:numPr>
          <w:ilvl w:val="0"/>
          <w:numId w:val="1001"/>
        </w:numPr>
        <w:pStyle w:val="Compact"/>
      </w:pPr>
      <w:r>
        <w:t xml:space="preserve">Express Entry (/immigration/express-entry)</w:t>
      </w:r>
    </w:p>
    <w:p>
      <w:pPr>
        <w:numPr>
          <w:ilvl w:val="0"/>
          <w:numId w:val="1001"/>
        </w:numPr>
        <w:pStyle w:val="Compact"/>
      </w:pPr>
      <w:r>
        <w:t xml:space="preserve">PNP (/immigration/pnp)</w:t>
      </w:r>
    </w:p>
    <w:p>
      <w:pPr>
        <w:numPr>
          <w:ilvl w:val="0"/>
          <w:numId w:val="1001"/>
        </w:numPr>
        <w:pStyle w:val="Compact"/>
      </w:pPr>
      <w:r>
        <w:t xml:space="preserve">Work Permit (/immigration/work-permit)</w:t>
      </w:r>
    </w:p>
    <w:p>
      <w:pPr>
        <w:numPr>
          <w:ilvl w:val="0"/>
          <w:numId w:val="1001"/>
        </w:numPr>
        <w:pStyle w:val="Compact"/>
      </w:pPr>
      <w:r>
        <w:t xml:space="preserve">Study Permit (/immigration/study-permit)</w:t>
      </w:r>
    </w:p>
    <w:p>
      <w:pPr>
        <w:numPr>
          <w:ilvl w:val="0"/>
          <w:numId w:val="1001"/>
        </w:numPr>
        <w:pStyle w:val="Compact"/>
      </w:pPr>
      <w:r>
        <w:t xml:space="preserve">Family Sponsorship (/immigration/family-sponsorship)</w:t>
      </w:r>
    </w:p>
    <w:p>
      <w:pPr>
        <w:numPr>
          <w:ilvl w:val="0"/>
          <w:numId w:val="1001"/>
        </w:numPr>
        <w:pStyle w:val="Compact"/>
      </w:pPr>
      <w:r>
        <w:t xml:space="preserve">Refusals (/refusals)</w:t>
      </w:r>
    </w:p>
    <w:p>
      <w:pPr>
        <w:numPr>
          <w:ilvl w:val="0"/>
          <w:numId w:val="1001"/>
        </w:numPr>
        <w:pStyle w:val="Compact"/>
      </w:pPr>
      <w:r>
        <w:t xml:space="preserve">LMIA (/for-employers/lmia)</w:t>
      </w:r>
    </w:p>
    <w:p>
      <w:pPr>
        <w:numPr>
          <w:ilvl w:val="0"/>
          <w:numId w:val="1001"/>
        </w:numPr>
        <w:pStyle w:val="Compact"/>
      </w:pPr>
      <w:r>
        <w:t xml:space="preserve">Global Talent Stream (/for-employers/global-talent-stream)</w:t>
      </w:r>
    </w:p>
    <w:p>
      <w:pPr>
        <w:numPr>
          <w:ilvl w:val="0"/>
          <w:numId w:val="1001"/>
        </w:numPr>
        <w:pStyle w:val="Compact"/>
      </w:pPr>
      <w:r>
        <w:t xml:space="preserve">Employer Compliance (/for-employers/employer-compliance)</w:t>
      </w:r>
    </w:p>
    <w:p>
      <w:pPr>
        <w:numPr>
          <w:ilvl w:val="0"/>
          <w:numId w:val="1001"/>
        </w:numPr>
        <w:pStyle w:val="Compact"/>
      </w:pPr>
      <w:r>
        <w:t xml:space="preserve">Recruitment / HGT (/for-employers)</w:t>
      </w:r>
    </w:p>
    <w:p>
      <w:pPr>
        <w:numPr>
          <w:ilvl w:val="0"/>
          <w:numId w:val="1001"/>
        </w:numPr>
        <w:pStyle w:val="Compact"/>
      </w:pPr>
      <w:r>
        <w:t xml:space="preserve">About Us (/about-us)</w:t>
      </w:r>
    </w:p>
    <w:p>
      <w:pPr>
        <w:numPr>
          <w:ilvl w:val="0"/>
          <w:numId w:val="1001"/>
        </w:numPr>
        <w:pStyle w:val="Compact"/>
      </w:pPr>
      <w:r>
        <w:t xml:space="preserve">Team (/team)</w:t>
      </w:r>
    </w:p>
    <w:p>
      <w:pPr>
        <w:numPr>
          <w:ilvl w:val="0"/>
          <w:numId w:val="1001"/>
        </w:numPr>
        <w:pStyle w:val="Compact"/>
      </w:pPr>
      <w:r>
        <w:t xml:space="preserve">How It Works (/how-it-works)</w:t>
      </w:r>
    </w:p>
    <w:p>
      <w:pPr>
        <w:numPr>
          <w:ilvl w:val="0"/>
          <w:numId w:val="1001"/>
        </w:numPr>
        <w:pStyle w:val="Compact"/>
      </w:pPr>
      <w:r>
        <w:t xml:space="preserve">Contact Us (/contact-us)</w:t>
      </w:r>
    </w:p>
    <w:p>
      <w:pPr>
        <w:numPr>
          <w:ilvl w:val="0"/>
          <w:numId w:val="1001"/>
        </w:numPr>
        <w:pStyle w:val="Compact"/>
      </w:pPr>
      <w:r>
        <w:t xml:space="preserve">Start-Up Visa (/immigration/startup-visa)</w:t>
      </w:r>
    </w:p>
    <w:p>
      <w:pPr>
        <w:numPr>
          <w:ilvl w:val="0"/>
          <w:numId w:val="1001"/>
        </w:numPr>
        <w:pStyle w:val="Compact"/>
      </w:pPr>
      <w:r>
        <w:t xml:space="preserve">PGWP (/immigration/pgwp)</w:t>
      </w:r>
    </w:p>
    <w:p>
      <w:pPr>
        <w:numPr>
          <w:ilvl w:val="0"/>
          <w:numId w:val="1001"/>
        </w:numPr>
        <w:pStyle w:val="Compact"/>
      </w:pPr>
      <w:r>
        <w:t xml:space="preserve">Visitor Visa &amp; Super Visa (/immigration/visitor-visa)</w:t>
      </w:r>
    </w:p>
    <w:p>
      <w:pPr>
        <w:numPr>
          <w:ilvl w:val="0"/>
          <w:numId w:val="1001"/>
        </w:numPr>
        <w:pStyle w:val="Compact"/>
      </w:pPr>
      <w:r>
        <w:t xml:space="preserve">Tools Hub (/tools)</w:t>
      </w:r>
    </w:p>
    <w:p>
      <w:pPr>
        <w:numPr>
          <w:ilvl w:val="0"/>
          <w:numId w:val="1001"/>
        </w:numPr>
        <w:pStyle w:val="Compact"/>
      </w:pPr>
      <w:r>
        <w:t xml:space="preserve">CRS Calculator (/tools/crs-calculator)</w:t>
      </w:r>
    </w:p>
    <w:p>
      <w:pPr>
        <w:numPr>
          <w:ilvl w:val="0"/>
          <w:numId w:val="1001"/>
        </w:numPr>
        <w:pStyle w:val="Compact"/>
      </w:pPr>
      <w:r>
        <w:t xml:space="preserve">PNP Eligibility Check (/tools/pnp-eligibility)</w:t>
      </w:r>
    </w:p>
    <w:p>
      <w:pPr>
        <w:numPr>
          <w:ilvl w:val="0"/>
          <w:numId w:val="1001"/>
        </w:numPr>
        <w:pStyle w:val="Compact"/>
      </w:pPr>
      <w:r>
        <w:t xml:space="preserve">NOC Finder (/tools/noc-finder)</w:t>
      </w:r>
    </w:p>
    <w:p>
      <w:pPr>
        <w:numPr>
          <w:ilvl w:val="0"/>
          <w:numId w:val="1001"/>
        </w:numPr>
        <w:pStyle w:val="Compact"/>
      </w:pPr>
      <w:r>
        <w:t xml:space="preserve">Document Checklist (/tools/document-checklist)</w:t>
      </w:r>
    </w:p>
    <w:p>
      <w:pPr>
        <w:numPr>
          <w:ilvl w:val="0"/>
          <w:numId w:val="1001"/>
        </w:numPr>
        <w:pStyle w:val="Compact"/>
      </w:pPr>
      <w:r>
        <w:t xml:space="preserve">Free Assessment (/tools/free-assessment)</w:t>
      </w:r>
    </w:p>
    <w:p>
      <w:pPr>
        <w:numPr>
          <w:ilvl w:val="0"/>
          <w:numId w:val="1001"/>
        </w:numPr>
        <w:pStyle w:val="Compact"/>
      </w:pPr>
      <w:r>
        <w:t xml:space="preserve">Publishing Checklist (internal reference)</w:t>
      </w:r>
    </w:p>
    <w:p>
      <w:r>
        <w:br w:type="page"/>
      </w:r>
    </w:p>
    <w:bookmarkEnd w:id="20"/>
    <w:bookmarkStart w:id="21" w:name="page-homepage"/>
    <w:p>
      <w:pPr>
        <w:pStyle w:val="Heading1"/>
      </w:pPr>
      <w:r>
        <w:t xml:space="preserve">PAGE: / (Homepage)</w:t>
      </w:r>
    </w:p>
    <w:bookmarkEnd w:id="21"/>
    <w:bookmarkStart w:id="52" w:name="menu-location-home"/>
    <w:p>
      <w:pPr>
        <w:pStyle w:val="Heading1"/>
      </w:pPr>
      <w:r>
        <w:t xml:space="preserve">Menu location: Home</w:t>
      </w:r>
    </w:p>
    <w:p>
      <w:r>
        <w:pict>
          <v:rect style="width:0;height:1.5pt" o:hralign="center" o:hrstd="t" o:hr="t"/>
        </w:pict>
      </w:r>
    </w:p>
    <w:bookmarkStart w:id="23" w:name="meta-tags"/>
    <w:p>
      <w:pPr>
        <w:pStyle w:val="Heading2"/>
      </w:pPr>
      <w:r>
        <w:t xml:space="preserve">META TAGS</w:t>
      </w:r>
    </w:p>
    <w:p>
      <w:pPr>
        <w:pStyle w:val="SourceCode"/>
      </w:pPr>
      <w:r>
        <w:rPr>
          <w:rStyle w:val="VerbatimChar"/>
        </w:rPr>
        <w:t xml:space="preserve">title: Immigration Consultant Brampton | Licensed RCIC | Canada-Wide | CMG</w:t>
      </w:r>
      <w:r>
        <w:br/>
      </w:r>
      <w:r>
        <w:rPr>
          <w:rStyle w:val="VerbatimChar"/>
        </w:rPr>
        <w:t xml:space="preserve">meta-description: CICC-regulated RCIC serving Brampton, the GTA &amp; all of Canada. Express Entry, OINP, work &amp; study permits, sponsorship, refusals &amp; employer LMIA. Free assessment.</w:t>
      </w:r>
      <w:r>
        <w:br/>
      </w:r>
      <w:r>
        <w:rPr>
          <w:rStyle w:val="VerbatimChar"/>
        </w:rPr>
        <w:t xml:space="preserve">canonical: https://commonwealthmigration.ca/</w:t>
      </w:r>
      <w:r>
        <w:br/>
      </w:r>
      <w:r>
        <w:rPr>
          <w:rStyle w:val="VerbatimChar"/>
        </w:rPr>
        <w:t xml:space="preserve">meta-keywords: immigration consultant Brampton, RCIC Brampton, immigration consultant near me, Canada immigration consultant GTA, licensed immigration consultant Ontario, Express Entry Brampton, OINP consultant</w:t>
      </w:r>
      <w:r>
        <w:br/>
      </w:r>
      <w:r>
        <w:rPr>
          <w:rStyle w:val="VerbatimChar"/>
        </w:rPr>
        <w:t xml:space="preserve">meta-og:title: Immigration Consultant Brampton | Licensed RCIC | Canada-Wide</w:t>
      </w:r>
      <w:r>
        <w:br/>
      </w:r>
      <w:r>
        <w:rPr>
          <w:rStyle w:val="VerbatimChar"/>
        </w:rPr>
        <w:t xml:space="preserve">meta-og:description: CICC-regulated RCIC serving Brampton, the GTA &amp; all of Canada — Express Entry, OINP, work &amp; study permits, sponsorship, refusals &amp; employer LMIA.</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w:t>
      </w:r>
      <w:r>
        <w:br/>
      </w:r>
      <w:r>
        <w:rPr>
          <w:rStyle w:val="VerbatimChar"/>
        </w:rPr>
        <w:t xml:space="preserve">meta-og:site_name: Commonwealth Migration Canada</w:t>
      </w:r>
      <w:r>
        <w:br/>
      </w:r>
      <w:r>
        <w:rPr>
          <w:rStyle w:val="VerbatimChar"/>
        </w:rPr>
        <w:t xml:space="preserve">meta-twitter:card: summary_large_image</w:t>
      </w:r>
      <w:r>
        <w:br/>
      </w:r>
      <w:r>
        <w:rPr>
          <w:rStyle w:val="VerbatimChar"/>
        </w:rPr>
        <w:t xml:space="preserve">meta-twitter:title: Immigration Consultant Brampton | Licensed RCIC | Canada-Wide</w:t>
      </w:r>
      <w:r>
        <w:br/>
      </w:r>
      <w:r>
        <w:rPr>
          <w:rStyle w:val="VerbatimChar"/>
        </w:rPr>
        <w:t xml:space="preserve">meta-twitter:description: CICC-regulated RCIC serving Brampton, the GTA &amp; all of Canada — Express Entry, OINP, work permits, sponsorship, refusals &amp; employer LMIA.</w:t>
      </w:r>
      <w:r>
        <w:br/>
      </w:r>
      <w:r>
        <w:rPr>
          <w:rStyle w:val="VerbatimChar"/>
        </w:rPr>
        <w:t xml:space="preserve">meta-theme-color: #C8102E</w:t>
      </w:r>
      <w:r>
        <w:br/>
      </w:r>
      <w:r>
        <w:rPr>
          <w:rStyle w:val="VerbatimChar"/>
        </w:rPr>
        <w:t xml:space="preserve">robots: index, follow</w:t>
      </w:r>
      <w:r>
        <w:br/>
      </w:r>
      <w:r>
        <w:rPr>
          <w:rStyle w:val="VerbatimChar"/>
        </w:rPr>
        <w:t xml:space="preserve">hreflang: en-CA</w:t>
      </w:r>
    </w:p>
    <w:bookmarkStart w:id="22" w:name="X24b59a5cbdee8c1befc6a9305a1f13e00f5d5ce"/>
    <w:p>
      <w:pPr>
        <w:pStyle w:val="Heading3"/>
      </w:pPr>
      <w:r>
        <w:t xml:space="preserve">JSON-LD (three blocks — Organization/LocalBusiness, WebSite w/ sitelinks search, FAQPage)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"ProfessionalService"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"Commonwealth Migration Canada"</w:t>
      </w:r>
      <w:r>
        <w:rPr>
          <w:rStyle w:val="FunctionTok"/>
        </w:rPr>
        <w:t xml:space="preserve">,</w:t>
      </w:r>
      <w:r>
        <w:br/>
      </w:r>
      <w:r>
        <w:rPr>
          <w:rStyle w:val="NormalTok"/>
        </w:rPr>
        <w:t xml:space="preserve">  </w:t>
      </w:r>
      <w:r>
        <w:rPr>
          <w:rStyle w:val="DataTypeTok"/>
        </w:rPr>
        <w:t xml:space="preserve">"alternateName"</w:t>
      </w:r>
      <w:r>
        <w:rPr>
          <w:rStyle w:val="FunctionTok"/>
        </w:rPr>
        <w:t xml:space="preserve">:</w:t>
      </w:r>
      <w:r>
        <w:rPr>
          <w:rStyle w:val="NormalTok"/>
        </w:rPr>
        <w:t xml:space="preserve"> </w:t>
      </w:r>
      <w:r>
        <w:rPr>
          <w:rStyle w:val="StringTok"/>
        </w:rPr>
        <w:t xml:space="preserve">"CMG"</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"https://commonwealthmigration.ca/images/og-default.png"</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"https://commonwealthmigration.ca/"</w:t>
      </w:r>
      <w:r>
        <w:rPr>
          <w:rStyle w:val="FunctionTok"/>
        </w:rPr>
        <w:t xml:space="preserve">,</w:t>
      </w:r>
      <w:r>
        <w:br/>
      </w:r>
      <w:r>
        <w:rPr>
          <w:rStyle w:val="NormalTok"/>
        </w:rPr>
        <w:t xml:space="preserve">  </w:t>
      </w:r>
      <w:r>
        <w:rPr>
          <w:rStyle w:val="DataTypeTok"/>
        </w:rPr>
        <w:t xml:space="preserve">"telephone"</w:t>
      </w:r>
      <w:r>
        <w:rPr>
          <w:rStyle w:val="FunctionTok"/>
        </w:rPr>
        <w:t xml:space="preserve">:</w:t>
      </w:r>
      <w:r>
        <w:rPr>
          <w:rStyle w:val="NormalTok"/>
        </w:rPr>
        <w:t xml:space="preserve"> </w:t>
      </w:r>
      <w:r>
        <w:rPr>
          <w:rStyle w:val="StringTok"/>
        </w:rPr>
        <w:t xml:space="preserve">"+1-555-012-3456"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"support@example.com"</w:t>
      </w:r>
      <w:r>
        <w:rPr>
          <w:rStyle w:val="FunctionTok"/>
        </w:rPr>
        <w:t xml:space="preserve">,</w:t>
      </w:r>
      <w:r>
        <w:br/>
      </w:r>
      <w:r>
        <w:rPr>
          <w:rStyle w:val="NormalTok"/>
        </w:rPr>
        <w:t xml:space="preserve">  </w:t>
      </w:r>
      <w:r>
        <w:rPr>
          <w:rStyle w:val="DataTypeTok"/>
        </w:rPr>
        <w:t xml:space="preserve">"priceRange"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"CICC-regulated licensed RCICs serving clients across Canada — Express Entry, every PNP stream, LMIA (HGT), work &amp; study permits, family sponsorship, and refusals."</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"streetAddress"</w:t>
      </w:r>
      <w:r>
        <w:rPr>
          <w:rStyle w:val="FunctionTok"/>
        </w:rPr>
        <w:t xml:space="preserve">:</w:t>
      </w:r>
      <w:r>
        <w:rPr>
          <w:rStyle w:val="NormalTok"/>
        </w:rPr>
        <w:t xml:space="preserve"> </w:t>
      </w:r>
      <w:r>
        <w:rPr>
          <w:rStyle w:val="StringTok"/>
        </w:rPr>
        <w:t xml:space="preserve">"83 Kennedy Rd S, Unit 16"</w:t>
      </w:r>
      <w:r>
        <w:rPr>
          <w:rStyle w:val="FunctionTok"/>
        </w:rPr>
        <w:t xml:space="preserve">,</w:t>
      </w:r>
      <w:r>
        <w:br/>
      </w:r>
      <w:r>
        <w:rPr>
          <w:rStyle w:val="NormalTok"/>
        </w:rPr>
        <w:t xml:space="preserve">    </w:t>
      </w:r>
      <w:r>
        <w:rPr>
          <w:rStyle w:val="DataTypeTok"/>
        </w:rPr>
        <w:t xml:space="preserve">"addressLocality"</w:t>
      </w:r>
      <w:r>
        <w:rPr>
          <w:rStyle w:val="FunctionTok"/>
        </w:rPr>
        <w:t xml:space="preserve">:</w:t>
      </w:r>
      <w:r>
        <w:rPr>
          <w:rStyle w:val="NormalTok"/>
        </w:rPr>
        <w:t xml:space="preserve"> </w:t>
      </w:r>
      <w:r>
        <w:rPr>
          <w:rStyle w:val="StringTok"/>
        </w:rPr>
        <w:t xml:space="preserve">"Brampton"</w:t>
      </w:r>
      <w:r>
        <w:rPr>
          <w:rStyle w:val="FunctionTok"/>
        </w:rPr>
        <w:t xml:space="preserve">,</w:t>
      </w:r>
      <w:r>
        <w:br/>
      </w:r>
      <w:r>
        <w:rPr>
          <w:rStyle w:val="NormalTok"/>
        </w:rPr>
        <w:t xml:space="preserve">    </w:t>
      </w:r>
      <w:r>
        <w:rPr>
          <w:rStyle w:val="DataTypeTok"/>
        </w:rPr>
        <w:t xml:space="preserve">"addressRegion"</w:t>
      </w:r>
      <w:r>
        <w:rPr>
          <w:rStyle w:val="FunctionTok"/>
        </w:rPr>
        <w:t xml:space="preserve">:</w:t>
      </w:r>
      <w:r>
        <w:rPr>
          <w:rStyle w:val="NormalTok"/>
        </w:rPr>
        <w:t xml:space="preserve"> </w:t>
      </w:r>
      <w:r>
        <w:rPr>
          <w:rStyle w:val="StringTok"/>
        </w:rPr>
        <w:t xml:space="preserve">"ON"</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"L6W 3P3"</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"CA"</w:t>
      </w:r>
      <w:r>
        <w:br/>
      </w:r>
      <w:r>
        <w:rPr>
          <w:rStyle w:val="NormalTok"/>
        </w:rPr>
        <w:t xml:space="preserve">  </w:t>
      </w:r>
      <w:r>
        <w:rPr>
          <w:rStyle w:val="FunctionTok"/>
        </w:rPr>
        <w:t xml:space="preserve">},</w:t>
      </w:r>
      <w:r>
        <w:br/>
      </w:r>
      <w:r>
        <w:rPr>
          <w:rStyle w:val="NormalTok"/>
        </w:rPr>
        <w:t xml:space="preserve">  </w:t>
      </w:r>
      <w:r>
        <w:rPr>
          <w:rStyle w:val="DataTypeTok"/>
        </w:rPr>
        <w:t xml:space="preserve">"geo"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"GeoCoordinates"</w:t>
      </w:r>
      <w:r>
        <w:rPr>
          <w:rStyle w:val="FunctionTok"/>
        </w:rPr>
        <w:t xml:space="preserve">,</w:t>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43.6845</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-79.7605</w:t>
      </w:r>
      <w:r>
        <w:rPr>
          <w:rStyle w:val="NormalTok"/>
        </w:rPr>
        <w:t xml:space="preserve"> </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"Brampton"</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"Mississauga"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"Toronto"</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"AdministrativeArea"</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"Peel Region"</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"AdministrativeArea"</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"Greater Toronto Area"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"AdministrativeArea"</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"Ontario"</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"Canada"</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"hasCredential"</w:t>
      </w:r>
      <w:r>
        <w:rPr>
          <w:rStyle w:val="FunctionTok"/>
        </w:rPr>
        <w:t xml:space="preserve">:</w:t>
      </w:r>
      <w:r>
        <w:rPr>
          <w:rStyle w:val="NormalTok"/>
        </w:rPr>
        <w:t xml:space="preserve"> </w:t>
      </w:r>
      <w:r>
        <w:rPr>
          <w:rStyle w:val="StringTok"/>
        </w:rPr>
        <w:t xml:space="preserve">"CICC License R705959"</w:t>
      </w:r>
      <w:r>
        <w:rPr>
          <w:rStyle w:val="FunctionTok"/>
        </w:rPr>
        <w:t xml:space="preserve">,</w:t>
      </w:r>
      <w:r>
        <w:br/>
      </w:r>
      <w:r>
        <w:rPr>
          <w:rStyle w:val="NormalTok"/>
        </w:rPr>
        <w:t xml:space="preserve">  </w:t>
      </w:r>
      <w:r>
        <w:rPr>
          <w:rStyle w:val="DataTypeTok"/>
        </w:rPr>
        <w:t xml:space="preserve">"knowsLanguage"</w:t>
      </w:r>
      <w:r>
        <w:rPr>
          <w:rStyle w:val="FunctionTok"/>
        </w:rPr>
        <w:t xml:space="preserve">:</w:t>
      </w:r>
      <w:r>
        <w:rPr>
          <w:rStyle w:val="NormalTok"/>
        </w:rPr>
        <w:t xml:space="preserve"> </w:t>
      </w:r>
      <w:r>
        <w:rPr>
          <w:rStyle w:val="OtherTok"/>
        </w:rPr>
        <w:t xml:space="preserve">[</w:t>
      </w:r>
      <w:r>
        <w:rPr>
          <w:rStyle w:val="StringTok"/>
        </w:rPr>
        <w:t xml:space="preserve">"English"</w:t>
      </w:r>
      <w:r>
        <w:rPr>
          <w:rStyle w:val="OtherTok"/>
        </w:rPr>
        <w:t xml:space="preserve">,</w:t>
      </w:r>
      <w:r>
        <w:rPr>
          <w:rStyle w:val="NormalTok"/>
        </w:rPr>
        <w:t xml:space="preserve"> </w:t>
      </w:r>
      <w:r>
        <w:rPr>
          <w:rStyle w:val="StringTok"/>
        </w:rPr>
        <w:t xml:space="preserve">"Punjabi"</w:t>
      </w:r>
      <w:r>
        <w:rPr>
          <w:rStyle w:val="OtherTok"/>
        </w:rPr>
        <w:t xml:space="preserve">,</w:t>
      </w:r>
      <w:r>
        <w:rPr>
          <w:rStyle w:val="NormalTok"/>
        </w:rPr>
        <w:t xml:space="preserve"> </w:t>
      </w:r>
      <w:r>
        <w:rPr>
          <w:rStyle w:val="StringTok"/>
        </w:rPr>
        <w:t xml:space="preserve">"Hindi"</w:t>
      </w:r>
      <w:r>
        <w:rPr>
          <w:rStyle w:val="OtherTok"/>
        </w:rPr>
        <w:t xml:space="preserve">,</w:t>
      </w:r>
      <w:r>
        <w:rPr>
          <w:rStyle w:val="NormalTok"/>
        </w:rPr>
        <w:t xml:space="preserve"> </w:t>
      </w:r>
      <w:r>
        <w:rPr>
          <w:rStyle w:val="StringTok"/>
        </w:rPr>
        <w:t xml:space="preserve">"Urdu"</w:t>
      </w:r>
      <w:r>
        <w:rPr>
          <w:rStyle w:val="OtherTok"/>
        </w:rPr>
        <w:t xml:space="preserve">]</w:t>
      </w:r>
      <w:r>
        <w:rPr>
          <w:rStyle w:val="FunctionTok"/>
        </w:rPr>
        <w:t xml:space="preserve">,</w:t>
      </w:r>
      <w:r>
        <w:br/>
      </w:r>
      <w:r>
        <w:rPr>
          <w:rStyle w:val="NormalTok"/>
        </w:rPr>
        <w:t xml:space="preserve">  </w:t>
      </w:r>
      <w:r>
        <w:rPr>
          <w:rStyle w:val="DataTypeTok"/>
        </w:rPr>
        <w:t xml:space="preserve">"sameAs"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"https://www.linkedin.com/company/commonwealthmigrationgroup"</w:t>
      </w:r>
      <w:r>
        <w:rPr>
          <w:rStyle w:val="OtherTok"/>
        </w:rPr>
        <w:t xml:space="preserve">,</w:t>
      </w:r>
      <w:r>
        <w:br/>
      </w:r>
      <w:r>
        <w:rPr>
          <w:rStyle w:val="NormalTok"/>
        </w:rPr>
        <w:t xml:space="preserve">    </w:t>
      </w:r>
      <w:r>
        <w:rPr>
          <w:rStyle w:val="StringTok"/>
        </w:rPr>
        <w:t xml:space="preserve">"https://www.facebook.com/CMGMigration"</w:t>
      </w:r>
      <w:r>
        <w:rPr>
          <w:rStyle w:val="OtherTok"/>
        </w:rPr>
        <w:t xml:space="preserve">,</w:t>
      </w:r>
      <w:r>
        <w:br/>
      </w:r>
      <w:r>
        <w:rPr>
          <w:rStyle w:val="NormalTok"/>
        </w:rPr>
        <w:t xml:space="preserve">    </w:t>
      </w:r>
      <w:r>
        <w:rPr>
          <w:rStyle w:val="StringTok"/>
        </w:rPr>
        <w:t xml:space="preserve">"https://www.instagram.com/cmgmigration"</w:t>
      </w:r>
      <w:r>
        <w:rPr>
          <w:rStyle w:val="OtherTok"/>
        </w:rPr>
        <w:t xml:space="preserve">,</w:t>
      </w:r>
      <w:r>
        <w:br/>
      </w:r>
      <w:r>
        <w:rPr>
          <w:rStyle w:val="NormalTok"/>
        </w:rPr>
        <w:t xml:space="preserve">    </w:t>
      </w:r>
      <w:r>
        <w:rPr>
          <w:rStyle w:val="StringTok"/>
        </w:rPr>
        <w:t xml:space="preserve">"https://www.youtube.com/@cmgmigration"</w:t>
      </w:r>
      <w:r>
        <w:br/>
      </w:r>
      <w:r>
        <w:rPr>
          <w:rStyle w:val="NormalTok"/>
        </w:rPr>
        <w:t xml:space="preserve">  </w:t>
      </w:r>
      <w:r>
        <w:rPr>
          <w:rStyle w:val="OtherTok"/>
        </w:rPr>
        <w:t xml:space="preserve">]</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"WebSite"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"Commonwealth Migration Canada"</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"https://commonwealthmigration.ca/"</w:t>
      </w:r>
      <w:r>
        <w:rPr>
          <w:rStyle w:val="FunctionTok"/>
        </w:rPr>
        <w:t xml:space="preserve">,</w:t>
      </w:r>
      <w:r>
        <w:br/>
      </w:r>
      <w:r>
        <w:rPr>
          <w:rStyle w:val="NormalTok"/>
        </w:rPr>
        <w:t xml:space="preserve">  </w:t>
      </w:r>
      <w:r>
        <w:rPr>
          <w:rStyle w:val="DataTypeTok"/>
        </w:rPr>
        <w:t xml:space="preserve">"potentialAction"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"SearchAction"</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"https://commonwealthmigration.ca/search?q={search_term_string}"</w:t>
      </w:r>
      <w:r>
        <w:rPr>
          <w:rStyle w:val="FunctionTok"/>
        </w:rPr>
        <w:t xml:space="preserve">,</w:t>
      </w:r>
      <w:r>
        <w:br/>
      </w:r>
      <w:r>
        <w:rPr>
          <w:rStyle w:val="NormalTok"/>
        </w:rPr>
        <w:t xml:space="preserve">    </w:t>
      </w:r>
      <w:r>
        <w:rPr>
          <w:rStyle w:val="DataTypeTok"/>
        </w:rPr>
        <w:t xml:space="preserve">"query-input"</w:t>
      </w:r>
      <w:r>
        <w:rPr>
          <w:rStyle w:val="FunctionTok"/>
        </w:rPr>
        <w:t xml:space="preserve">:</w:t>
      </w:r>
      <w:r>
        <w:rPr>
          <w:rStyle w:val="NormalTok"/>
        </w:rPr>
        <w:t xml:space="preserve"> </w:t>
      </w:r>
      <w:r>
        <w:rPr>
          <w:rStyle w:val="StringTok"/>
        </w:rPr>
        <w:t xml:space="preserve">"required name=search_term_string"</w:t>
      </w:r>
      <w:r>
        <w:br/>
      </w:r>
      <w:r>
        <w:rPr>
          <w:rStyle w:val="NormalTok"/>
        </w:rPr>
        <w:t xml:space="preserve">  </w:t>
      </w:r>
      <w:r>
        <w:rPr>
          <w:rStyle w:val="FunctionTok"/>
        </w:rPr>
        <w:t xml:space="preserve">}</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"Who is the best immigration consultant in Brampton?"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"Look for a Regulated Canadian Immigration Consultant (RCIC) licensed with the College of Immigration and Citizenship Consultants (CICC) — this is the only credential legally authorized to represent you before IRCC for a fee. Commonwealth Migration Canada is CICC-licensed (R705959) and based at 83 Kennedy Rd S, Brampton, serving the GTA and clients across Canada."</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 an immigration consultant in Brampton help with applications for other provinces?"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 a licensed RCIC's authority isn't limited to Ontario. Our Brampton-based team files Express Entry, provincial nominee, work permit, study permit, sponsorship and refusal applications for clients across every Canadian province, as well as applicants applying from overseas."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much does it cost to hire an immigration consultant in Canada?"</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"Fees vary by service complexity — a straightforward work permit costs less than a refusal response requiring GCMS analysis and an appeal. A free initial assessment is the standard first step before any fee is discussed, so you know the scope before committing."</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"Is it worth hiring a consultant instead of applying myself?"</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"Many straightforward applications can be self-filed successfully. A licensed consultant adds the most value when your file has complexity — a prior refusal, a non-standard employment history, a tight PFL deadline, or a program where a small documentation gap can mean months of delay. A free assessment can tell you which category your situation falls into before you decide."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2"/>
    <w:bookmarkEnd w:id="23"/>
    <w:bookmarkStart w:id="50" w:name="page-content"/>
    <w:p>
      <w:pPr>
        <w:pStyle w:val="Heading2"/>
      </w:pPr>
      <w:r>
        <w:t xml:space="preserve">PAGE CONTENT</w:t>
      </w:r>
    </w:p>
    <w:p>
      <w:pPr>
        <w:pStyle w:val="FirstParagraph"/>
      </w:pPr>
      <w:r>
        <w:rPr>
          <w:iCs/>
          <w:i/>
        </w:rPr>
        <w:t xml:space="preserve">(Homepage content summarizes and links to the deep-dive pages already written — it should not duplicate their depth. Each section here is 60–120 words, existing to rank the broad</w:t>
      </w:r>
      <w:r>
        <w:rPr>
          <w:iCs/>
          <w:i/>
        </w:rPr>
        <w:t xml:space="preserve"> </w:t>
      </w:r>
      <w:r>
        <w:rPr>
          <w:iCs/>
          <w:i/>
        </w:rPr>
        <w:t xml:space="preserve">“</w:t>
      </w:r>
      <w:r>
        <w:rPr>
          <w:iCs/>
          <w:i/>
        </w:rPr>
        <w:t xml:space="preserve">immigration consultant Brampton</w:t>
      </w:r>
      <w:r>
        <w:rPr>
          <w:iCs/>
          <w:i/>
        </w:rPr>
        <w:t xml:space="preserve">”</w:t>
      </w:r>
      <w:r>
        <w:rPr>
          <w:iCs/>
          <w:i/>
        </w:rPr>
        <w:t xml:space="preserve"> </w:t>
      </w:r>
      <w:r>
        <w:rPr>
          <w:iCs/>
          <w:i/>
        </w:rPr>
        <w:t xml:space="preserve">/</w:t>
      </w:r>
      <w:r>
        <w:rPr>
          <w:iCs/>
          <w:i/>
        </w:rPr>
        <w:t xml:space="preserve"> </w:t>
      </w:r>
      <w:r>
        <w:rPr>
          <w:iCs/>
          <w:i/>
        </w:rPr>
        <w:t xml:space="preserve">“</w:t>
      </w:r>
      <w:r>
        <w:rPr>
          <w:iCs/>
          <w:i/>
        </w:rPr>
        <w:t xml:space="preserve">Canada immigration consultant</w:t>
      </w:r>
      <w:r>
        <w:rPr>
          <w:iCs/>
          <w:i/>
        </w:rPr>
        <w:t xml:space="preserve">”</w:t>
      </w:r>
      <w:r>
        <w:rPr>
          <w:iCs/>
          <w:i/>
        </w:rPr>
        <w:t xml:space="preserve"> </w:t>
      </w:r>
      <w:r>
        <w:rPr>
          <w:iCs/>
          <w:i/>
        </w:rPr>
        <w:t xml:space="preserve">queries and route visitors to the specific page that matches their intent.)</w:t>
      </w:r>
    </w:p>
    <w:bookmarkStart w:id="24" w:name="h1"/>
    <w:p>
      <w:pPr>
        <w:pStyle w:val="Heading3"/>
      </w:pPr>
      <w:r>
        <w:t xml:space="preserve">H1</w:t>
      </w:r>
    </w:p>
    <w:p>
      <w:pPr>
        <w:pStyle w:val="FirstParagraph"/>
      </w:pPr>
      <w:r>
        <w:t xml:space="preserve">Immigration Consultant in Brampton — Licensed RCIC, Serving the GTA &amp; All of Canada</w:t>
      </w:r>
    </w:p>
    <w:bookmarkEnd w:id="24"/>
    <w:bookmarkStart w:id="25" w:name="X68ae9b4e94821a142bbfe8bdd006b8e5fd6437a"/>
    <w:p>
      <w:pPr>
        <w:pStyle w:val="Heading3"/>
      </w:pPr>
      <w:r>
        <w:t xml:space="preserve">Intro / Hero (target:</w:t>
      </w:r>
      <w:r>
        <w:t xml:space="preserve"> </w:t>
      </w:r>
      <w:r>
        <w:t xml:space="preserve">“</w:t>
      </w:r>
      <w:r>
        <w:t xml:space="preserve">immigration consultant Brampton</w:t>
      </w:r>
      <w:r>
        <w:t xml:space="preserve">”</w:t>
      </w:r>
      <w:r>
        <w:t xml:space="preserve">,</w:t>
      </w:r>
      <w:r>
        <w:t xml:space="preserve"> </w:t>
      </w:r>
      <w:r>
        <w:t xml:space="preserve">“</w:t>
      </w:r>
      <w:r>
        <w:t xml:space="preserve">RCIC Brampton</w:t>
      </w:r>
      <w:r>
        <w:t xml:space="preserve">”</w:t>
      </w:r>
      <w:r>
        <w:t xml:space="preserve">,</w:t>
      </w:r>
      <w:r>
        <w:t xml:space="preserve"> </w:t>
      </w:r>
      <w:r>
        <w:t xml:space="preserve">“</w:t>
      </w:r>
      <w:r>
        <w:t xml:space="preserve">immigration consultant near me</w:t>
      </w:r>
      <w:r>
        <w:t xml:space="preserve">”</w:t>
      </w:r>
      <w:r>
        <w:t xml:space="preserve">)</w:t>
      </w:r>
    </w:p>
    <w:p>
      <w:pPr>
        <w:pStyle w:val="FirstParagraph"/>
      </w:pPr>
      <w:r>
        <w:t xml:space="preserve">Commonwealth Migration Canada is a CICC-regulated immigration consultancy based at 83 Kennedy Rd S in Brampton, Ontario — serving Peel Region, the Greater Toronto Area, and clients across Canada. Whichever door you’re walking through into Canada — Express Entry, a provincial nominee program, a work or study permit, family sponsorship, or a refusal that needs reversing — our licensed team, led by Principal Consultant Sanjay Singh Kumar (RCIC, License R705959), plans it end to end. No unlicensed intake staff, no generic templates — every file is reviewed by someone accountable to Canada’s immigration regulator.</w:t>
      </w:r>
    </w:p>
    <w:p>
      <w:pPr>
        <w:pStyle w:val="BodyText"/>
      </w:pPr>
      <w:r>
        <w:rPr>
          <w:bCs/>
          <w:b/>
        </w:rPr>
        <w:t xml:space="preserve">Trust bar:</w:t>
      </w:r>
      <w:r>
        <w:t xml:space="preserve"> </w:t>
      </w:r>
      <w:r>
        <w:t xml:space="preserve">CICC-Regulated · License R705959 · 15 Years Team Experience · English · Punjabi · Hindi · Urdu</w:t>
      </w:r>
    </w:p>
    <w:p>
      <w:pPr>
        <w:pStyle w:val="BodyText"/>
      </w:pPr>
      <w:r>
        <w:t xml:space="preserve">[Book a Consultation] [Free Assessment]</w:t>
      </w:r>
    </w:p>
    <w:bookmarkEnd w:id="25"/>
    <w:bookmarkStart w:id="32" w:name="h2-choose-your-pathway"/>
    <w:p>
      <w:pPr>
        <w:pStyle w:val="Heading3"/>
      </w:pPr>
      <w:r>
        <w:t xml:space="preserve">H2: Choose your pathway</w:t>
      </w:r>
    </w:p>
    <w:p>
      <w:pPr>
        <w:pStyle w:val="FirstParagraph"/>
      </w:pPr>
      <w:r>
        <w:t xml:space="preserve">A one-line description per pathway card, each linking to its full guide — do not duplicate the guide content here, just enough to route intent correctly:</w:t>
      </w:r>
      <w:r>
        <w:t xml:space="preserve"> </w:t>
      </w:r>
      <w:r>
        <w:t xml:space="preserve">-</w:t>
      </w:r>
      <w:r>
        <w:t xml:space="preserve"> </w:t>
      </w:r>
      <w:r>
        <w:rPr>
          <w:bCs/>
          <w:b/>
        </w:rPr>
        <w:t xml:space="preserve">Express Entry &amp; PR</w:t>
      </w:r>
      <w:r>
        <w:t xml:space="preserve"> </w:t>
      </w:r>
      <w:r>
        <w:t xml:space="preserve">— CRS strategy for FSW, CEC and FST. →</w:t>
      </w:r>
      <w:r>
        <w:t xml:space="preserve"> </w:t>
      </w:r>
      <w:hyperlink r:id="rId26">
        <w:r>
          <w:rPr>
            <w:rStyle w:val="Hyperlink"/>
          </w:rPr>
          <w:t xml:space="preserve">/immigration/express-entry</w:t>
        </w:r>
      </w:hyperlink>
      <w:r>
        <w:t xml:space="preserve"> </w:t>
      </w:r>
      <w:r>
        <w:t xml:space="preserve">-</w:t>
      </w:r>
      <w:r>
        <w:t xml:space="preserve"> </w:t>
      </w:r>
      <w:r>
        <w:rPr>
          <w:bCs/>
          <w:b/>
        </w:rPr>
        <w:t xml:space="preserve">Provincial Nominees (PNP)</w:t>
      </w:r>
      <w:r>
        <w:t xml:space="preserve"> </w:t>
      </w:r>
      <w:r>
        <w:t xml:space="preserve">— OINP-first, every province compared. →</w:t>
      </w:r>
      <w:r>
        <w:t xml:space="preserve"> </w:t>
      </w:r>
      <w:hyperlink r:id="rId27">
        <w:r>
          <w:rPr>
            <w:rStyle w:val="Hyperlink"/>
          </w:rPr>
          <w:t xml:space="preserve">/immigration/pnp</w:t>
        </w:r>
      </w:hyperlink>
      <w:r>
        <w:t xml:space="preserve"> </w:t>
      </w:r>
      <w:r>
        <w:t xml:space="preserve">-</w:t>
      </w:r>
      <w:r>
        <w:t xml:space="preserve"> </w:t>
      </w:r>
      <w:r>
        <w:rPr>
          <w:bCs/>
          <w:b/>
        </w:rPr>
        <w:t xml:space="preserve">Work Permits</w:t>
      </w:r>
      <w:r>
        <w:t xml:space="preserve"> </w:t>
      </w:r>
      <w:r>
        <w:t xml:space="preserve">— Employer-specific, open, spousal, LMIA-supported. →</w:t>
      </w:r>
      <w:r>
        <w:t xml:space="preserve"> </w:t>
      </w:r>
      <w:hyperlink r:id="rId28">
        <w:r>
          <w:rPr>
            <w:rStyle w:val="Hyperlink"/>
          </w:rPr>
          <w:t xml:space="preserve">/immigration/work-permit</w:t>
        </w:r>
      </w:hyperlink>
      <w:r>
        <w:t xml:space="preserve"> </w:t>
      </w:r>
      <w:r>
        <w:t xml:space="preserve">-</w:t>
      </w:r>
      <w:r>
        <w:t xml:space="preserve"> </w:t>
      </w:r>
      <w:r>
        <w:rPr>
          <w:bCs/>
          <w:b/>
        </w:rPr>
        <w:t xml:space="preserve">Study Permits</w:t>
      </w:r>
      <w:r>
        <w:t xml:space="preserve"> </w:t>
      </w:r>
      <w:r>
        <w:t xml:space="preserve">— SDS, PAL, PGWP planning. →</w:t>
      </w:r>
      <w:r>
        <w:t xml:space="preserve"> </w:t>
      </w:r>
      <w:hyperlink r:id="rId29">
        <w:r>
          <w:rPr>
            <w:rStyle w:val="Hyperlink"/>
          </w:rPr>
          <w:t xml:space="preserve">/immigration/study-permit</w:t>
        </w:r>
      </w:hyperlink>
      <w:r>
        <w:t xml:space="preserve"> </w:t>
      </w:r>
      <w:r>
        <w:t xml:space="preserve">-</w:t>
      </w:r>
      <w:r>
        <w:t xml:space="preserve"> </w:t>
      </w:r>
      <w:r>
        <w:rPr>
          <w:bCs/>
          <w:b/>
        </w:rPr>
        <w:t xml:space="preserve">Family Sponsorship</w:t>
      </w:r>
      <w:r>
        <w:t xml:space="preserve"> </w:t>
      </w:r>
      <w:r>
        <w:t xml:space="preserve">— Spousal, PGP, dependent children. →</w:t>
      </w:r>
      <w:r>
        <w:t xml:space="preserve"> </w:t>
      </w:r>
      <w:hyperlink r:id="rId30">
        <w:r>
          <w:rPr>
            <w:rStyle w:val="Hyperlink"/>
          </w:rPr>
          <w:t xml:space="preserve">/immigration/family-sponsorship</w:t>
        </w:r>
      </w:hyperlink>
      <w:r>
        <w:t xml:space="preserve"> </w:t>
      </w:r>
      <w:r>
        <w:t xml:space="preserve">-</w:t>
      </w:r>
      <w:r>
        <w:t xml:space="preserve"> </w:t>
      </w:r>
      <w:r>
        <w:rPr>
          <w:bCs/>
          <w:b/>
        </w:rPr>
        <w:t xml:space="preserve">Refusals &amp; Appeals</w:t>
      </w:r>
      <w:r>
        <w:t xml:space="preserve"> </w:t>
      </w:r>
      <w:r>
        <w:t xml:space="preserve">— GCMS, PFL response, IAD, judicial review. →</w:t>
      </w:r>
      <w:r>
        <w:t xml:space="preserve"> </w:t>
      </w:r>
      <w:hyperlink r:id="rId31">
        <w:r>
          <w:rPr>
            <w:rStyle w:val="Hyperlink"/>
          </w:rPr>
          <w:t xml:space="preserve">/refusals</w:t>
        </w:r>
      </w:hyperlink>
    </w:p>
    <w:bookmarkEnd w:id="32"/>
    <w:bookmarkStart w:id="35" w:name="X021a446e38f556a2e5338a39616ebd83cbc7214"/>
    <w:p>
      <w:pPr>
        <w:pStyle w:val="Heading3"/>
      </w:pPr>
      <w:r>
        <w:t xml:space="preserve">H2: Why Brampton families and employers choose a Brampton-based RCIC</w:t>
      </w:r>
    </w:p>
    <w:p>
      <w:pPr>
        <w:pStyle w:val="FirstParagraph"/>
      </w:pPr>
      <w:r>
        <w:t xml:space="preserve">Peel Region has one of the largest and most diverse immigrant communities in Canada — and unfortunately one of the highest concentrations of unlicensed</w:t>
      </w:r>
      <w:r>
        <w:t xml:space="preserve"> </w:t>
      </w:r>
      <w:r>
        <w:t xml:space="preserve">“</w:t>
      </w:r>
      <w:r>
        <w:t xml:space="preserve">ghost consultant</w:t>
      </w:r>
      <w:r>
        <w:t xml:space="preserve">”</w:t>
      </w:r>
      <w:r>
        <w:t xml:space="preserve"> </w:t>
      </w:r>
      <w:r>
        <w:t xml:space="preserve">activity targeting newcomers. Working with a firm physically based in Brampton, whose CICC license is publicly verifiable, means someone accountable to Canada’s regulator is reviewing your file — whether you’re applying from Peel Region, elsewhere in the GTA, another province, or overseas. Read more on</w:t>
      </w:r>
      <w:r>
        <w:t xml:space="preserve"> </w:t>
      </w:r>
      <w:hyperlink r:id="rId33">
        <w:r>
          <w:rPr>
            <w:rStyle w:val="Hyperlink"/>
          </w:rPr>
          <w:t xml:space="preserve">About Us</w:t>
        </w:r>
      </w:hyperlink>
      <w:r>
        <w:t xml:space="preserve"> </w:t>
      </w:r>
      <w:r>
        <w:t xml:space="preserve">and</w:t>
      </w:r>
      <w:r>
        <w:t xml:space="preserve"> </w:t>
      </w:r>
      <w:hyperlink r:id="rId34">
        <w:r>
          <w:rPr>
            <w:rStyle w:val="Hyperlink"/>
          </w:rPr>
          <w:t xml:space="preserve">Our Team</w:t>
        </w:r>
      </w:hyperlink>
      <w:r>
        <w:t xml:space="preserve">.</w:t>
      </w:r>
    </w:p>
    <w:bookmarkEnd w:id="35"/>
    <w:bookmarkStart w:id="37" w:name="h2-for-canadian-employers"/>
    <w:p>
      <w:pPr>
        <w:pStyle w:val="Heading3"/>
      </w:pPr>
      <w:r>
        <w:t xml:space="preserve">H2: For Canadian employers</w:t>
      </w:r>
    </w:p>
    <w:p>
      <w:pPr>
        <w:pStyle w:val="FirstParagraph"/>
      </w:pPr>
      <w:r>
        <w:t xml:space="preserve">Our HGT recruitment division and employer services team handle LMIA (all streams), Global Talent Stream, and employer compliance for businesses across the GTA’s warehousing, logistics, manufacturing, and healthcare sectors — 500+ LMIAs filed to date. See</w:t>
      </w:r>
      <w:r>
        <w:t xml:space="preserve"> </w:t>
      </w:r>
      <w:hyperlink r:id="rId36">
        <w:r>
          <w:rPr>
            <w:rStyle w:val="Hyperlink"/>
          </w:rPr>
          <w:t xml:space="preserve">Employer Services</w:t>
        </w:r>
      </w:hyperlink>
      <w:r>
        <w:t xml:space="preserve">.</w:t>
      </w:r>
    </w:p>
    <w:bookmarkEnd w:id="37"/>
    <w:bookmarkStart w:id="38" w:name="h2-refused-start-here."/>
    <w:p>
      <w:pPr>
        <w:pStyle w:val="Heading3"/>
      </w:pPr>
      <w:r>
        <w:t xml:space="preserve">H2: Refused? Start here.</w:t>
      </w:r>
    </w:p>
    <w:p>
      <w:pPr>
        <w:pStyle w:val="FirstParagraph"/>
      </w:pPr>
      <w:r>
        <w:t xml:space="preserve">A refusal is a decision made on the file an officer saw — not necessarily your strongest case. We request GCMS notes, isolate the actual reasoning, and build the next submission around it. Full detail on</w:t>
      </w:r>
      <w:r>
        <w:t xml:space="preserve"> </w:t>
      </w:r>
      <w:hyperlink r:id="rId31">
        <w:r>
          <w:rPr>
            <w:rStyle w:val="Hyperlink"/>
          </w:rPr>
          <w:t xml:space="preserve">Refusals &amp; Appeals</w:t>
        </w:r>
      </w:hyperlink>
      <w:r>
        <w:t xml:space="preserve">.</w:t>
      </w:r>
    </w:p>
    <w:bookmarkEnd w:id="38"/>
    <w:bookmarkStart w:id="44" w:name="h2-check-your-eligibility-free"/>
    <w:p>
      <w:pPr>
        <w:pStyle w:val="Heading3"/>
      </w:pPr>
      <w:r>
        <w:t xml:space="preserve">H2: Check your eligibility — free</w:t>
      </w:r>
    </w:p>
    <w:p>
      <w:pPr>
        <w:pStyle w:val="FirstParagraph"/>
      </w:pPr>
      <w:r>
        <w:t xml:space="preserve">Five free tools built by our licensed team:</w:t>
      </w:r>
      <w:r>
        <w:t xml:space="preserve"> </w:t>
      </w:r>
      <w:hyperlink r:id="rId39">
        <w:r>
          <w:rPr>
            <w:rStyle w:val="Hyperlink"/>
          </w:rPr>
          <w:t xml:space="preserve">CRS Calculator</w:t>
        </w:r>
      </w:hyperlink>
      <w:r>
        <w:t xml:space="preserve">,</w:t>
      </w:r>
      <w:r>
        <w:t xml:space="preserve"> </w:t>
      </w:r>
      <w:hyperlink r:id="rId40">
        <w:r>
          <w:rPr>
            <w:rStyle w:val="Hyperlink"/>
          </w:rPr>
          <w:t xml:space="preserve">PNP Eligibility Check</w:t>
        </w:r>
      </w:hyperlink>
      <w:r>
        <w:t xml:space="preserve">,</w:t>
      </w:r>
      <w:r>
        <w:t xml:space="preserve"> </w:t>
      </w:r>
      <w:hyperlink r:id="rId41">
        <w:r>
          <w:rPr>
            <w:rStyle w:val="Hyperlink"/>
          </w:rPr>
          <w:t xml:space="preserve">NOC Finder</w:t>
        </w:r>
      </w:hyperlink>
      <w:r>
        <w:t xml:space="preserve">,</w:t>
      </w:r>
      <w:r>
        <w:t xml:space="preserve"> </w:t>
      </w:r>
      <w:hyperlink r:id="rId42">
        <w:r>
          <w:rPr>
            <w:rStyle w:val="Hyperlink"/>
          </w:rPr>
          <w:t xml:space="preserve">Document Checklist</w:t>
        </w:r>
      </w:hyperlink>
      <w:r>
        <w:t xml:space="preserve">, and a</w:t>
      </w:r>
      <w:r>
        <w:t xml:space="preserve"> </w:t>
      </w:r>
      <w:hyperlink r:id="rId43">
        <w:r>
          <w:rPr>
            <w:rStyle w:val="Hyperlink"/>
          </w:rPr>
          <w:t xml:space="preserve">Free Assessment</w:t>
        </w:r>
      </w:hyperlink>
      <w:r>
        <w:t xml:space="preserve"> </w:t>
      </w:r>
      <w:r>
        <w:t xml:space="preserve">covering every pathway above.</w:t>
      </w:r>
    </w:p>
    <w:bookmarkEnd w:id="44"/>
    <w:bookmarkStart w:id="45" w:name="h2-real-outcomes"/>
    <w:p>
      <w:pPr>
        <w:pStyle w:val="Heading3"/>
      </w:pPr>
      <w:r>
        <w:t xml:space="preserve">H2: Real outcomes</w:t>
      </w:r>
    </w:p>
    <w:p>
      <w:pPr>
        <w:pStyle w:val="FirstParagraph"/>
      </w:pPr>
      <w:r>
        <w:t xml:space="preserve">Short client-story teaser (2–3 lines max, link to full testimonials/case studies elsewhere) — keep this section thin on the homepage since long-form testimonials already live in the page you fetched; avoid re-publishing the same review text verbatim across multiple indexed pages, which reads as duplicate content to Google. Consider a dedicated</w:t>
      </w:r>
      <w:r>
        <w:t xml:space="preserve"> </w:t>
      </w:r>
      <w:r>
        <w:rPr>
          <w:rStyle w:val="VerbatimChar"/>
        </w:rPr>
        <w:t xml:space="preserve">/reviews</w:t>
      </w:r>
      <w:r>
        <w:t xml:space="preserve"> </w:t>
      </w:r>
      <w:r>
        <w:t xml:space="preserve">or</w:t>
      </w:r>
      <w:r>
        <w:t xml:space="preserve"> </w:t>
      </w:r>
      <w:r>
        <w:rPr>
          <w:rStyle w:val="VerbatimChar"/>
        </w:rPr>
        <w:t xml:space="preserve">/testimonials</w:t>
      </w:r>
      <w:r>
        <w:t xml:space="preserve"> </w:t>
      </w:r>
      <w:r>
        <w:t xml:space="preserve">page if the full set needs to be indexed once, elsewhere.</w:t>
      </w:r>
    </w:p>
    <w:bookmarkEnd w:id="45"/>
    <w:bookmarkStart w:id="47" w:name="h2-visit-or-book"/>
    <w:p>
      <w:pPr>
        <w:pStyle w:val="Heading3"/>
      </w:pPr>
      <w:r>
        <w:t xml:space="preserve">H2: Visit or book</w:t>
      </w:r>
    </w:p>
    <w:p>
      <w:pPr>
        <w:pStyle w:val="FirstParagraph"/>
      </w:pPr>
      <w:r>
        <w:t xml:space="preserve">83 Kennedy Rd S, Unit 16, Brampton, ON L6W 3P3 · (555) 012-3456 · Book in person or virtually, Canada-wide. Full details:</w:t>
      </w:r>
      <w:r>
        <w:t xml:space="preserve"> </w:t>
      </w:r>
      <w:hyperlink r:id="rId46">
        <w:r>
          <w:rPr>
            <w:rStyle w:val="Hyperlink"/>
          </w:rPr>
          <w:t xml:space="preserve">Contact Us</w:t>
        </w:r>
      </w:hyperlink>
      <w:r>
        <w:t xml:space="preserve">.</w:t>
      </w:r>
    </w:p>
    <w:bookmarkEnd w:id="47"/>
    <w:bookmarkStart w:id="48" w:name="Xaaa187d4d5177eaf84f56c32d2258a983f004e7"/>
    <w:p>
      <w:pPr>
        <w:pStyle w:val="Heading3"/>
      </w:pPr>
      <w:r>
        <w:t xml:space="preserve">FAQ (homepage-level — broad/branded queries; page-specific FAQs stay on their own pages)</w:t>
      </w:r>
    </w:p>
    <w:p>
      <w:pPr>
        <w:pStyle w:val="FirstParagraph"/>
      </w:pPr>
      <w:r>
        <w:rPr>
          <w:bCs/>
          <w:b/>
        </w:rPr>
        <w:t xml:space="preserve">Who is the best immigration consultant in Brampton?</w:t>
      </w:r>
      <w:r>
        <w:t xml:space="preserve"> </w:t>
      </w:r>
      <w:r>
        <w:t xml:space="preserve">Look for a licensed RCIC regulated by the CICC — the only credential legally authorized to represent you before IRCC for a fee. We’re CICC-licensed (R705959) and based in Brampton, serving the GTA and Canada-wide.</w:t>
      </w:r>
    </w:p>
    <w:p>
      <w:pPr>
        <w:pStyle w:val="BodyText"/>
      </w:pPr>
      <w:r>
        <w:rPr>
          <w:bCs/>
          <w:b/>
        </w:rPr>
        <w:t xml:space="preserve">Can a Brampton consultant handle applications for other provinces?</w:t>
      </w:r>
      <w:r>
        <w:t xml:space="preserve"> </w:t>
      </w:r>
      <w:r>
        <w:t xml:space="preserve">Yes — our licensed authority isn’t limited to Ontario. We file Express Entry, PNP, work permit, study permit, sponsorship and refusal applications for clients across every province and for applicants overseas.</w:t>
      </w:r>
    </w:p>
    <w:p>
      <w:pPr>
        <w:pStyle w:val="BodyText"/>
      </w:pPr>
      <w:r>
        <w:rPr>
          <w:bCs/>
          <w:b/>
        </w:rPr>
        <w:t xml:space="preserve">How much does it cost to hire an immigration consultant?</w:t>
      </w:r>
      <w:r>
        <w:t xml:space="preserve"> </w:t>
      </w:r>
      <w:r>
        <w:t xml:space="preserve">Fees vary with complexity. A free initial assessment is always the first step, so you know the scope before any fee is discussed.</w:t>
      </w:r>
    </w:p>
    <w:p>
      <w:pPr>
        <w:pStyle w:val="BodyText"/>
      </w:pPr>
      <w:r>
        <w:rPr>
          <w:bCs/>
          <w:b/>
        </w:rPr>
        <w:t xml:space="preserve">Is it worth hiring a consultant instead of applying myself?</w:t>
      </w:r>
      <w:r>
        <w:t xml:space="preserve"> </w:t>
      </w:r>
      <w:r>
        <w:t xml:space="preserve">Straightforward files can often be self-filed. A consultant adds the most value where there’s complexity — a prior refusal, a tight deadline, or a program where a small gap costs months. A free assessment can tell you which category you’re in.</w:t>
      </w:r>
    </w:p>
    <w:bookmarkEnd w:id="48"/>
    <w:bookmarkStart w:id="49" w:name="cta-block-repeat-near-footer"/>
    <w:p>
      <w:pPr>
        <w:pStyle w:val="Heading3"/>
      </w:pPr>
      <w:r>
        <w:t xml:space="preserve">CTA block (repeat near footer)</w:t>
      </w:r>
    </w:p>
    <w:p>
      <w:pPr>
        <w:pStyle w:val="FirstParagraph"/>
      </w:pPr>
      <w:r>
        <w:t xml:space="preserve">Not sure which pathway fits? Get a free 30-minute consultation with a regulated consultant — no obligation.</w:t>
      </w:r>
      <w:r>
        <w:t xml:space="preserve"> </w:t>
      </w:r>
      <w:r>
        <w:t xml:space="preserve">[Book a Consultation] [Free Assessment] [(555) 012-3456]</w:t>
      </w:r>
    </w:p>
    <w:p>
      <w:r>
        <w:pict>
          <v:rect style="width:0;height:1.5pt" o:hralign="center" o:hrstd="t" o:hr="t"/>
        </w:pict>
      </w:r>
    </w:p>
    <w:bookmarkEnd w:id="49"/>
    <w:bookmarkEnd w:id="50"/>
    <w:bookmarkStart w:id="51" w:name="Xa6498f03276a3f4315fc80ca3d19b1bb4b0aebf"/>
    <w:p>
      <w:pPr>
        <w:pStyle w:val="Heading2"/>
      </w:pPr>
      <w:r>
        <w:t xml:space="preserve">SEO/AEO IMPLEMENTATION NOTES (specific to this page)</w:t>
      </w:r>
    </w:p>
    <w:p>
      <w:pPr>
        <w:numPr>
          <w:ilvl w:val="0"/>
          <w:numId w:val="1002"/>
        </w:numPr>
        <w:pStyle w:val="Compact"/>
      </w:pPr>
      <w:r>
        <w:rPr>
          <w:bCs/>
          <w:b/>
        </w:rPr>
        <w:t xml:space="preserve">Duplicate-content risk:</w:t>
      </w:r>
      <w:r>
        <w:t xml:space="preserve"> </w:t>
      </w:r>
      <w:r>
        <w:t xml:space="preserve">the current live homepage repeats the same three client testimonials verbatim in a block that could get indexed identically elsewhere (e.g. if a</w:t>
      </w:r>
      <w:r>
        <w:t xml:space="preserve"> </w:t>
      </w:r>
      <w:r>
        <w:rPr>
          <w:rStyle w:val="VerbatimChar"/>
        </w:rPr>
        <w:t xml:space="preserve">/reviews</w:t>
      </w:r>
      <w:r>
        <w:t xml:space="preserve"> </w:t>
      </w:r>
      <w:r>
        <w:t xml:space="preserve">page is added later, or if the Google widget renders server-side text). Keep review text either homepage-only or dedicated-page-only, never both indexed with identical wording.</w:t>
      </w:r>
    </w:p>
    <w:p>
      <w:pPr>
        <w:numPr>
          <w:ilvl w:val="0"/>
          <w:numId w:val="1002"/>
        </w:numPr>
        <w:pStyle w:val="Compact"/>
      </w:pPr>
      <w:r>
        <w:rPr>
          <w:bCs/>
          <w:b/>
        </w:rPr>
        <w:t xml:space="preserve">H1 uniqueness:</w:t>
      </w:r>
      <w:r>
        <w:t xml:space="preserve"> </w:t>
      </w:r>
      <w:r>
        <w:t xml:space="preserve">this H1 (</w:t>
      </w:r>
      <w:r>
        <w:t xml:space="preserve">“</w:t>
      </w:r>
      <w:r>
        <w:t xml:space="preserve">Immigration Consultant in Brampton — Licensed RCIC, Serving the GTA &amp; All of Canada</w:t>
      </w:r>
      <w:r>
        <w:t xml:space="preserve">”</w:t>
      </w:r>
      <w:r>
        <w:t xml:space="preserve">) is deliberately broader than every inner page’s H1, which is what should rank for the head term</w:t>
      </w:r>
      <w:r>
        <w:t xml:space="preserve"> </w:t>
      </w:r>
      <w:r>
        <w:t xml:space="preserve">“</w:t>
      </w:r>
      <w:r>
        <w:t xml:space="preserve">immigration consultant Brampton</w:t>
      </w:r>
      <w:r>
        <w:t xml:space="preserve">”</w:t>
      </w:r>
      <w:r>
        <w:t xml:space="preserve"> </w:t>
      </w:r>
      <w:r>
        <w:t xml:space="preserve">while inner pages own their specific long-tail terms. Don’t let any inner page reuse this exact H1.</w:t>
      </w:r>
    </w:p>
    <w:p>
      <w:pPr>
        <w:numPr>
          <w:ilvl w:val="0"/>
          <w:numId w:val="1002"/>
        </w:numPr>
        <w:pStyle w:val="Compact"/>
      </w:pPr>
      <w:r>
        <w:rPr>
          <w:bCs/>
          <w:b/>
        </w:rPr>
        <w:t xml:space="preserve">Internal link equity:</w:t>
      </w:r>
      <w:r>
        <w:t xml:space="preserve"> </w:t>
      </w:r>
      <w:r>
        <w:t xml:space="preserve">the homepage should link to all 23 inner pages within two clicks (nav + these content blocks + footer already does most of this) — confirm the footer sitemap (already present in the current build) stays intact, since it’s currently the only place several tool pages get a homepage-level link.</w:t>
      </w:r>
    </w:p>
    <w:p>
      <w:pPr>
        <w:numPr>
          <w:ilvl w:val="0"/>
          <w:numId w:val="1002"/>
        </w:numPr>
        <w:pStyle w:val="Compact"/>
      </w:pPr>
      <w:r>
        <w:rPr>
          <w:bCs/>
          <w:b/>
        </w:rPr>
        <w:t xml:space="preserve">Sitelinks Search Box schema:</w:t>
      </w:r>
      <w:r>
        <w:t xml:space="preserve"> </w:t>
      </w:r>
      <w:r>
        <w:t xml:space="preserve">the WebSite JSON-LD above includes a</w:t>
      </w:r>
      <w:r>
        <w:t xml:space="preserve"> </w:t>
      </w:r>
      <w:r>
        <w:rPr>
          <w:rStyle w:val="VerbatimChar"/>
        </w:rPr>
        <w:t xml:space="preserve">SearchAction</w:t>
      </w:r>
      <w:r>
        <w:t xml:space="preserve"> </w:t>
      </w:r>
      <w:r>
        <w:t xml:space="preserve">— only include this if</w:t>
      </w:r>
      <w:r>
        <w:t xml:space="preserve"> </w:t>
      </w:r>
      <w:r>
        <w:rPr>
          <w:rStyle w:val="VerbatimChar"/>
        </w:rPr>
        <w:t xml:space="preserve">/search?q=</w:t>
      </w:r>
      <w:r>
        <w:t xml:space="preserve"> </w:t>
      </w:r>
      <w:r>
        <w:t xml:space="preserve">actually exists on the site; if there’s no on-site search, remove this block rather than shipping a broken schema promise.</w:t>
      </w:r>
    </w:p>
    <w:p>
      <w:pPr>
        <w:numPr>
          <w:ilvl w:val="0"/>
          <w:numId w:val="1002"/>
        </w:numPr>
        <w:pStyle w:val="Compact"/>
      </w:pPr>
      <w:r>
        <w:rPr>
          <w:bCs/>
          <w:b/>
        </w:rPr>
        <w:t xml:space="preserve">NAP consistency:</w:t>
      </w:r>
      <w:r>
        <w:t xml:space="preserve"> </w:t>
      </w:r>
      <w:r>
        <w:t xml:space="preserve">phone/address here must exactly match the Contact page and Google Business Profile — see the publishing checklist already delivered.</w:t>
      </w:r>
    </w:p>
    <w:p>
      <w:r>
        <w:br w:type="page"/>
      </w:r>
    </w:p>
    <w:bookmarkEnd w:id="51"/>
    <w:bookmarkEnd w:id="52"/>
    <w:bookmarkStart w:id="53" w:name="page-immigrationexpress-entry"/>
    <w:p>
      <w:pPr>
        <w:pStyle w:val="Heading1"/>
      </w:pPr>
      <w:r>
        <w:t xml:space="preserve">PAGE: /immigration/express-entry</w:t>
      </w:r>
    </w:p>
    <w:bookmarkEnd w:id="53"/>
    <w:bookmarkStart w:id="68" w:name="menu-location-immigrate-express-entry-pr"/>
    <w:p>
      <w:pPr>
        <w:pStyle w:val="Heading1"/>
      </w:pPr>
      <w:r>
        <w:t xml:space="preserve">Menu location: Immigrate → Express Entry &amp; PR</w:t>
      </w:r>
    </w:p>
    <w:p>
      <w:r>
        <w:pict>
          <v:rect style="width:0;height:1.5pt" o:hralign="center" o:hrstd="t" o:hr="t"/>
        </w:pict>
      </w:r>
    </w:p>
    <w:bookmarkStart w:id="55" w:name="meta-tags-1"/>
    <w:p>
      <w:pPr>
        <w:pStyle w:val="Heading2"/>
      </w:pPr>
      <w:r>
        <w:t xml:space="preserve">META TAGS</w:t>
      </w:r>
    </w:p>
    <w:p>
      <w:pPr>
        <w:pStyle w:val="SourceCode"/>
      </w:pPr>
      <w:r>
        <w:rPr>
          <w:rStyle w:val="VerbatimChar"/>
        </w:rPr>
        <w:t xml:space="preserve">title: Express Entry Consultant Brampton | CRS Strategy &amp; Category Draws | CMG</w:t>
      </w:r>
      <w:r>
        <w:br/>
      </w:r>
      <w:r>
        <w:rPr>
          <w:rStyle w:val="VerbatimChar"/>
        </w:rPr>
        <w:t xml:space="preserve">meta-description: Licensed RCIC in Brampton guiding Express Entry PR for FSW, CEC &amp; FST. CRS score optimization, category-based draws, GTA &amp; Canada-wide support. Free CRS check.</w:t>
      </w:r>
      <w:r>
        <w:br/>
      </w:r>
      <w:r>
        <w:rPr>
          <w:rStyle w:val="VerbatimChar"/>
        </w:rPr>
        <w:t xml:space="preserve">canonical: https://commonwealthmigration.ca/immigration/express-entry</w:t>
      </w:r>
      <w:r>
        <w:br/>
      </w:r>
      <w:r>
        <w:rPr>
          <w:rStyle w:val="VerbatimChar"/>
        </w:rPr>
        <w:t xml:space="preserve">meta-keywords: Express Entry consultant Brampton, CRS score calculator Canada, Express Entry RCIC GTA, Federal Skilled Worker Brampton, Canadian Experience Class consultant Ontario</w:t>
      </w:r>
      <w:r>
        <w:br/>
      </w:r>
      <w:r>
        <w:rPr>
          <w:rStyle w:val="VerbatimChar"/>
        </w:rPr>
        <w:t xml:space="preserve">meta-og:title: Express Entry Consultant Brampton | CRS Strategy &amp; Category Draws</w:t>
      </w:r>
      <w:r>
        <w:br/>
      </w:r>
      <w:r>
        <w:rPr>
          <w:rStyle w:val="VerbatimChar"/>
        </w:rPr>
        <w:t xml:space="preserve">meta-og:description: CRS strategy, program-fit review and category-based draw planning from a CICC-regulated consultant based in Brampton, serving all of Canada.</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https://commonwealthmigration.ca/immigration/express-entry</w:t>
      </w:r>
      <w:r>
        <w:br/>
      </w:r>
      <w:r>
        <w:rPr>
          <w:rStyle w:val="VerbatimChar"/>
        </w:rPr>
        <w:t xml:space="preserve">meta-theme-color: #C8102E</w:t>
      </w:r>
    </w:p>
    <w:bookmarkStart w:id="54" w:name="json-ld"/>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CRS score do I need for Express Entry in 2026?"</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"Cut-off scores move with every draw and depend on the draw type — general draws typically require a higher score than category-based draws. Checking current draw trends against your profile is the first step before planning a target score."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 I apply for Express Entry from Brampton if I'm already in Canada on a work permit?"</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 with at least one year of skilled Canadian work experience, Canadian Experience Class is often the fastest federal route, and it can be reviewed alongside any provincial nomination options available."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long does Express Entry take from profile to PR?"</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"IRCC's service standard for Express Entry applications is around six months from a complete application after an Invitation to Apply, though actual processing times shift with volume and program."</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4"/>
    <w:bookmarkEnd w:id="55"/>
    <w:bookmarkStart w:id="67" w:name="page-content-1"/>
    <w:p>
      <w:pPr>
        <w:pStyle w:val="Heading2"/>
      </w:pPr>
      <w:r>
        <w:t xml:space="preserve">PAGE CONTENT</w:t>
      </w:r>
    </w:p>
    <w:bookmarkStart w:id="56" w:name="h1-1"/>
    <w:p>
      <w:pPr>
        <w:pStyle w:val="Heading3"/>
      </w:pPr>
      <w:r>
        <w:t xml:space="preserve">H1</w:t>
      </w:r>
    </w:p>
    <w:p>
      <w:pPr>
        <w:pStyle w:val="FirstParagraph"/>
      </w:pPr>
      <w:r>
        <w:t xml:space="preserve">Express Entry Consultant in Brampton — CRS Strategy for FSW, CEC &amp; FST</w:t>
      </w:r>
    </w:p>
    <w:bookmarkEnd w:id="56"/>
    <w:bookmarkStart w:id="57" w:name="Xdc315165c3a44360f1dee6a23a7786031acb233"/>
    <w:p>
      <w:pPr>
        <w:pStyle w:val="Heading3"/>
      </w:pPr>
      <w:r>
        <w:t xml:space="preserve">Intro (target:</w:t>
      </w:r>
      <w:r>
        <w:t xml:space="preserve"> </w:t>
      </w:r>
      <w:r>
        <w:t xml:space="preserve">“</w:t>
      </w:r>
      <w:r>
        <w:t xml:space="preserve">Express Entry consultant Brampton</w:t>
      </w:r>
      <w:r>
        <w:t xml:space="preserve">”</w:t>
      </w:r>
      <w:r>
        <w:t xml:space="preserve">,</w:t>
      </w:r>
      <w:r>
        <w:t xml:space="preserve"> </w:t>
      </w:r>
      <w:r>
        <w:t xml:space="preserve">“</w:t>
      </w:r>
      <w:r>
        <w:t xml:space="preserve">CRS score calculator Canada</w:t>
      </w:r>
      <w:r>
        <w:t xml:space="preserve">”</w:t>
      </w:r>
      <w:r>
        <w:t xml:space="preserve">)</w:t>
      </w:r>
    </w:p>
    <w:p>
      <w:pPr>
        <w:pStyle w:val="FirstParagraph"/>
      </w:pPr>
      <w:r>
        <w:t xml:space="preserve">If you’re comparing Express Entry consultants in Brampton or anywhere in the GTA, the number that decides your file isn’t your occupation — it’s your Comprehensive Ranking System (CRS) score on the day of the draw. Our licensed team, based at 83 Kennedy Rd S in Brampton, works across the three federal programs — Federal Skilled Worker (FSW), Canadian Experience Class (CEC) and Federal Skilled Trades (FST) — plus the category-based draws IRCC runs for healthcare, trades, French-language ability, agriculture, transport, STEM and education occupations. We don’t just calculate your score — we identify what moves it, whether that’s a provincial nomination, a second language test, an Educational Credential Assessment (ECA) upgrade, or timing your profile around a category you actually qualify for.</w:t>
      </w:r>
    </w:p>
    <w:bookmarkEnd w:id="57"/>
    <w:bookmarkStart w:id="58" w:name="h2-the-three-federal-programs"/>
    <w:p>
      <w:pPr>
        <w:pStyle w:val="Heading3"/>
      </w:pPr>
      <w:r>
        <w:t xml:space="preserve">H2: The three federal programs</w:t>
      </w:r>
    </w:p>
    <w:p>
      <w:pPr>
        <w:numPr>
          <w:ilvl w:val="0"/>
          <w:numId w:val="1003"/>
        </w:numPr>
        <w:pStyle w:val="Compact"/>
      </w:pPr>
      <w:r>
        <w:rPr>
          <w:bCs/>
          <w:b/>
        </w:rPr>
        <w:t xml:space="preserve">Federal Skilled Worker (FSW)</w:t>
      </w:r>
      <w:r>
        <w:t xml:space="preserve"> </w:t>
      </w:r>
      <w:r>
        <w:t xml:space="preserve">— a points-grid program for candidates with foreign or Canadian skilled work experience, language ability and education, with no Canadian job experience required.</w:t>
      </w:r>
    </w:p>
    <w:p>
      <w:pPr>
        <w:numPr>
          <w:ilvl w:val="0"/>
          <w:numId w:val="1003"/>
        </w:numPr>
        <w:pStyle w:val="Compact"/>
      </w:pPr>
      <w:r>
        <w:rPr>
          <w:bCs/>
          <w:b/>
        </w:rPr>
        <w:t xml:space="preserve">Canadian Experience Class (CEC)</w:t>
      </w:r>
      <w:r>
        <w:t xml:space="preserve"> </w:t>
      </w:r>
      <w:r>
        <w:t xml:space="preserve">— for candidates already working in Canada on a valid work permit with at least one year of skilled experience, common among Brampton-area workers converting from study or work permits to PR.</w:t>
      </w:r>
    </w:p>
    <w:p>
      <w:pPr>
        <w:numPr>
          <w:ilvl w:val="0"/>
          <w:numId w:val="1003"/>
        </w:numPr>
        <w:pStyle w:val="Compact"/>
      </w:pPr>
      <w:r>
        <w:rPr>
          <w:bCs/>
          <w:b/>
        </w:rPr>
        <w:t xml:space="preserve">Federal Skilled Trades (FST)</w:t>
      </w:r>
      <w:r>
        <w:t xml:space="preserve"> </w:t>
      </w:r>
      <w:r>
        <w:t xml:space="preserve">— for candidates with a valid job offer or certificate of qualification in a skilled trade, relevant to Peel Region’s logistics, construction and manufacturing employers.</w:t>
      </w:r>
    </w:p>
    <w:bookmarkEnd w:id="58"/>
    <w:bookmarkStart w:id="59" w:name="X0987109238176fce04a161a3aa1cf3cf70b18b7"/>
    <w:p>
      <w:pPr>
        <w:pStyle w:val="Heading3"/>
      </w:pPr>
      <w:r>
        <w:t xml:space="preserve">H2: CRS score strategy — what we actually optimize</w:t>
      </w:r>
    </w:p>
    <w:p>
      <w:pPr>
        <w:pStyle w:val="FirstParagraph"/>
      </w:pPr>
      <w:r>
        <w:t xml:space="preserve">We review core human capital factors (age, education, language, Canadian work experience), spouse factors, skill-transferability combinations, and the additional 600 points available through a provincial nomination. Most applicants who plateau below the cut-off do so on language score or education comparability — the two levers we check first, before recommending any paid step.</w:t>
      </w:r>
    </w:p>
    <w:bookmarkEnd w:id="59"/>
    <w:bookmarkStart w:id="60" w:name="h2-category-based-selection-draws"/>
    <w:p>
      <w:pPr>
        <w:pStyle w:val="Heading3"/>
      </w:pPr>
      <w:r>
        <w:t xml:space="preserve">H2: Category-based selection draws</w:t>
      </w:r>
    </w:p>
    <w:p>
      <w:pPr>
        <w:pStyle w:val="FirstParagraph"/>
      </w:pPr>
      <w:r>
        <w:t xml:space="preserve">IRCC periodically runs category-based draws for healthcare occupations, STEM, skilled trades, transport, agriculture and agri-food, French-language proficiency, and education. Qualifying for a category changes which pool your profile competes in — it does not guarantee an invitation on its own. We track current draw categories and cut-offs as IRCC updates them.</w:t>
      </w:r>
    </w:p>
    <w:bookmarkEnd w:id="60"/>
    <w:bookmarkStart w:id="61" w:name="X87d4b771cdd36ecb39af2a09eca9a8bdf2f34f6"/>
    <w:p>
      <w:pPr>
        <w:pStyle w:val="Heading3"/>
      </w:pPr>
      <w:r>
        <w:t xml:space="preserve">H2: Express Entry for Brampton &amp; GTA applicants</w:t>
      </w:r>
    </w:p>
    <w:p>
      <w:pPr>
        <w:pStyle w:val="FirstParagraph"/>
      </w:pPr>
      <w:r>
        <w:t xml:space="preserve">Many Express Entry candidates working with our Brampton office are already living in Peel Region or the wider GTA on a study or work permit and are converting status to PR through CEC. Others are overseas applicants with family or community ties to Brampton who want a consultant who understands both the federal points system and the realities of settling in Peel Region. In-person consultations are available at our Brampton office; virtual consultations serve clients anywhere in Canada or overseas.</w:t>
      </w:r>
    </w:p>
    <w:bookmarkEnd w:id="61"/>
    <w:bookmarkStart w:id="62" w:name="h2-our-express-entry-process"/>
    <w:p>
      <w:pPr>
        <w:pStyle w:val="Heading3"/>
      </w:pPr>
      <w:r>
        <w:t xml:space="preserve">H2: Our Express Entry process</w:t>
      </w:r>
    </w:p>
    <w:p>
      <w:pPr>
        <w:numPr>
          <w:ilvl w:val="0"/>
          <w:numId w:val="1004"/>
        </w:numPr>
        <w:pStyle w:val="Compact"/>
      </w:pPr>
      <w:r>
        <w:rPr>
          <w:bCs/>
          <w:b/>
        </w:rPr>
        <w:t xml:space="preserve">Free eligibility and CRS snapshot</w:t>
      </w:r>
      <w:r>
        <w:t xml:space="preserve"> </w:t>
      </w:r>
      <w:r>
        <w:t xml:space="preserve">— where your profile currently stands.</w:t>
      </w:r>
    </w:p>
    <w:p>
      <w:pPr>
        <w:numPr>
          <w:ilvl w:val="0"/>
          <w:numId w:val="1004"/>
        </w:numPr>
        <w:pStyle w:val="Compact"/>
      </w:pPr>
      <w:r>
        <w:rPr>
          <w:bCs/>
          <w:b/>
        </w:rPr>
        <w:t xml:space="preserve">Program-fit review</w:t>
      </w:r>
      <w:r>
        <w:t xml:space="preserve"> </w:t>
      </w:r>
      <w:r>
        <w:t xml:space="preserve">— FSW vs. CEC vs. FST vs. category draws.</w:t>
      </w:r>
    </w:p>
    <w:p>
      <w:pPr>
        <w:numPr>
          <w:ilvl w:val="0"/>
          <w:numId w:val="1004"/>
        </w:numPr>
        <w:pStyle w:val="Compact"/>
      </w:pPr>
      <w:r>
        <w:rPr>
          <w:bCs/>
          <w:b/>
        </w:rPr>
        <w:t xml:space="preserve">Document and ECA planning</w:t>
      </w:r>
      <w:r>
        <w:t xml:space="preserve"> </w:t>
      </w:r>
      <w:r>
        <w:t xml:space="preserve">— closing gaps before you enter the pool.</w:t>
      </w:r>
    </w:p>
    <w:p>
      <w:pPr>
        <w:numPr>
          <w:ilvl w:val="0"/>
          <w:numId w:val="1004"/>
        </w:numPr>
        <w:pStyle w:val="Compact"/>
      </w:pPr>
      <w:r>
        <w:rPr>
          <w:bCs/>
          <w:b/>
        </w:rPr>
        <w:t xml:space="preserve">Profile submission and draw monitoring</w:t>
      </w:r>
      <w:r>
        <w:t xml:space="preserve"> </w:t>
      </w:r>
      <w:r>
        <w:t xml:space="preserve">— tracked against live draw activity.</w:t>
      </w:r>
    </w:p>
    <w:p>
      <w:pPr>
        <w:numPr>
          <w:ilvl w:val="0"/>
          <w:numId w:val="1004"/>
        </w:numPr>
        <w:pStyle w:val="Compact"/>
      </w:pPr>
      <w:r>
        <w:rPr>
          <w:bCs/>
          <w:b/>
        </w:rPr>
        <w:t xml:space="preserve">ITA response and PR filing</w:t>
      </w:r>
      <w:r>
        <w:t xml:space="preserve"> </w:t>
      </w:r>
      <w:r>
        <w:t xml:space="preserve">— full application preparation after invitation.</w:t>
      </w:r>
    </w:p>
    <w:p>
      <w:pPr>
        <w:numPr>
          <w:ilvl w:val="0"/>
          <w:numId w:val="1004"/>
        </w:numPr>
        <w:pStyle w:val="Compact"/>
      </w:pPr>
      <w:r>
        <w:rPr>
          <w:bCs/>
          <w:b/>
        </w:rPr>
        <w:t xml:space="preserve">Post-landing support</w:t>
      </w:r>
      <w:r>
        <w:t xml:space="preserve"> </w:t>
      </w:r>
      <w:r>
        <w:t xml:space="preserve">— PR card and next steps.</w:t>
      </w:r>
    </w:p>
    <w:bookmarkEnd w:id="62"/>
    <w:bookmarkStart w:id="63" w:name="h2-related-pathways"/>
    <w:p>
      <w:pPr>
        <w:pStyle w:val="Heading3"/>
      </w:pPr>
      <w:r>
        <w:t xml:space="preserve">H2: Related pathways</w:t>
      </w:r>
    </w:p>
    <w:p>
      <w:pPr>
        <w:pStyle w:val="FirstParagraph"/>
      </w:pPr>
      <w:r>
        <w:t xml:space="preserve">Not CRS-competitive yet? Review</w:t>
      </w:r>
      <w:r>
        <w:t xml:space="preserve"> </w:t>
      </w:r>
      <w:hyperlink r:id="rId27">
        <w:r>
          <w:rPr>
            <w:rStyle w:val="Hyperlink"/>
          </w:rPr>
          <w:t xml:space="preserve">Provincial Nominee Programs</w:t>
        </w:r>
      </w:hyperlink>
      <w:r>
        <w:t xml:space="preserve"> </w:t>
      </w:r>
      <w:r>
        <w:t xml:space="preserve">for the extra 600 points a nomination adds. Already in Canada on a work permit? See</w:t>
      </w:r>
      <w:r>
        <w:t xml:space="preserve"> </w:t>
      </w:r>
      <w:hyperlink r:id="rId28">
        <w:r>
          <w:rPr>
            <w:rStyle w:val="Hyperlink"/>
          </w:rPr>
          <w:t xml:space="preserve">work permits</w:t>
        </w:r>
      </w:hyperlink>
      <w:r>
        <w:t xml:space="preserve"> </w:t>
      </w:r>
      <w:r>
        <w:t xml:space="preserve">for status options while you build your profile.</w:t>
      </w:r>
    </w:p>
    <w:bookmarkEnd w:id="63"/>
    <w:bookmarkStart w:id="64" w:name="faq"/>
    <w:p>
      <w:pPr>
        <w:pStyle w:val="Heading3"/>
      </w:pPr>
      <w:r>
        <w:t xml:space="preserve">FAQ</w:t>
      </w:r>
    </w:p>
    <w:p>
      <w:pPr>
        <w:pStyle w:val="FirstParagraph"/>
      </w:pPr>
      <w:r>
        <w:rPr>
          <w:bCs/>
          <w:b/>
        </w:rPr>
        <w:t xml:space="preserve">What CRS score do I need for Express Entry in 2026?</w:t>
      </w:r>
      <w:r>
        <w:t xml:space="preserve"> </w:t>
      </w:r>
      <w:r>
        <w:t xml:space="preserve">Cut-off scores move with every draw and depend on the draw type — general draws typically require a higher score than category-based draws. We check current draw trends against your profile before giving you a number to plan around.</w:t>
      </w:r>
    </w:p>
    <w:p>
      <w:pPr>
        <w:pStyle w:val="BodyText"/>
      </w:pPr>
      <w:r>
        <w:rPr>
          <w:bCs/>
          <w:b/>
        </w:rPr>
        <w:t xml:space="preserve">Can I apply for Express Entry from Brampton if I’m already in Canada on a work permit?</w:t>
      </w:r>
      <w:r>
        <w:t xml:space="preserve"> </w:t>
      </w:r>
      <w:r>
        <w:t xml:space="preserve">Yes — if you have at least one year of skilled Canadian work experience, Canadian Experience Class is often the fastest federal route, and we review it alongside any provincial nomination options open to you.</w:t>
      </w:r>
    </w:p>
    <w:p>
      <w:pPr>
        <w:pStyle w:val="BodyText"/>
      </w:pPr>
      <w:r>
        <w:rPr>
          <w:bCs/>
          <w:b/>
        </w:rPr>
        <w:t xml:space="preserve">Does a job offer help my Express Entry application?</w:t>
      </w:r>
      <w:r>
        <w:t xml:space="preserve"> </w:t>
      </w:r>
      <w:r>
        <w:t xml:space="preserve">A valid, LMIA-supported job offer can add CRS points in specific circumstances and can support a Federal Skilled Trades application — we assess whether your offer qualifies.</w:t>
      </w:r>
    </w:p>
    <w:p>
      <w:pPr>
        <w:pStyle w:val="BodyText"/>
      </w:pPr>
      <w:r>
        <w:rPr>
          <w:bCs/>
          <w:b/>
        </w:rPr>
        <w:t xml:space="preserve">How long does Express Entry take from profile to PR?</w:t>
      </w:r>
      <w:r>
        <w:t xml:space="preserve"> </w:t>
      </w:r>
      <w:r>
        <w:t xml:space="preserve">IRCC’s service standard for Express Entry applications is around six months from a complete application after an Invitation to Apply, though processing times shift — we track current standards for you.</w:t>
      </w:r>
    </w:p>
    <w:p>
      <w:pPr>
        <w:pStyle w:val="BodyText"/>
      </w:pPr>
      <w:r>
        <w:rPr>
          <w:bCs/>
          <w:b/>
        </w:rPr>
        <w:t xml:space="preserve">Do I need to visit your Brampton office in person?</w:t>
      </w:r>
      <w:r>
        <w:t xml:space="preserve"> </w:t>
      </w:r>
      <w:r>
        <w:t xml:space="preserve">No — consultations are available in person at our Brampton location or virtually for clients anywhere in Canada or applying from overseas.</w:t>
      </w:r>
    </w:p>
    <w:bookmarkEnd w:id="64"/>
    <w:bookmarkStart w:id="66" w:name="cta-block"/>
    <w:p>
      <w:pPr>
        <w:pStyle w:val="Heading3"/>
      </w:pPr>
      <w:r>
        <w:t xml:space="preserve">CTA block</w:t>
      </w:r>
    </w:p>
    <w:p>
      <w:pPr>
        <w:pStyle w:val="FirstParagraph"/>
      </w:pPr>
      <w:r>
        <w:t xml:space="preserve">Get your CRS score reviewed by a licensed RCIC.</w:t>
      </w:r>
      <w:r>
        <w:t xml:space="preserve"> </w:t>
      </w:r>
      <w:hyperlink r:id="rId65">
        <w:r>
          <w:rPr>
            <w:rStyle w:val="Hyperlink"/>
          </w:rPr>
          <w:t xml:space="preserve">Book a Consultation</w:t>
        </w:r>
      </w:hyperlink>
      <w:r>
        <w:t xml:space="preserve"> </w:t>
      </w:r>
      <w:r>
        <w:t xml:space="preserve">·</w:t>
      </w:r>
      <w:r>
        <w:t xml:space="preserve"> </w:t>
      </w:r>
      <w:hyperlink r:id="rId39">
        <w:r>
          <w:rPr>
            <w:rStyle w:val="Hyperlink"/>
          </w:rPr>
          <w:t xml:space="preserve">Free CRS Calculator</w:t>
        </w:r>
      </w:hyperlink>
    </w:p>
    <w:p>
      <w:r>
        <w:br w:type="page"/>
      </w:r>
    </w:p>
    <w:bookmarkEnd w:id="66"/>
    <w:bookmarkEnd w:id="67"/>
    <w:bookmarkEnd w:id="68"/>
    <w:bookmarkStart w:id="69" w:name="page-immigrationpnp"/>
    <w:p>
      <w:pPr>
        <w:pStyle w:val="Heading1"/>
      </w:pPr>
      <w:r>
        <w:t xml:space="preserve">PAGE: /immigration/pnp</w:t>
      </w:r>
    </w:p>
    <w:bookmarkEnd w:id="69"/>
    <w:bookmarkStart w:id="83" w:name="Xa5bfc5b684dca1f1b00802d8a7a968aa8d5fbfd"/>
    <w:p>
      <w:pPr>
        <w:pStyle w:val="Heading1"/>
      </w:pPr>
      <w:r>
        <w:t xml:space="preserve">Menu location: Immigrate → Provincial Nominees (PNP)</w:t>
      </w:r>
    </w:p>
    <w:p>
      <w:r>
        <w:pict>
          <v:rect style="width:0;height:1.5pt" o:hralign="center" o:hrstd="t" o:hr="t"/>
        </w:pict>
      </w:r>
    </w:p>
    <w:bookmarkStart w:id="71" w:name="meta-tags-2"/>
    <w:p>
      <w:pPr>
        <w:pStyle w:val="Heading2"/>
      </w:pPr>
      <w:r>
        <w:t xml:space="preserve">META TAGS</w:t>
      </w:r>
    </w:p>
    <w:p>
      <w:pPr>
        <w:pStyle w:val="SourceCode"/>
      </w:pPr>
      <w:r>
        <w:rPr>
          <w:rStyle w:val="VerbatimChar"/>
        </w:rPr>
        <w:t xml:space="preserve">title: Provincial Nominee Program (PNP) Consultant Brampton | OINP &amp; All Provinces | CMG</w:t>
      </w:r>
      <w:r>
        <w:br/>
      </w:r>
      <w:r>
        <w:rPr>
          <w:rStyle w:val="VerbatimChar"/>
        </w:rPr>
        <w:t xml:space="preserve">meta-description: Compare OINP, BC PNP, AAIP, Saskatchewan SINP, Manitoba MPNP &amp; Nova Scotia PNP with a Brampton-based RCIC. 600 CRS points, stream matching &amp; nomination filing across Canada.</w:t>
      </w:r>
      <w:r>
        <w:br/>
      </w:r>
      <w:r>
        <w:rPr>
          <w:rStyle w:val="VerbatimChar"/>
        </w:rPr>
        <w:t xml:space="preserve">canonical: https://commonwealthmigration.ca/immigration/pnp</w:t>
      </w:r>
      <w:r>
        <w:br/>
      </w:r>
      <w:r>
        <w:rPr>
          <w:rStyle w:val="VerbatimChar"/>
        </w:rPr>
        <w:t xml:space="preserve">meta-keywords: OINP consultant Brampton, provincial nominee program Ontario, PNP RCIC GTA, Ontario Immigrant Nominee Program, PNP streams Canada, provincial nomination 600 points</w:t>
      </w:r>
      <w:r>
        <w:br/>
      </w:r>
      <w:r>
        <w:rPr>
          <w:rStyle w:val="VerbatimChar"/>
        </w:rPr>
        <w:t xml:space="preserve">meta-og:title: Provincial Nominee Program (PNP) Consultant Brampton | OINP &amp; All Provinces</w:t>
      </w:r>
      <w:r>
        <w:br/>
      </w:r>
      <w:r>
        <w:rPr>
          <w:rStyle w:val="VerbatimChar"/>
        </w:rPr>
        <w:t xml:space="preserve">meta-og:description: Compare OINP, BC PNP, AAIP, SINP, MPNP &amp; Nova Scotia PNP with a Brampton-based RCIC. Stream matching, 600 CRS points, and nomination filing.</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https://commonwealthmigration.ca/immigration/pnp</w:t>
      </w:r>
      <w:r>
        <w:br/>
      </w:r>
      <w:r>
        <w:rPr>
          <w:rStyle w:val="VerbatimChar"/>
        </w:rPr>
        <w:t xml:space="preserve">meta-theme-color: #C8102E</w:t>
      </w:r>
    </w:p>
    <w:bookmarkStart w:id="70" w:name="json-ld-1"/>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"Which province is easiest to get a PNP nomination from in 2026?"</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"There is no single 'easiest' province — each PNP targets its own labour market gaps. Saskatchewan and Manitoba often run Expression of Interest draws at lower point thresholds than Ontario's OINP, but eligibility depends on your occupation, connection to the province, and whether you have a job offer, not on province alone."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 I apply to more than one PNP at the same time?"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"You can hold an Express Entry profile while exploring multiple provincial streams, but most provinces require a genuine intention to reside there, and some streams check for concurrent applications. A licensed RCIC can help you sequence applications correctly rather than risk a misrepresentation flag."</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many CRS points does a provincial nomination add?"</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 provincial nomination through the Express Entry-aligned stream adds 600 CRS points, which places the candidate at the top of the pool for the next invitation round."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0"/>
    <w:bookmarkEnd w:id="71"/>
    <w:bookmarkStart w:id="82" w:name="page-content-2"/>
    <w:p>
      <w:pPr>
        <w:pStyle w:val="Heading2"/>
      </w:pPr>
      <w:r>
        <w:t xml:space="preserve">PAGE CONTENT</w:t>
      </w:r>
    </w:p>
    <w:bookmarkStart w:id="72" w:name="h1-2"/>
    <w:p>
      <w:pPr>
        <w:pStyle w:val="Heading3"/>
      </w:pPr>
      <w:r>
        <w:t xml:space="preserve">H1</w:t>
      </w:r>
    </w:p>
    <w:p>
      <w:pPr>
        <w:pStyle w:val="FirstParagraph"/>
      </w:pPr>
      <w:r>
        <w:t xml:space="preserve">Provincial Nominee Program (PNP) Consultant — Ontario-Based, Filing Across All Provinces</w:t>
      </w:r>
    </w:p>
    <w:bookmarkEnd w:id="72"/>
    <w:bookmarkStart w:id="73" w:name="X9d396a49362963098d47f31b3555085b0061caf"/>
    <w:p>
      <w:pPr>
        <w:pStyle w:val="Heading3"/>
      </w:pPr>
      <w:r>
        <w:t xml:space="preserve">Intro (target:</w:t>
      </w:r>
      <w:r>
        <w:t xml:space="preserve"> </w:t>
      </w:r>
      <w:r>
        <w:t xml:space="preserve">“</w:t>
      </w:r>
      <w:r>
        <w:t xml:space="preserve">OINP consultant Brampton</w:t>
      </w:r>
      <w:r>
        <w:t xml:space="preserve">”</w:t>
      </w:r>
      <w:r>
        <w:t xml:space="preserve">,</w:t>
      </w:r>
      <w:r>
        <w:t xml:space="preserve"> </w:t>
      </w:r>
      <w:r>
        <w:t xml:space="preserve">“</w:t>
      </w:r>
      <w:r>
        <w:t xml:space="preserve">provincial nominee program Ontario</w:t>
      </w:r>
      <w:r>
        <w:t xml:space="preserve">”</w:t>
      </w:r>
      <w:r>
        <w:t xml:space="preserve">)</w:t>
      </w:r>
    </w:p>
    <w:p>
      <w:pPr>
        <w:pStyle w:val="FirstParagraph"/>
      </w:pPr>
      <w:r>
        <w:t xml:space="preserve">Every Canadian province and territory except Quebec and Nunavut runs its own Provincial Nominee Program, and each one nominates candidates against a different labour market need. Our Brampton team compares Ontario’s OINP against British Columbia, Alberta, Saskatchewan, Manitoba and Nova Scotia streams side by side, so applicants across the GTA — and candidates applying from outside Canada — choose the stream that matches their occupation, not just the one with the lowest headline score.</w:t>
      </w:r>
    </w:p>
    <w:bookmarkEnd w:id="73"/>
    <w:bookmarkStart w:id="74" w:name="Xdecba8757da7bf714be42316736fa8b053ad1a1"/>
    <w:p>
      <w:pPr>
        <w:pStyle w:val="Heading3"/>
      </w:pPr>
      <w:r>
        <w:t xml:space="preserve">H2: Ontario Immigrant Nominee Program (OINP) — our home province</w:t>
      </w:r>
    </w:p>
    <w:p>
      <w:pPr>
        <w:pStyle w:val="FirstParagraph"/>
      </w:pPr>
      <w:r>
        <w:t xml:space="preserve">As an Ontario-based firm, we file OINP streams directly, including the Human Capital Priorities Stream, French-Speaking Skilled Worker Stream, Skilled Trades Stream, and Employer Job Offer streams. Applicants working or living in Brampton, Mississauga, and the broader GTA who already hold Ontario work experience often have the strongest OINP profiles.</w:t>
      </w:r>
    </w:p>
    <w:bookmarkEnd w:id="74"/>
    <w:bookmarkStart w:id="75" w:name="h2-pnp-options-outside-ontario"/>
    <w:p>
      <w:pPr>
        <w:pStyle w:val="Heading3"/>
      </w:pPr>
      <w:r>
        <w:t xml:space="preserve">H2: PNP options outside Ontario</w:t>
      </w:r>
    </w:p>
    <w:p>
      <w:pPr>
        <w:numPr>
          <w:ilvl w:val="0"/>
          <w:numId w:val="1005"/>
        </w:numPr>
        <w:pStyle w:val="Compact"/>
      </w:pPr>
      <w:r>
        <w:rPr>
          <w:bCs/>
          <w:b/>
        </w:rPr>
        <w:t xml:space="preserve">British Columbia PNP (BC PNP)</w:t>
      </w:r>
      <w:r>
        <w:t xml:space="preserve"> </w:t>
      </w:r>
      <w:r>
        <w:t xml:space="preserve">— Skilled Worker, Express Entry BC, and Tech occupations streams with regular Skills Immigration draws.</w:t>
      </w:r>
    </w:p>
    <w:p>
      <w:pPr>
        <w:numPr>
          <w:ilvl w:val="0"/>
          <w:numId w:val="1005"/>
        </w:numPr>
        <w:pStyle w:val="Compact"/>
      </w:pPr>
      <w:r>
        <w:rPr>
          <w:bCs/>
          <w:b/>
        </w:rPr>
        <w:t xml:space="preserve">Alberta AAIP</w:t>
      </w:r>
      <w:r>
        <w:t xml:space="preserve"> </w:t>
      </w:r>
      <w:r>
        <w:t xml:space="preserve">— Alberta Opportunity Stream, Express Entry Stream, and Rural Renewal Stream.</w:t>
      </w:r>
    </w:p>
    <w:p>
      <w:pPr>
        <w:numPr>
          <w:ilvl w:val="0"/>
          <w:numId w:val="1005"/>
        </w:numPr>
        <w:pStyle w:val="Compact"/>
      </w:pPr>
      <w:r>
        <w:rPr>
          <w:bCs/>
          <w:b/>
        </w:rPr>
        <w:t xml:space="preserve">Saskatchewan SINP</w:t>
      </w:r>
      <w:r>
        <w:t xml:space="preserve"> </w:t>
      </w:r>
      <w:r>
        <w:t xml:space="preserve">— Occupation In-Demand, Express Entry, and International Skilled Worker categories, historically accessible EOI thresholds.</w:t>
      </w:r>
    </w:p>
    <w:p>
      <w:pPr>
        <w:numPr>
          <w:ilvl w:val="0"/>
          <w:numId w:val="1005"/>
        </w:numPr>
        <w:pStyle w:val="Compact"/>
      </w:pPr>
      <w:r>
        <w:rPr>
          <w:bCs/>
          <w:b/>
        </w:rPr>
        <w:t xml:space="preserve">Manitoba MPNP</w:t>
      </w:r>
      <w:r>
        <w:t xml:space="preserve"> </w:t>
      </w:r>
      <w:r>
        <w:t xml:space="preserve">— Skilled Worker in Manitoba and Skilled Worker Overseas streams with strong ties or invitation-based selection.</w:t>
      </w:r>
    </w:p>
    <w:p>
      <w:pPr>
        <w:numPr>
          <w:ilvl w:val="0"/>
          <w:numId w:val="1005"/>
        </w:numPr>
        <w:pStyle w:val="Compact"/>
      </w:pPr>
      <w:r>
        <w:rPr>
          <w:bCs/>
          <w:b/>
        </w:rPr>
        <w:t xml:space="preserve">Nova Scotia PNP</w:t>
      </w:r>
      <w:r>
        <w:t xml:space="preserve"> </w:t>
      </w:r>
      <w:r>
        <w:t xml:space="preserve">— Labour Market Priorities and Demand streams, including Atlantic-specific occupation targeting.</w:t>
      </w:r>
    </w:p>
    <w:bookmarkEnd w:id="75"/>
    <w:bookmarkStart w:id="76" w:name="h2-how-pnp-stacks-with-express-entry"/>
    <w:p>
      <w:pPr>
        <w:pStyle w:val="Heading3"/>
      </w:pPr>
      <w:r>
        <w:t xml:space="preserve">H2: How PNP stacks with Express Entry</w:t>
      </w:r>
    </w:p>
    <w:p>
      <w:pPr>
        <w:pStyle w:val="FirstParagraph"/>
      </w:pPr>
      <w:r>
        <w:t xml:space="preserve">Base (Express Entry-aligned) PNP streams add 600 CRS points on nomination — effectively guaranteeing an invitation to apply for permanent residence in the next round. Non-Express Entry (</w:t>
      </w:r>
      <w:r>
        <w:t xml:space="preserve">“</w:t>
      </w:r>
      <w:r>
        <w:t xml:space="preserve">base</w:t>
      </w:r>
      <w:r>
        <w:t xml:space="preserve">”</w:t>
      </w:r>
      <w:r>
        <w:t xml:space="preserve">) PNP streams run as a separate paper-based application with their own processing timeline. Choosing correctly between the two affects your total timeline by months, not weeks.</w:t>
      </w:r>
    </w:p>
    <w:bookmarkEnd w:id="76"/>
    <w:bookmarkStart w:id="77" w:name="h2-why-file-pnp-through-a-brampton-rcic"/>
    <w:p>
      <w:pPr>
        <w:pStyle w:val="Heading3"/>
      </w:pPr>
      <w:r>
        <w:t xml:space="preserve">H2: Why file PNP through a Brampton RCIC</w:t>
      </w:r>
    </w:p>
    <w:p>
      <w:pPr>
        <w:pStyle w:val="FirstParagraph"/>
      </w:pPr>
      <w:r>
        <w:t xml:space="preserve">Provincial programs change intake criteria, draw frequency and target occupations several times a year. Our team tracks live changes across all active provincial streams and matches your NOC code, language scores and connection to a province before you commit to one — avoiding a rejected or withdrawn application after months of waiting.</w:t>
      </w:r>
    </w:p>
    <w:bookmarkEnd w:id="77"/>
    <w:bookmarkStart w:id="78" w:name="h2-our-pnp-process"/>
    <w:p>
      <w:pPr>
        <w:pStyle w:val="Heading3"/>
      </w:pPr>
      <w:r>
        <w:t xml:space="preserve">H2: Our PNP process</w:t>
      </w:r>
    </w:p>
    <w:p>
      <w:pPr>
        <w:numPr>
          <w:ilvl w:val="0"/>
          <w:numId w:val="1006"/>
        </w:numPr>
        <w:pStyle w:val="Compact"/>
      </w:pPr>
      <w:r>
        <w:rPr>
          <w:bCs/>
          <w:b/>
        </w:rPr>
        <w:t xml:space="preserve">Stream-fit assessment</w:t>
      </w:r>
      <w:r>
        <w:t xml:space="preserve"> </w:t>
      </w:r>
      <w:r>
        <w:t xml:space="preserve">across all active provinces against your occupation and profile.</w:t>
      </w:r>
    </w:p>
    <w:p>
      <w:pPr>
        <w:numPr>
          <w:ilvl w:val="0"/>
          <w:numId w:val="1006"/>
        </w:numPr>
        <w:pStyle w:val="Compact"/>
      </w:pPr>
      <w:r>
        <w:rPr>
          <w:bCs/>
          <w:b/>
        </w:rPr>
        <w:t xml:space="preserve">Expression of Interest (EOI) / application strategy</w:t>
      </w:r>
      <w:r>
        <w:t xml:space="preserve"> </w:t>
      </w:r>
      <w:r>
        <w:t xml:space="preserve">— sequencing to protect your Express Entry profile where relevant.</w:t>
      </w:r>
    </w:p>
    <w:p>
      <w:pPr>
        <w:numPr>
          <w:ilvl w:val="0"/>
          <w:numId w:val="1006"/>
        </w:numPr>
        <w:pStyle w:val="Compact"/>
      </w:pPr>
      <w:r>
        <w:rPr>
          <w:bCs/>
          <w:b/>
        </w:rPr>
        <w:t xml:space="preserve">Nomination filing</w:t>
      </w:r>
      <w:r>
        <w:t xml:space="preserve"> </w:t>
      </w:r>
      <w:r>
        <w:t xml:space="preserve">— document preparation and provincial submission.</w:t>
      </w:r>
    </w:p>
    <w:p>
      <w:pPr>
        <w:numPr>
          <w:ilvl w:val="0"/>
          <w:numId w:val="1006"/>
        </w:numPr>
        <w:pStyle w:val="Compact"/>
      </w:pPr>
      <w:r>
        <w:rPr>
          <w:bCs/>
          <w:b/>
        </w:rPr>
        <w:t xml:space="preserve">PR filing</w:t>
      </w:r>
      <w:r>
        <w:t xml:space="preserve"> </w:t>
      </w:r>
      <w:r>
        <w:t xml:space="preserve">— after nomination, Express Entry ITA processing or provincial paper-based PR application.</w:t>
      </w:r>
    </w:p>
    <w:bookmarkEnd w:id="78"/>
    <w:bookmarkStart w:id="79" w:name="h2-related-pathways-1"/>
    <w:p>
      <w:pPr>
        <w:pStyle w:val="Heading3"/>
      </w:pPr>
      <w:r>
        <w:t xml:space="preserve">H2: Related pathways</w:t>
      </w:r>
    </w:p>
    <w:p>
      <w:pPr>
        <w:pStyle w:val="FirstParagraph"/>
      </w:pPr>
      <w:r>
        <w:t xml:space="preserve">Building your profile before choosing a province? Start with the</w:t>
      </w:r>
      <w:r>
        <w:t xml:space="preserve"> </w:t>
      </w:r>
      <w:hyperlink r:id="rId39">
        <w:r>
          <w:rPr>
            <w:rStyle w:val="Hyperlink"/>
          </w:rPr>
          <w:t xml:space="preserve">CRS calculator</w:t>
        </w:r>
      </w:hyperlink>
      <w:r>
        <w:t xml:space="preserve">, check the</w:t>
      </w:r>
      <w:r>
        <w:t xml:space="preserve"> </w:t>
      </w:r>
      <w:hyperlink r:id="rId40">
        <w:r>
          <w:rPr>
            <w:rStyle w:val="Hyperlink"/>
          </w:rPr>
          <w:t xml:space="preserve">PNP eligibility tool</w:t>
        </w:r>
      </w:hyperlink>
      <w:r>
        <w:t xml:space="preserve">, or compare against</w:t>
      </w:r>
      <w:r>
        <w:t xml:space="preserve"> </w:t>
      </w:r>
      <w:hyperlink r:id="rId26">
        <w:r>
          <w:rPr>
            <w:rStyle w:val="Hyperlink"/>
          </w:rPr>
          <w:t xml:space="preserve">Express Entry</w:t>
        </w:r>
      </w:hyperlink>
      <w:r>
        <w:t xml:space="preserve"> </w:t>
      </w:r>
      <w:r>
        <w:t xml:space="preserve">directly.</w:t>
      </w:r>
    </w:p>
    <w:bookmarkEnd w:id="79"/>
    <w:bookmarkStart w:id="80" w:name="faq-1"/>
    <w:p>
      <w:pPr>
        <w:pStyle w:val="Heading3"/>
      </w:pPr>
      <w:r>
        <w:t xml:space="preserve">FAQ</w:t>
      </w:r>
    </w:p>
    <w:p>
      <w:pPr>
        <w:pStyle w:val="FirstParagraph"/>
      </w:pPr>
      <w:r>
        <w:rPr>
          <w:bCs/>
          <w:b/>
        </w:rPr>
        <w:t xml:space="preserve">Which province is easiest to get a PNP nomination from in 2026?</w:t>
      </w:r>
      <w:r>
        <w:t xml:space="preserve"> </w:t>
      </w:r>
      <w:r>
        <w:t xml:space="preserve">There’s no universal</w:t>
      </w:r>
      <w:r>
        <w:t xml:space="preserve"> </w:t>
      </w:r>
      <w:r>
        <w:t xml:space="preserve">“</w:t>
      </w:r>
      <w:r>
        <w:t xml:space="preserve">easiest</w:t>
      </w:r>
      <w:r>
        <w:t xml:space="preserve">”</w:t>
      </w:r>
      <w:r>
        <w:t xml:space="preserve"> </w:t>
      </w:r>
      <w:r>
        <w:t xml:space="preserve">province — each PNP targets specific labour gaps. Saskatchewan and Manitoba have run EOI draws at lower thresholds than Ontario at times, but eligibility depends on occupation and provincial connection, not province alone.</w:t>
      </w:r>
    </w:p>
    <w:p>
      <w:pPr>
        <w:pStyle w:val="BodyText"/>
      </w:pPr>
      <w:r>
        <w:rPr>
          <w:bCs/>
          <w:b/>
        </w:rPr>
        <w:t xml:space="preserve">Can I apply to more than one PNP at once?</w:t>
      </w:r>
      <w:r>
        <w:t xml:space="preserve"> </w:t>
      </w:r>
      <w:r>
        <w:t xml:space="preserve">You can maintain one Express Entry profile while exploring multiple streams, but most provinces require genuine intent to reside there. Sequencing matters — get it reviewed before applying to more than one.</w:t>
      </w:r>
    </w:p>
    <w:p>
      <w:pPr>
        <w:pStyle w:val="BodyText"/>
      </w:pPr>
      <w:r>
        <w:rPr>
          <w:bCs/>
          <w:b/>
        </w:rPr>
        <w:t xml:space="preserve">How many CRS points does a nomination add?</w:t>
      </w:r>
      <w:r>
        <w:t xml:space="preserve"> </w:t>
      </w:r>
      <w:r>
        <w:t xml:space="preserve">600 points through the Express Entry-aligned stream, placing you at the top of the pool for the next round.</w:t>
      </w:r>
    </w:p>
    <w:bookmarkEnd w:id="80"/>
    <w:bookmarkStart w:id="81" w:name="cta-block-1"/>
    <w:p>
      <w:pPr>
        <w:pStyle w:val="Heading3"/>
      </w:pPr>
      <w:r>
        <w:t xml:space="preserve">CTA block</w:t>
      </w:r>
    </w:p>
    <w:p>
      <w:pPr>
        <w:pStyle w:val="FirstParagraph"/>
      </w:pPr>
      <w:r>
        <w:t xml:space="preserve">Compare provincial streams against your profile with a licensed RCIC.</w:t>
      </w:r>
      <w:r>
        <w:t xml:space="preserve"> </w:t>
      </w:r>
      <w:hyperlink r:id="rId65">
        <w:r>
          <w:rPr>
            <w:rStyle w:val="Hyperlink"/>
          </w:rPr>
          <w:t xml:space="preserve">Book a Consultation</w:t>
        </w:r>
      </w:hyperlink>
      <w:r>
        <w:t xml:space="preserve"> </w:t>
      </w:r>
      <w:r>
        <w:t xml:space="preserve">·</w:t>
      </w:r>
      <w:r>
        <w:t xml:space="preserve"> </w:t>
      </w:r>
      <w:hyperlink r:id="rId40">
        <w:r>
          <w:rPr>
            <w:rStyle w:val="Hyperlink"/>
          </w:rPr>
          <w:t xml:space="preserve">PNP Eligibility Check</w:t>
        </w:r>
      </w:hyperlink>
    </w:p>
    <w:p>
      <w:r>
        <w:br w:type="page"/>
      </w:r>
    </w:p>
    <w:bookmarkEnd w:id="81"/>
    <w:bookmarkEnd w:id="82"/>
    <w:bookmarkEnd w:id="83"/>
    <w:bookmarkStart w:id="84" w:name="page-immigrationwork-permit"/>
    <w:p>
      <w:pPr>
        <w:pStyle w:val="Heading1"/>
      </w:pPr>
      <w:r>
        <w:t xml:space="preserve">PAGE: /immigration/work-permit</w:t>
      </w:r>
    </w:p>
    <w:bookmarkEnd w:id="84"/>
    <w:bookmarkStart w:id="99" w:name="menu-location-work-study-work-permits"/>
    <w:p>
      <w:pPr>
        <w:pStyle w:val="Heading1"/>
      </w:pPr>
      <w:r>
        <w:t xml:space="preserve">Menu location: Work &amp; Study → Work Permits</w:t>
      </w:r>
    </w:p>
    <w:p>
      <w:r>
        <w:pict>
          <v:rect style="width:0;height:1.5pt" o:hralign="center" o:hrstd="t" o:hr="t"/>
        </w:pict>
      </w:r>
    </w:p>
    <w:bookmarkStart w:id="86" w:name="meta-tags-3"/>
    <w:p>
      <w:pPr>
        <w:pStyle w:val="Heading2"/>
      </w:pPr>
      <w:r>
        <w:t xml:space="preserve">META TAGS</w:t>
      </w:r>
    </w:p>
    <w:p>
      <w:pPr>
        <w:pStyle w:val="SourceCode"/>
      </w:pPr>
      <w:r>
        <w:rPr>
          <w:rStyle w:val="VerbatimChar"/>
        </w:rPr>
        <w:t xml:space="preserve">title: Work Permit Consultant Brampton | Employer-Specific, Open &amp; PGWP | CMG</w:t>
      </w:r>
      <w:r>
        <w:br/>
      </w:r>
      <w:r>
        <w:rPr>
          <w:rStyle w:val="VerbatimChar"/>
        </w:rPr>
        <w:t xml:space="preserve">meta-description: Licensed RCIC support for Canadian work permits in Brampton &amp; across Ontario. Employer-specific, open, spousal open, LMIA-supported permits, restoration &amp; implied status.</w:t>
      </w:r>
      <w:r>
        <w:br/>
      </w:r>
      <w:r>
        <w:rPr>
          <w:rStyle w:val="VerbatimChar"/>
        </w:rPr>
        <w:t xml:space="preserve">canonical: https://commonwealthmigration.ca/immigration/work-permit</w:t>
      </w:r>
      <w:r>
        <w:br/>
      </w:r>
      <w:r>
        <w:rPr>
          <w:rStyle w:val="VerbatimChar"/>
        </w:rPr>
        <w:t xml:space="preserve">meta-keywords: work permit consultant Brampton, LMIA work permit GTA, open work permit Ontario, spousal work permit Canada, implied status renewal, work permit restoration</w:t>
      </w:r>
      <w:r>
        <w:br/>
      </w:r>
      <w:r>
        <w:rPr>
          <w:rStyle w:val="VerbatimChar"/>
        </w:rPr>
        <w:t xml:space="preserve">meta-og:title: Work Permit Consultant Brampton | Employer-Specific, Open &amp; PGWP</w:t>
      </w:r>
      <w:r>
        <w:br/>
      </w:r>
      <w:r>
        <w:rPr>
          <w:rStyle w:val="VerbatimChar"/>
        </w:rPr>
        <w:t xml:space="preserve">meta-og:description: Licensed RCIC support for Canadian work permits in Brampton &amp; across Ontario — employer-specific, open, spousal, LMIA-supported, restoration &amp; implied status.</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https://commonwealthmigration.ca/immigration/work-permit</w:t>
      </w:r>
      <w:r>
        <w:br/>
      </w:r>
      <w:r>
        <w:rPr>
          <w:rStyle w:val="VerbatimChar"/>
        </w:rPr>
        <w:t xml:space="preserve">meta-theme-color: #C8102E</w:t>
      </w:r>
    </w:p>
    <w:bookmarkStart w:id="85" w:name="json-ld-2"/>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long can I stay in Canada while my work permit renewal is processing?"</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"If you apply for a new work permit before your current one expires, you have implied status and may continue working under your existing conditions while IRCC processes the renewal, even past the original expiry date."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the difference between an employer-specific and an open work permit?"</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"An employer-specific work permit ties you to one employer, job title and location, and usually requires an LMIA or LMIA exemption. An open work permit lets you work for almost any employer in Canada and does not require a job offer, though eligibility is limited to specific categories such as spouses of workers or students, PGWP holders, or bridging open work permit applicants."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 I restore my work permit after it has expired?"</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"You can apply for restoration of status within 90 days of your work permit expiring, provided you meet the eligibility requirements and have not worked without authorization during the gap. Missing the 90-day window generally means leaving Canada and reapplying from outside."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85"/>
    <w:bookmarkEnd w:id="86"/>
    <w:bookmarkStart w:id="98" w:name="page-content-3"/>
    <w:p>
      <w:pPr>
        <w:pStyle w:val="Heading2"/>
      </w:pPr>
      <w:r>
        <w:t xml:space="preserve">PAGE CONTENT</w:t>
      </w:r>
    </w:p>
    <w:bookmarkStart w:id="87" w:name="h1-3"/>
    <w:p>
      <w:pPr>
        <w:pStyle w:val="Heading3"/>
      </w:pPr>
      <w:r>
        <w:t xml:space="preserve">H1</w:t>
      </w:r>
    </w:p>
    <w:p>
      <w:pPr>
        <w:pStyle w:val="FirstParagraph"/>
      </w:pPr>
      <w:r>
        <w:t xml:space="preserve">Work Permit Consultant in Brampton — Employer-Specific, Open, Spousal &amp; LMIA-Supported Permits</w:t>
      </w:r>
    </w:p>
    <w:bookmarkEnd w:id="87"/>
    <w:bookmarkStart w:id="88" w:name="Xf7fcea50ac4abe190778423ee0fba93793ce7a5"/>
    <w:p>
      <w:pPr>
        <w:pStyle w:val="Heading3"/>
      </w:pPr>
      <w:r>
        <w:t xml:space="preserve">Intro (target:</w:t>
      </w:r>
      <w:r>
        <w:t xml:space="preserve"> </w:t>
      </w:r>
      <w:r>
        <w:t xml:space="preserve">“</w:t>
      </w:r>
      <w:r>
        <w:t xml:space="preserve">work permit consultant Brampton</w:t>
      </w:r>
      <w:r>
        <w:t xml:space="preserve">”</w:t>
      </w:r>
      <w:r>
        <w:t xml:space="preserve">,</w:t>
      </w:r>
      <w:r>
        <w:t xml:space="preserve"> </w:t>
      </w:r>
      <w:r>
        <w:t xml:space="preserve">“</w:t>
      </w:r>
      <w:r>
        <w:t xml:space="preserve">LMIA work permit GTA</w:t>
      </w:r>
      <w:r>
        <w:t xml:space="preserve">”</w:t>
      </w:r>
      <w:r>
        <w:t xml:space="preserve">)</w:t>
      </w:r>
    </w:p>
    <w:p>
      <w:pPr>
        <w:pStyle w:val="FirstParagraph"/>
      </w:pPr>
      <w:r>
        <w:t xml:space="preserve">Canadian work permits fall into two broad categories — employer-specific and open — and the rules governing each change depending on your current status, your employer’s obligations, and whether an LMIA is required or exempt. Our Brampton office works with applicants already living in the GTA on a work or study permit, as well as candidates applying from outside Canada, to file the correct permit type the first time.</w:t>
      </w:r>
    </w:p>
    <w:bookmarkEnd w:id="88"/>
    <w:bookmarkStart w:id="90" w:name="h2-types-of-work-permits-we-handle"/>
    <w:p>
      <w:pPr>
        <w:pStyle w:val="Heading3"/>
      </w:pPr>
      <w:r>
        <w:t xml:space="preserve">H2: Types of work permits we handle</w:t>
      </w:r>
    </w:p>
    <w:p>
      <w:pPr>
        <w:numPr>
          <w:ilvl w:val="0"/>
          <w:numId w:val="1007"/>
        </w:numPr>
        <w:pStyle w:val="Compact"/>
      </w:pPr>
      <w:r>
        <w:rPr>
          <w:bCs/>
          <w:b/>
        </w:rPr>
        <w:t xml:space="preserve">Employer-specific work permits</w:t>
      </w:r>
      <w:r>
        <w:t xml:space="preserve"> </w:t>
      </w:r>
      <w:r>
        <w:t xml:space="preserve">— tied to a named employer, position and (usually) location, supported by an LMIA or an LMIA exemption under international agreements or intra-company transfer provisions.</w:t>
      </w:r>
    </w:p>
    <w:p>
      <w:pPr>
        <w:numPr>
          <w:ilvl w:val="0"/>
          <w:numId w:val="1007"/>
        </w:numPr>
        <w:pStyle w:val="Compact"/>
      </w:pPr>
      <w:r>
        <w:rPr>
          <w:bCs/>
          <w:b/>
        </w:rPr>
        <w:t xml:space="preserve">Open work permits</w:t>
      </w:r>
      <w:r>
        <w:t xml:space="preserve"> </w:t>
      </w:r>
      <w:r>
        <w:t xml:space="preserve">— not tied to a single employer; available to spouses of skilled workers or students, post-graduation work permit (PGWP) holders, and certain bridging categories.</w:t>
      </w:r>
    </w:p>
    <w:p>
      <w:pPr>
        <w:numPr>
          <w:ilvl w:val="0"/>
          <w:numId w:val="1007"/>
        </w:numPr>
        <w:pStyle w:val="Compact"/>
      </w:pPr>
      <w:r>
        <w:rPr>
          <w:bCs/>
          <w:b/>
        </w:rPr>
        <w:t xml:space="preserve">Spousal open work permits</w:t>
      </w:r>
      <w:r>
        <w:t xml:space="preserve"> </w:t>
      </w:r>
      <w:r>
        <w:t xml:space="preserve">— for spouses/partners of principal applicants on qualifying work or study permits, or accompanying a permanent residence applicant.</w:t>
      </w:r>
    </w:p>
    <w:p>
      <w:pPr>
        <w:numPr>
          <w:ilvl w:val="0"/>
          <w:numId w:val="1007"/>
        </w:numPr>
        <w:pStyle w:val="Compact"/>
      </w:pPr>
      <w:r>
        <w:rPr>
          <w:bCs/>
          <w:b/>
        </w:rPr>
        <w:t xml:space="preserve">LMIA-supported permits</w:t>
      </w:r>
      <w:r>
        <w:t xml:space="preserve"> </w:t>
      </w:r>
      <w:r>
        <w:t xml:space="preserve">— high-wage, low-wage, agricultural and Global Talent Stream categories; see our</w:t>
      </w:r>
      <w:r>
        <w:t xml:space="preserve"> </w:t>
      </w:r>
      <w:hyperlink r:id="rId89">
        <w:r>
          <w:rPr>
            <w:rStyle w:val="Hyperlink"/>
          </w:rPr>
          <w:t xml:space="preserve">employer LMIA services</w:t>
        </w:r>
      </w:hyperlink>
      <w:r>
        <w:t xml:space="preserve"> </w:t>
      </w:r>
      <w:r>
        <w:t xml:space="preserve">for the employer side of this process.</w:t>
      </w:r>
    </w:p>
    <w:p>
      <w:pPr>
        <w:numPr>
          <w:ilvl w:val="0"/>
          <w:numId w:val="1007"/>
        </w:numPr>
        <w:pStyle w:val="Compact"/>
      </w:pPr>
      <w:r>
        <w:rPr>
          <w:bCs/>
          <w:b/>
        </w:rPr>
        <w:t xml:space="preserve">Restoration &amp; implied status</w:t>
      </w:r>
      <w:r>
        <w:t xml:space="preserve"> </w:t>
      </w:r>
      <w:r>
        <w:t xml:space="preserve">— protecting your ability to keep working while a renewal is in process, or restoring status after an expired permit.</w:t>
      </w:r>
    </w:p>
    <w:bookmarkEnd w:id="90"/>
    <w:bookmarkStart w:id="91" w:name="Xd6523266e66b1cb6eb84ba27e99ba6d18741d5b"/>
    <w:p>
      <w:pPr>
        <w:pStyle w:val="Heading3"/>
      </w:pPr>
      <w:r>
        <w:t xml:space="preserve">H2: Applying from inside vs. outside Canada</w:t>
      </w:r>
    </w:p>
    <w:p>
      <w:pPr>
        <w:pStyle w:val="FirstParagraph"/>
      </w:pPr>
      <w:r>
        <w:t xml:space="preserve">Applicants already in Canada on valid status can often apply for a new or renewed work permit from within the country and continue working under implied status while it processes. Applicants outside Canada apply through the employer-specific or open permit stream tied to their situation, with processing times that vary significantly by country of application and permit type.</w:t>
      </w:r>
    </w:p>
    <w:bookmarkEnd w:id="91"/>
    <w:bookmarkStart w:id="92" w:name="X15f83f6df88cb11dbd3a5898bc7f7249230c5ca"/>
    <w:p>
      <w:pPr>
        <w:pStyle w:val="Heading3"/>
      </w:pPr>
      <w:r>
        <w:t xml:space="preserve">H2: Why GTA and Peel Region applicants choose a licensed RCIC</w:t>
      </w:r>
    </w:p>
    <w:p>
      <w:pPr>
        <w:pStyle w:val="FirstParagraph"/>
      </w:pPr>
      <w:r>
        <w:t xml:space="preserve">Brampton and the wider GTA have a high concentration of employer-specific work permit holders across manufacturing, logistics, healthcare, trucking and skilled trades. Filing errors on the LMIA-exemption code, NOC classification, or implied status timing are among the most common reasons for refusals in these sectors — our team reviews every file against the specific program requirements before submission.</w:t>
      </w:r>
    </w:p>
    <w:bookmarkEnd w:id="92"/>
    <w:bookmarkStart w:id="93" w:name="h2-our-work-permit-process"/>
    <w:p>
      <w:pPr>
        <w:pStyle w:val="Heading3"/>
      </w:pPr>
      <w:r>
        <w:t xml:space="preserve">H2: Our work permit process</w:t>
      </w:r>
    </w:p>
    <w:p>
      <w:pPr>
        <w:numPr>
          <w:ilvl w:val="0"/>
          <w:numId w:val="1008"/>
        </w:numPr>
        <w:pStyle w:val="Compact"/>
      </w:pPr>
      <w:r>
        <w:rPr>
          <w:bCs/>
          <w:b/>
        </w:rPr>
        <w:t xml:space="preserve">Eligibility and category match</w:t>
      </w:r>
      <w:r>
        <w:t xml:space="preserve"> </w:t>
      </w:r>
      <w:r>
        <w:t xml:space="preserve">— employer-specific vs. open, LMIA requirement check.</w:t>
      </w:r>
    </w:p>
    <w:p>
      <w:pPr>
        <w:numPr>
          <w:ilvl w:val="0"/>
          <w:numId w:val="1008"/>
        </w:numPr>
        <w:pStyle w:val="Compact"/>
      </w:pPr>
      <w:r>
        <w:rPr>
          <w:bCs/>
          <w:b/>
        </w:rPr>
        <w:t xml:space="preserve">Document preparation</w:t>
      </w:r>
      <w:r>
        <w:t xml:space="preserve"> </w:t>
      </w:r>
      <w:r>
        <w:t xml:space="preserve">— job offer, LMIA (where applicable), proof of relationship for spousal permits, or PGWP eligibility documents.</w:t>
      </w:r>
    </w:p>
    <w:p>
      <w:pPr>
        <w:numPr>
          <w:ilvl w:val="0"/>
          <w:numId w:val="1008"/>
        </w:numPr>
        <w:pStyle w:val="Compact"/>
      </w:pPr>
      <w:r>
        <w:rPr>
          <w:bCs/>
          <w:b/>
        </w:rPr>
        <w:t xml:space="preserve">Filing and monitoring</w:t>
      </w:r>
      <w:r>
        <w:t xml:space="preserve"> </w:t>
      </w:r>
      <w:r>
        <w:t xml:space="preserve">— application submitted and tracked through to a decision.</w:t>
      </w:r>
    </w:p>
    <w:p>
      <w:pPr>
        <w:numPr>
          <w:ilvl w:val="0"/>
          <w:numId w:val="1008"/>
        </w:numPr>
        <w:pStyle w:val="Compact"/>
      </w:pPr>
      <w:r>
        <w:rPr>
          <w:bCs/>
          <w:b/>
        </w:rPr>
        <w:t xml:space="preserve">Status protection</w:t>
      </w:r>
      <w:r>
        <w:t xml:space="preserve"> </w:t>
      </w:r>
      <w:r>
        <w:t xml:space="preserve">— implied status guidance for renewals, or restoration filing if a permit has lapsed.</w:t>
      </w:r>
    </w:p>
    <w:bookmarkEnd w:id="93"/>
    <w:bookmarkStart w:id="95" w:name="h2-related-pathways-2"/>
    <w:p>
      <w:pPr>
        <w:pStyle w:val="Heading3"/>
      </w:pPr>
      <w:r>
        <w:t xml:space="preserve">H2: Related pathways</w:t>
      </w:r>
    </w:p>
    <w:p>
      <w:pPr>
        <w:pStyle w:val="FirstParagraph"/>
      </w:pPr>
      <w:r>
        <w:t xml:space="preserve">Work permit holders inside Canada often qualify for</w:t>
      </w:r>
      <w:r>
        <w:t xml:space="preserve"> </w:t>
      </w:r>
      <w:hyperlink r:id="rId26">
        <w:r>
          <w:rPr>
            <w:rStyle w:val="Hyperlink"/>
          </w:rPr>
          <w:t xml:space="preserve">Canadian Experience Class under Express Entry</w:t>
        </w:r>
      </w:hyperlink>
      <w:r>
        <w:t xml:space="preserve"> </w:t>
      </w:r>
      <w:r>
        <w:t xml:space="preserve">after one year, or the</w:t>
      </w:r>
      <w:r>
        <w:t xml:space="preserve"> </w:t>
      </w:r>
      <w:hyperlink r:id="rId94">
        <w:r>
          <w:rPr>
            <w:rStyle w:val="Hyperlink"/>
          </w:rPr>
          <w:t xml:space="preserve">Post-Graduation Work Permit</w:t>
        </w:r>
      </w:hyperlink>
      <w:r>
        <w:t xml:space="preserve"> </w:t>
      </w:r>
      <w:r>
        <w:t xml:space="preserve">route after study. Employers hiring internationally should review our</w:t>
      </w:r>
      <w:r>
        <w:t xml:space="preserve"> </w:t>
      </w:r>
      <w:hyperlink r:id="rId36">
        <w:r>
          <w:rPr>
            <w:rStyle w:val="Hyperlink"/>
          </w:rPr>
          <w:t xml:space="preserve">LMIA and Global Talent Stream services</w:t>
        </w:r>
      </w:hyperlink>
      <w:r>
        <w:t xml:space="preserve">.</w:t>
      </w:r>
    </w:p>
    <w:bookmarkEnd w:id="95"/>
    <w:bookmarkStart w:id="96" w:name="faq-2"/>
    <w:p>
      <w:pPr>
        <w:pStyle w:val="Heading3"/>
      </w:pPr>
      <w:r>
        <w:t xml:space="preserve">FAQ</w:t>
      </w:r>
    </w:p>
    <w:p>
      <w:pPr>
        <w:pStyle w:val="FirstParagraph"/>
      </w:pPr>
      <w:r>
        <w:rPr>
          <w:bCs/>
          <w:b/>
        </w:rPr>
        <w:t xml:space="preserve">How long can I stay in Canada while my work permit renewal processes?</w:t>
      </w:r>
      <w:r>
        <w:t xml:space="preserve"> </w:t>
      </w:r>
      <w:r>
        <w:t xml:space="preserve">If you apply before your current permit expires, implied status lets you keep working under your existing conditions while IRCC processes the renewal — even past the original expiry date.</w:t>
      </w:r>
    </w:p>
    <w:p>
      <w:pPr>
        <w:pStyle w:val="BodyText"/>
      </w:pPr>
      <w:r>
        <w:rPr>
          <w:bCs/>
          <w:b/>
        </w:rPr>
        <w:t xml:space="preserve">What’s the difference between employer-specific and open work permits?</w:t>
      </w:r>
      <w:r>
        <w:t xml:space="preserve"> </w:t>
      </w:r>
      <w:r>
        <w:t xml:space="preserve">Employer-specific ties you to one employer, role and location, usually with an LMIA or exemption. Open permits let you work almost anywhere but are limited to specific eligible categories.</w:t>
      </w:r>
    </w:p>
    <w:p>
      <w:pPr>
        <w:pStyle w:val="BodyText"/>
      </w:pPr>
      <w:r>
        <w:rPr>
          <w:bCs/>
          <w:b/>
        </w:rPr>
        <w:t xml:space="preserve">Can I restore an expired work permit?</w:t>
      </w:r>
      <w:r>
        <w:t xml:space="preserve"> </w:t>
      </w:r>
      <w:r>
        <w:t xml:space="preserve">Yes, within 90 days of expiry, if you meet eligibility and haven’t worked without authorization during the gap. After 90 days, you generally need to leave Canada and reapply.</w:t>
      </w:r>
    </w:p>
    <w:bookmarkEnd w:id="96"/>
    <w:bookmarkStart w:id="97" w:name="cta-block-2"/>
    <w:p>
      <w:pPr>
        <w:pStyle w:val="Heading3"/>
      </w:pPr>
      <w:r>
        <w:t xml:space="preserve">CTA block</w:t>
      </w:r>
    </w:p>
    <w:p>
      <w:pPr>
        <w:pStyle w:val="FirstParagraph"/>
      </w:pPr>
      <w:r>
        <w:t xml:space="preserve">Confirm your work permit category before you apply.</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97"/>
    <w:bookmarkEnd w:id="98"/>
    <w:bookmarkEnd w:id="99"/>
    <w:bookmarkStart w:id="100" w:name="page-immigrationstudy-permit"/>
    <w:p>
      <w:pPr>
        <w:pStyle w:val="Heading1"/>
      </w:pPr>
      <w:r>
        <w:t xml:space="preserve">PAGE: /immigration/study-permit</w:t>
      </w:r>
    </w:p>
    <w:bookmarkEnd w:id="100"/>
    <w:bookmarkStart w:id="113" w:name="menu-location-work-study-study-permits"/>
    <w:p>
      <w:pPr>
        <w:pStyle w:val="Heading1"/>
      </w:pPr>
      <w:r>
        <w:t xml:space="preserve">Menu location: Work &amp; Study → Study Permits</w:t>
      </w:r>
    </w:p>
    <w:p>
      <w:r>
        <w:pict>
          <v:rect style="width:0;height:1.5pt" o:hralign="center" o:hrstd="t" o:hr="t"/>
        </w:pict>
      </w:r>
    </w:p>
    <w:bookmarkStart w:id="102" w:name="meta-tags-4"/>
    <w:p>
      <w:pPr>
        <w:pStyle w:val="Heading2"/>
      </w:pPr>
      <w:r>
        <w:t xml:space="preserve">META TAGS</w:t>
      </w:r>
    </w:p>
    <w:p>
      <w:pPr>
        <w:pStyle w:val="SourceCode"/>
      </w:pPr>
      <w:r>
        <w:rPr>
          <w:rStyle w:val="VerbatimChar"/>
        </w:rPr>
        <w:t xml:space="preserve">title: Study Permit Consultant Brampton | SDS, DLI Change &amp; PGWP Planning | CMG</w:t>
      </w:r>
      <w:r>
        <w:br/>
      </w:r>
      <w:r>
        <w:rPr>
          <w:rStyle w:val="VerbatimChar"/>
        </w:rPr>
        <w:t xml:space="preserve">meta-description: Licensed RCIC guidance for Canadian study permits from Brampton, GTA &amp; worldwide. SDS applications, provincial attestation letters (PAL), DLI transfers, and PGWP eligibility planning.</w:t>
      </w:r>
      <w:r>
        <w:br/>
      </w:r>
      <w:r>
        <w:rPr>
          <w:rStyle w:val="VerbatimChar"/>
        </w:rPr>
        <w:t xml:space="preserve">canonical: https://commonwealthmigration.ca/immigration/study-permit</w:t>
      </w:r>
      <w:r>
        <w:br/>
      </w:r>
      <w:r>
        <w:rPr>
          <w:rStyle w:val="VerbatimChar"/>
        </w:rPr>
        <w:t xml:space="preserve">meta-keywords: study permit consultant Brampton, SDS study permit Canada, PAL provincial attestation letter, DLI change consultant, PGWP planning Ontario, study permit refusal Brampton</w:t>
      </w:r>
      <w:r>
        <w:br/>
      </w:r>
      <w:r>
        <w:rPr>
          <w:rStyle w:val="VerbatimChar"/>
        </w:rPr>
        <w:t xml:space="preserve">meta-og:title: Study Permit Consultant Brampton | SDS, DLI Change &amp; PGWP Planning</w:t>
      </w:r>
      <w:r>
        <w:br/>
      </w:r>
      <w:r>
        <w:rPr>
          <w:rStyle w:val="VerbatimChar"/>
        </w:rPr>
        <w:t xml:space="preserve">meta-og:description: Licensed RCIC guidance for Canadian study permits — SDS applications, provincial attestation letters, DLI transfers, and PGWP eligibility planning.</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https://commonwealthmigration.ca/immigration/study-permit</w:t>
      </w:r>
      <w:r>
        <w:br/>
      </w:r>
      <w:r>
        <w:rPr>
          <w:rStyle w:val="VerbatimChar"/>
        </w:rPr>
        <w:t xml:space="preserve">meta-theme-color: #C8102E</w:t>
      </w:r>
    </w:p>
    <w:bookmarkStart w:id="101" w:name="json-ld-3"/>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 I need a Provincial Attestation Letter (PAL) for a study permit in 2026?"</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"Most study permit applicants need a Provincial Attestation Letter (or Territorial Attestation Letter) issued by the province or territory of their designated learning institution, in addition to their letter of acceptance. Exemptions apply to certain program levels and applicant categories, which a licensed RCIC can confirm against current IRCC instructions."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the Student Direct Stream (SDS) and am I eligible?"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"SDS is a faster processing stream for study permit applicants from specific eligible countries who meet upfront language test, tuition deposit, and proof-of-funds requirements. Eligibility is country-specific and changes periodically, so confirming current SDS country lists before applying avoids default processing under the standard stream."</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 I switch schools (DLI) after my study permit is approved?"</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"You can generally change your designated learning institution without a new study permit, but you must report the change through your IRCC account, remain enrolled and actively pursuing your studies, and continue meeting your permit conditions throughout the transfer."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01"/>
    <w:bookmarkEnd w:id="102"/>
    <w:bookmarkStart w:id="112" w:name="page-content-4"/>
    <w:p>
      <w:pPr>
        <w:pStyle w:val="Heading2"/>
      </w:pPr>
      <w:r>
        <w:t xml:space="preserve">PAGE CONTENT</w:t>
      </w:r>
    </w:p>
    <w:bookmarkStart w:id="103" w:name="h1-4"/>
    <w:p>
      <w:pPr>
        <w:pStyle w:val="Heading3"/>
      </w:pPr>
      <w:r>
        <w:t xml:space="preserve">H1</w:t>
      </w:r>
    </w:p>
    <w:p>
      <w:pPr>
        <w:pStyle w:val="FirstParagraph"/>
      </w:pPr>
      <w:r>
        <w:t xml:space="preserve">Study Permit Consultant in Brampton — SDS, PAL &amp; PGWP Planning for International Students</w:t>
      </w:r>
    </w:p>
    <w:bookmarkEnd w:id="103"/>
    <w:bookmarkStart w:id="104" w:name="X841d87746b602c4651bec6a924aae977f97a0ae"/>
    <w:p>
      <w:pPr>
        <w:pStyle w:val="Heading3"/>
      </w:pPr>
      <w:r>
        <w:t xml:space="preserve">Intro (target:</w:t>
      </w:r>
      <w:r>
        <w:t xml:space="preserve"> </w:t>
      </w:r>
      <w:r>
        <w:t xml:space="preserve">“</w:t>
      </w:r>
      <w:r>
        <w:t xml:space="preserve">study permit consultant Brampton</w:t>
      </w:r>
      <w:r>
        <w:t xml:space="preserve">”</w:t>
      </w:r>
      <w:r>
        <w:t xml:space="preserve">,</w:t>
      </w:r>
      <w:r>
        <w:t xml:space="preserve"> </w:t>
      </w:r>
      <w:r>
        <w:t xml:space="preserve">“</w:t>
      </w:r>
      <w:r>
        <w:t xml:space="preserve">SDS study permit Canada</w:t>
      </w:r>
      <w:r>
        <w:t xml:space="preserve">”</w:t>
      </w:r>
      <w:r>
        <w:t xml:space="preserve">)</w:t>
      </w:r>
    </w:p>
    <w:p>
      <w:pPr>
        <w:pStyle w:val="FirstParagraph"/>
      </w:pPr>
      <w:r>
        <w:t xml:space="preserve">A Canadian study permit application is judged on more than a letter of acceptance — proof of funds, study plan credibility, provincial attestation, and ties to your home country all factor into the officer’s decision. Brampton and the GTA host a large international student population studying at Ontario colleges and universities, and our licensed RCIC team prepares study permit files for applicants both applying from abroad and already studying in Canada.</w:t>
      </w:r>
    </w:p>
    <w:bookmarkEnd w:id="104"/>
    <w:bookmarkStart w:id="105" w:name="h2-study-permit-routes-we-handle"/>
    <w:p>
      <w:pPr>
        <w:pStyle w:val="Heading3"/>
      </w:pPr>
      <w:r>
        <w:t xml:space="preserve">H2: Study permit routes we handle</w:t>
      </w:r>
    </w:p>
    <w:p>
      <w:pPr>
        <w:numPr>
          <w:ilvl w:val="0"/>
          <w:numId w:val="1009"/>
        </w:numPr>
        <w:pStyle w:val="Compact"/>
      </w:pPr>
      <w:r>
        <w:rPr>
          <w:bCs/>
          <w:b/>
        </w:rPr>
        <w:t xml:space="preserve">Student Direct Stream (SDS)</w:t>
      </w:r>
      <w:r>
        <w:t xml:space="preserve"> </w:t>
      </w:r>
      <w:r>
        <w:t xml:space="preserve">— faster processing for applicants from eligible countries who meet upfront financial and language requirements.</w:t>
      </w:r>
    </w:p>
    <w:p>
      <w:pPr>
        <w:numPr>
          <w:ilvl w:val="0"/>
          <w:numId w:val="1009"/>
        </w:numPr>
        <w:pStyle w:val="Compact"/>
      </w:pPr>
      <w:r>
        <w:rPr>
          <w:bCs/>
          <w:b/>
        </w:rPr>
        <w:t xml:space="preserve">Standard study permit stream</w:t>
      </w:r>
      <w:r>
        <w:t xml:space="preserve"> </w:t>
      </w:r>
      <w:r>
        <w:t xml:space="preserve">— for applicants outside SDS-eligible countries or program types, with a fuller financial documentation package.</w:t>
      </w:r>
    </w:p>
    <w:p>
      <w:pPr>
        <w:numPr>
          <w:ilvl w:val="0"/>
          <w:numId w:val="1009"/>
        </w:numPr>
        <w:pStyle w:val="Compact"/>
      </w:pPr>
      <w:r>
        <w:rPr>
          <w:bCs/>
          <w:b/>
        </w:rPr>
        <w:t xml:space="preserve">Provincial/Territorial Attestation Letter (PAL/TAL)</w:t>
      </w:r>
      <w:r>
        <w:t xml:space="preserve"> </w:t>
      </w:r>
      <w:r>
        <w:t xml:space="preserve">— confirming your designated learning institution has a seat allocated under current provincial intake limits.</w:t>
      </w:r>
    </w:p>
    <w:p>
      <w:pPr>
        <w:numPr>
          <w:ilvl w:val="0"/>
          <w:numId w:val="1009"/>
        </w:numPr>
        <w:pStyle w:val="Compact"/>
      </w:pPr>
      <w:r>
        <w:rPr>
          <w:bCs/>
          <w:b/>
        </w:rPr>
        <w:t xml:space="preserve">Designated Learning Institution (DLI) transfers</w:t>
      </w:r>
      <w:r>
        <w:t xml:space="preserve"> </w:t>
      </w:r>
      <w:r>
        <w:t xml:space="preserve">— changing schools or programs while maintaining valid status.</w:t>
      </w:r>
    </w:p>
    <w:p>
      <w:pPr>
        <w:numPr>
          <w:ilvl w:val="0"/>
          <w:numId w:val="1009"/>
        </w:numPr>
        <w:pStyle w:val="Compact"/>
      </w:pPr>
      <w:r>
        <w:rPr>
          <w:bCs/>
          <w:b/>
        </w:rPr>
        <w:t xml:space="preserve">Post-Graduation Work Permit (PGWP) planning</w:t>
      </w:r>
      <w:r>
        <w:t xml:space="preserve"> </w:t>
      </w:r>
      <w:r>
        <w:t xml:space="preserve">— structuring your program choice and study permit conditions so you remain eligible for a PGWP after graduation.</w:t>
      </w:r>
    </w:p>
    <w:bookmarkEnd w:id="105"/>
    <w:bookmarkStart w:id="106" w:name="Xec2b47e6ff2a5cc2a794863e5b2661b6e8ed0b8"/>
    <w:p>
      <w:pPr>
        <w:pStyle w:val="Heading3"/>
      </w:pPr>
      <w:r>
        <w:t xml:space="preserve">H2: What makes a study plan credible to an officer</w:t>
      </w:r>
    </w:p>
    <w:p>
      <w:pPr>
        <w:pStyle w:val="FirstParagraph"/>
      </w:pPr>
      <w:r>
        <w:t xml:space="preserve">Officers assess whether your chosen program is a logical step given your academic and career history, whether your proof of funds genuinely covers tuition and living costs for the program length, and whether your explanation for choosing Canada — and this specific institution — is consistent and well supported. Generic or templated study plans are one of the most common reasons for refusal.</w:t>
      </w:r>
    </w:p>
    <w:bookmarkEnd w:id="106"/>
    <w:bookmarkStart w:id="107" w:name="X8a60627e9ba674d625678c79c3b584eb2835d50"/>
    <w:p>
      <w:pPr>
        <w:pStyle w:val="Heading3"/>
      </w:pPr>
      <w:r>
        <w:t xml:space="preserve">H2: Why GTA applicants and current students choose a licensed RCIC</w:t>
      </w:r>
    </w:p>
    <w:p>
      <w:pPr>
        <w:pStyle w:val="FirstParagraph"/>
      </w:pPr>
      <w:r>
        <w:t xml:space="preserve">For applicants already enrolled at a GTA institution, status maintenance — enrolment, permit conditions, DLI transfer reporting — protects your PGWP eligibility later. For applicants applying from outside Canada, financial documentation and study plan quality are within your control and are exactly where a licensed consultant adds the most value before submission, not after a refusal.</w:t>
      </w:r>
    </w:p>
    <w:bookmarkEnd w:id="107"/>
    <w:bookmarkStart w:id="108" w:name="h2-our-study-permit-process"/>
    <w:p>
      <w:pPr>
        <w:pStyle w:val="Heading3"/>
      </w:pPr>
      <w:r>
        <w:t xml:space="preserve">H2: Our study permit process</w:t>
      </w:r>
    </w:p>
    <w:p>
      <w:pPr>
        <w:numPr>
          <w:ilvl w:val="0"/>
          <w:numId w:val="1010"/>
        </w:numPr>
        <w:pStyle w:val="Compact"/>
      </w:pPr>
      <w:r>
        <w:rPr>
          <w:bCs/>
          <w:b/>
        </w:rPr>
        <w:t xml:space="preserve">Program and DLI fit check</w:t>
      </w:r>
      <w:r>
        <w:t xml:space="preserve"> </w:t>
      </w:r>
      <w:r>
        <w:t xml:space="preserve">— SDS eligibility, PAL requirement, and program-to-PGWP alignment.</w:t>
      </w:r>
    </w:p>
    <w:p>
      <w:pPr>
        <w:numPr>
          <w:ilvl w:val="0"/>
          <w:numId w:val="1010"/>
        </w:numPr>
        <w:pStyle w:val="Compact"/>
      </w:pPr>
      <w:r>
        <w:rPr>
          <w:bCs/>
          <w:b/>
        </w:rPr>
        <w:t xml:space="preserve">Financial documentation</w:t>
      </w:r>
      <w:r>
        <w:t xml:space="preserve"> </w:t>
      </w:r>
      <w:r>
        <w:t xml:space="preserve">— proof of funds structured to meet current thresholds.</w:t>
      </w:r>
    </w:p>
    <w:p>
      <w:pPr>
        <w:numPr>
          <w:ilvl w:val="0"/>
          <w:numId w:val="1010"/>
        </w:numPr>
        <w:pStyle w:val="Compact"/>
      </w:pPr>
      <w:r>
        <w:rPr>
          <w:bCs/>
          <w:b/>
        </w:rPr>
        <w:t xml:space="preserve">Study plan preparation</w:t>
      </w:r>
      <w:r>
        <w:t xml:space="preserve"> </w:t>
      </w:r>
      <w:r>
        <w:t xml:space="preserve">— a specific, evidence-backed narrative rather than a generic template.</w:t>
      </w:r>
    </w:p>
    <w:p>
      <w:pPr>
        <w:numPr>
          <w:ilvl w:val="0"/>
          <w:numId w:val="1010"/>
        </w:numPr>
        <w:pStyle w:val="Compact"/>
      </w:pPr>
      <w:r>
        <w:rPr>
          <w:bCs/>
          <w:b/>
        </w:rPr>
        <w:t xml:space="preserve">Filing and status maintenance</w:t>
      </w:r>
      <w:r>
        <w:t xml:space="preserve"> </w:t>
      </w:r>
      <w:r>
        <w:t xml:space="preserve">— submission, and ongoing guidance through DLI changes or permit renewal.</w:t>
      </w:r>
    </w:p>
    <w:bookmarkEnd w:id="108"/>
    <w:bookmarkStart w:id="109" w:name="h2-related-pathways-3"/>
    <w:p>
      <w:pPr>
        <w:pStyle w:val="Heading3"/>
      </w:pPr>
      <w:r>
        <w:t xml:space="preserve">H2: Related pathways</w:t>
      </w:r>
    </w:p>
    <w:p>
      <w:pPr>
        <w:pStyle w:val="FirstParagraph"/>
      </w:pPr>
      <w:r>
        <w:t xml:space="preserve">Already studying in Canada and planning ahead? Review</w:t>
      </w:r>
      <w:r>
        <w:t xml:space="preserve"> </w:t>
      </w:r>
      <w:hyperlink r:id="rId94">
        <w:r>
          <w:rPr>
            <w:rStyle w:val="Hyperlink"/>
          </w:rPr>
          <w:t xml:space="preserve">PGWP eligibility</w:t>
        </w:r>
      </w:hyperlink>
      <w:r>
        <w:t xml:space="preserve">, or if a previous study permit was refused, see our</w:t>
      </w:r>
      <w:r>
        <w:t xml:space="preserve"> </w:t>
      </w:r>
      <w:hyperlink r:id="rId31">
        <w:r>
          <w:rPr>
            <w:rStyle w:val="Hyperlink"/>
          </w:rPr>
          <w:t xml:space="preserve">refusals and procedural fairness guide</w:t>
        </w:r>
      </w:hyperlink>
      <w:r>
        <w:t xml:space="preserve">.</w:t>
      </w:r>
    </w:p>
    <w:bookmarkEnd w:id="109"/>
    <w:bookmarkStart w:id="110" w:name="faq-3"/>
    <w:p>
      <w:pPr>
        <w:pStyle w:val="Heading3"/>
      </w:pPr>
      <w:r>
        <w:t xml:space="preserve">FAQ</w:t>
      </w:r>
    </w:p>
    <w:p>
      <w:pPr>
        <w:pStyle w:val="FirstParagraph"/>
      </w:pPr>
      <w:r>
        <w:rPr>
          <w:bCs/>
          <w:b/>
        </w:rPr>
        <w:t xml:space="preserve">Do I need a Provincial Attestation Letter (PAL) for a study permit in 2026?</w:t>
      </w:r>
      <w:r>
        <w:t xml:space="preserve"> </w:t>
      </w:r>
      <w:r>
        <w:t xml:space="preserve">Most applicants need a PAL or TAL from their DLI’s province or territory alongside their letter of acceptance, though some program levels and categories are exempt — confirm your specific case before applying.</w:t>
      </w:r>
    </w:p>
    <w:p>
      <w:pPr>
        <w:pStyle w:val="BodyText"/>
      </w:pPr>
      <w:r>
        <w:rPr>
          <w:bCs/>
          <w:b/>
        </w:rPr>
        <w:t xml:space="preserve">What is SDS and am I eligible?</w:t>
      </w:r>
      <w:r>
        <w:t xml:space="preserve"> </w:t>
      </w:r>
      <w:r>
        <w:t xml:space="preserve">SDS offers faster processing for applicants from specific eligible countries who meet upfront language, tuition deposit and funds requirements. Country eligibility changes periodically.</w:t>
      </w:r>
    </w:p>
    <w:p>
      <w:pPr>
        <w:pStyle w:val="BodyText"/>
      </w:pPr>
      <w:r>
        <w:rPr>
          <w:bCs/>
          <w:b/>
        </w:rPr>
        <w:t xml:space="preserve">Can I switch schools after my study permit is approved?</w:t>
      </w:r>
      <w:r>
        <w:t xml:space="preserve"> </w:t>
      </w:r>
      <w:r>
        <w:t xml:space="preserve">Generally yes — report the change through your IRCC account and keep meeting your permit conditions, including remaining enrolled and actively studying.</w:t>
      </w:r>
    </w:p>
    <w:bookmarkEnd w:id="110"/>
    <w:bookmarkStart w:id="111" w:name="cta-block-3"/>
    <w:p>
      <w:pPr>
        <w:pStyle w:val="Heading3"/>
      </w:pPr>
      <w:r>
        <w:t xml:space="preserve">CTA block</w:t>
      </w:r>
    </w:p>
    <w:p>
      <w:pPr>
        <w:pStyle w:val="FirstParagraph"/>
      </w:pPr>
      <w:r>
        <w:t xml:space="preserve">Get your study plan and funds documentation reviewed before you file.</w:t>
      </w:r>
      <w:r>
        <w:t xml:space="preserve"> </w:t>
      </w:r>
      <w:hyperlink r:id="rId65">
        <w:r>
          <w:rPr>
            <w:rStyle w:val="Hyperlink"/>
          </w:rPr>
          <w:t xml:space="preserve">Book a Consultation</w:t>
        </w:r>
      </w:hyperlink>
      <w:r>
        <w:t xml:space="preserve"> </w:t>
      </w:r>
      <w:r>
        <w:t xml:space="preserve">·</w:t>
      </w:r>
      <w:r>
        <w:t xml:space="preserve"> </w:t>
      </w:r>
      <w:hyperlink r:id="rId42">
        <w:r>
          <w:rPr>
            <w:rStyle w:val="Hyperlink"/>
          </w:rPr>
          <w:t xml:space="preserve">Document Checklist</w:t>
        </w:r>
      </w:hyperlink>
    </w:p>
    <w:p>
      <w:r>
        <w:br w:type="page"/>
      </w:r>
    </w:p>
    <w:bookmarkEnd w:id="111"/>
    <w:bookmarkEnd w:id="112"/>
    <w:bookmarkEnd w:id="113"/>
    <w:bookmarkStart w:id="114" w:name="page-immigrationfamily-sponsorship"/>
    <w:p>
      <w:pPr>
        <w:pStyle w:val="Heading1"/>
      </w:pPr>
      <w:r>
        <w:t xml:space="preserve">PAGE: /immigration/family-sponsorship</w:t>
      </w:r>
    </w:p>
    <w:bookmarkEnd w:id="114"/>
    <w:bookmarkStart w:id="127" w:name="menu-location-immigrate-sponsorship"/>
    <w:p>
      <w:pPr>
        <w:pStyle w:val="Heading1"/>
      </w:pPr>
      <w:r>
        <w:t xml:space="preserve">Menu location: Immigrate → Sponsorship</w:t>
      </w:r>
    </w:p>
    <w:p>
      <w:r>
        <w:pict>
          <v:rect style="width:0;height:1.5pt" o:hralign="center" o:hrstd="t" o:hr="t"/>
        </w:pict>
      </w:r>
    </w:p>
    <w:bookmarkStart w:id="116" w:name="meta-tags-5"/>
    <w:p>
      <w:pPr>
        <w:pStyle w:val="Heading2"/>
      </w:pPr>
      <w:r>
        <w:t xml:space="preserve">META TAGS</w:t>
      </w:r>
    </w:p>
    <w:p>
      <w:pPr>
        <w:pStyle w:val="SourceCode"/>
      </w:pPr>
      <w:r>
        <w:rPr>
          <w:rStyle w:val="VerbatimChar"/>
        </w:rPr>
        <w:t xml:space="preserve">title: Family Sponsorship Consultant Brampton | Spousal, PGP &amp; Dependent Children | CMG</w:t>
      </w:r>
      <w:r>
        <w:br/>
      </w:r>
      <w:r>
        <w:rPr>
          <w:rStyle w:val="VerbatimChar"/>
        </w:rPr>
        <w:t xml:space="preserve">meta-description: Licensed RCIC support for spousal, partner, parent, grandparent (PGP) and dependent-child sponsorship in Brampton &amp; across Canada. Genuineness evidence &amp; refused-sponsorship appeals.</w:t>
      </w:r>
      <w:r>
        <w:br/>
      </w:r>
      <w:r>
        <w:rPr>
          <w:rStyle w:val="VerbatimChar"/>
        </w:rPr>
        <w:t xml:space="preserve">canonical: https://commonwealthmigration.ca/immigration/family-sponsorship</w:t>
      </w:r>
      <w:r>
        <w:br/>
      </w:r>
      <w:r>
        <w:rPr>
          <w:rStyle w:val="VerbatimChar"/>
        </w:rPr>
        <w:t xml:space="preserve">meta-keywords: spousal sponsorship consultant Brampton, PGP sponsorship lottery, family sponsorship RCIC Ontario, dependent child sponsorship Canada, sponsorship refusal appeal GTA</w:t>
      </w:r>
      <w:r>
        <w:br/>
      </w:r>
      <w:r>
        <w:rPr>
          <w:rStyle w:val="VerbatimChar"/>
        </w:rPr>
        <w:t xml:space="preserve">meta-og:title: Family Sponsorship Consultant Brampton | Spousal, PGP &amp; Dependent Children</w:t>
      </w:r>
      <w:r>
        <w:br/>
      </w:r>
      <w:r>
        <w:rPr>
          <w:rStyle w:val="VerbatimChar"/>
        </w:rPr>
        <w:t xml:space="preserve">meta-og:description: Licensed RCIC support for spousal, partner, parent/grandparent (PGP), and dependent-child sponsorship — genuineness evidence and refused-sponsorship appeals.</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https://commonwealthmigration.ca/immigration/family-sponsorship</w:t>
      </w:r>
      <w:r>
        <w:br/>
      </w:r>
      <w:r>
        <w:rPr>
          <w:rStyle w:val="VerbatimChar"/>
        </w:rPr>
        <w:t xml:space="preserve">meta-theme-color: #C8102E</w:t>
      </w:r>
    </w:p>
    <w:bookmarkStart w:id="115" w:name="json-ld-4"/>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does the Parents and Grandparents Program (PGP) lottery work?"</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"When IRCC opens the PGP intake, eligible sponsors submit an interest to sponsor form during a limited window. IRCC then randomly selects a set number of sponsors from that pool and invites them to submit a full application within a set deadline. Meeting the minimum necessary income (MNI) requirement over the required tax years is assessed at the invitation stage, not before."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the most common reason spousal sponsorship applications are refused?"</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"Officers most often cite insufficient evidence of a genuine and ongoing relationship — inconsistent timelines, limited communication history, or a lack of shared financial or social ties. Refusals based on genuineness can usually be addressed with a stronger evidence package on reapplication or appeal."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 a refused spousal sponsorship be appealed?"</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A refused spousal or partner sponsorship can generally be appealed to the Immigration Appeal Division (IAD) within 30 days of the refusal, or addressed through a stronger reapplication depending on the specific refusal reasons and timeline."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15"/>
    <w:bookmarkEnd w:id="116"/>
    <w:bookmarkStart w:id="126" w:name="page-content-5"/>
    <w:p>
      <w:pPr>
        <w:pStyle w:val="Heading2"/>
      </w:pPr>
      <w:r>
        <w:t xml:space="preserve">PAGE CONTENT</w:t>
      </w:r>
    </w:p>
    <w:bookmarkStart w:id="117" w:name="h1-5"/>
    <w:p>
      <w:pPr>
        <w:pStyle w:val="Heading3"/>
      </w:pPr>
      <w:r>
        <w:t xml:space="preserve">H1</w:t>
      </w:r>
    </w:p>
    <w:p>
      <w:pPr>
        <w:pStyle w:val="FirstParagraph"/>
      </w:pPr>
      <w:r>
        <w:t xml:space="preserve">Family Sponsorship Consultant in Brampton — Spousal, Parent/Grandparent &amp; Dependent-Child Applications</w:t>
      </w:r>
    </w:p>
    <w:bookmarkEnd w:id="117"/>
    <w:bookmarkStart w:id="118" w:name="X5cc48211830a4830c30d15adaca0d5fe27fc1ca"/>
    <w:p>
      <w:pPr>
        <w:pStyle w:val="Heading3"/>
      </w:pPr>
      <w:r>
        <w:t xml:space="preserve">Intro (target:</w:t>
      </w:r>
      <w:r>
        <w:t xml:space="preserve"> </w:t>
      </w:r>
      <w:r>
        <w:t xml:space="preserve">“</w:t>
      </w:r>
      <w:r>
        <w:t xml:space="preserve">spousal sponsorship consultant Brampton</w:t>
      </w:r>
      <w:r>
        <w:t xml:space="preserve">”</w:t>
      </w:r>
      <w:r>
        <w:t xml:space="preserve">,</w:t>
      </w:r>
      <w:r>
        <w:t xml:space="preserve"> </w:t>
      </w:r>
      <w:r>
        <w:t xml:space="preserve">“</w:t>
      </w:r>
      <w:r>
        <w:t xml:space="preserve">family sponsorship RCIC Ontario</w:t>
      </w:r>
      <w:r>
        <w:t xml:space="preserve">”</w:t>
      </w:r>
      <w:r>
        <w:t xml:space="preserve">)</w:t>
      </w:r>
    </w:p>
    <w:p>
      <w:pPr>
        <w:pStyle w:val="FirstParagraph"/>
      </w:pPr>
      <w:r>
        <w:t xml:space="preserve">Family sponsorship applications are decided as much on the strength of your evidence as on eligibility. Officers assessing spousal, partner and parent/grandparent files are trained to look for genuineness — and gaps in the evidence, not eligibility itself, are the most common reason for a refusal. Our Brampton-based team, serving Peel Region, the GTA and sponsors across Canada, builds sponsorship files around the specific concerns an officer will be checking for.</w:t>
      </w:r>
    </w:p>
    <w:bookmarkEnd w:id="118"/>
    <w:bookmarkStart w:id="119" w:name="h2-sponsorship-categories-we-handle"/>
    <w:p>
      <w:pPr>
        <w:pStyle w:val="Heading3"/>
      </w:pPr>
      <w:r>
        <w:t xml:space="preserve">H2: Sponsorship categories we handle</w:t>
      </w:r>
    </w:p>
    <w:p>
      <w:pPr>
        <w:numPr>
          <w:ilvl w:val="0"/>
          <w:numId w:val="1011"/>
        </w:numPr>
        <w:pStyle w:val="Compact"/>
      </w:pPr>
      <w:r>
        <w:rPr>
          <w:bCs/>
          <w:b/>
        </w:rPr>
        <w:t xml:space="preserve">Spousal and common-law partner sponsorship</w:t>
      </w:r>
      <w:r>
        <w:t xml:space="preserve"> </w:t>
      </w:r>
      <w:r>
        <w:t xml:space="preserve">— inland or outland applications, including cases with a prior marriage, age gap, or limited in-person time together that need stronger supporting evidence.</w:t>
      </w:r>
    </w:p>
    <w:p>
      <w:pPr>
        <w:numPr>
          <w:ilvl w:val="0"/>
          <w:numId w:val="1011"/>
        </w:numPr>
        <w:pStyle w:val="Compact"/>
      </w:pPr>
      <w:r>
        <w:rPr>
          <w:bCs/>
          <w:b/>
        </w:rPr>
        <w:t xml:space="preserve">Parents and Grandparents Program (PGP)</w:t>
      </w:r>
      <w:r>
        <w:t xml:space="preserve"> </w:t>
      </w:r>
      <w:r>
        <w:t xml:space="preserve">— interest-to-sponsor submissions when the lottery opens, minimum necessary income (MNI) planning, and full application preparation once invited.</w:t>
      </w:r>
    </w:p>
    <w:p>
      <w:pPr>
        <w:numPr>
          <w:ilvl w:val="0"/>
          <w:numId w:val="1011"/>
        </w:numPr>
        <w:pStyle w:val="Compact"/>
      </w:pPr>
      <w:r>
        <w:rPr>
          <w:bCs/>
          <w:b/>
        </w:rPr>
        <w:t xml:space="preserve">Dependent children</w:t>
      </w:r>
      <w:r>
        <w:t xml:space="preserve"> </w:t>
      </w:r>
      <w:r>
        <w:t xml:space="preserve">— sponsorship of biological or adopted dependent children, including de facto dependents in more complex family situations.</w:t>
      </w:r>
    </w:p>
    <w:p>
      <w:pPr>
        <w:numPr>
          <w:ilvl w:val="0"/>
          <w:numId w:val="1011"/>
        </w:numPr>
        <w:pStyle w:val="Compact"/>
      </w:pPr>
      <w:r>
        <w:rPr>
          <w:bCs/>
          <w:b/>
        </w:rPr>
        <w:t xml:space="preserve">Refused sponsorship &amp; appeals</w:t>
      </w:r>
      <w:r>
        <w:t xml:space="preserve"> </w:t>
      </w:r>
      <w:r>
        <w:t xml:space="preserve">— reapplication strategy or Immigration Appeal Division (IAD) appeals where a sponsorship has already been refused.</w:t>
      </w:r>
    </w:p>
    <w:bookmarkEnd w:id="119"/>
    <w:bookmarkStart w:id="120" w:name="Xc5d6462131c6a55e7bdadd4bfeeed4bffa878bb"/>
    <w:p>
      <w:pPr>
        <w:pStyle w:val="Heading3"/>
      </w:pPr>
      <w:r>
        <w:t xml:space="preserve">H2: What</w:t>
      </w:r>
      <w:r>
        <w:t xml:space="preserve"> </w:t>
      </w:r>
      <w:r>
        <w:t xml:space="preserve">“</w:t>
      </w:r>
      <w:r>
        <w:t xml:space="preserve">genuineness</w:t>
      </w:r>
      <w:r>
        <w:t xml:space="preserve">”</w:t>
      </w:r>
      <w:r>
        <w:t xml:space="preserve"> </w:t>
      </w:r>
      <w:r>
        <w:t xml:space="preserve">evidence actually means</w:t>
      </w:r>
    </w:p>
    <w:p>
      <w:pPr>
        <w:pStyle w:val="FirstParagraph"/>
      </w:pPr>
      <w:r>
        <w:t xml:space="preserve">IRCC looks for a consistent relationship timeline, communication history (calls, messages, visits), shared financial responsibilities where applicable, and social recognition of the relationship by family and community. For parents and grandparents, the focus shifts to the sponsor’s income history against the minimum necessary income threshold over the required tax years. Building this evidence correctly the first time avoids months of delay on a refusal-and-reapply cycle.</w:t>
      </w:r>
    </w:p>
    <w:bookmarkEnd w:id="120"/>
    <w:bookmarkStart w:id="121" w:name="Xdad11acfefa51812aa69f0f50eafaf91e7ee9af"/>
    <w:p>
      <w:pPr>
        <w:pStyle w:val="Heading3"/>
      </w:pPr>
      <w:r>
        <w:t xml:space="preserve">H2: Why Brampton and GTA families choose a licensed RCIC</w:t>
      </w:r>
    </w:p>
    <w:p>
      <w:pPr>
        <w:pStyle w:val="FirstParagraph"/>
      </w:pPr>
      <w:r>
        <w:t xml:space="preserve">Peel Region has one of the largest South Asian diaspora populations in Canada, and spousal and parent sponsorship files here often involve cross-border marriages, joint family living arrangements, and income documentation across multiple sources — details that a generic template misses. Our team works in English, Punjabi, Hindi and Urdu directly with sponsors and applicants to build the file around their actual situation.</w:t>
      </w:r>
    </w:p>
    <w:bookmarkEnd w:id="121"/>
    <w:bookmarkStart w:id="122" w:name="h2-our-family-sponsorship-process"/>
    <w:p>
      <w:pPr>
        <w:pStyle w:val="Heading3"/>
      </w:pPr>
      <w:r>
        <w:t xml:space="preserve">H2: Our family sponsorship process</w:t>
      </w:r>
    </w:p>
    <w:p>
      <w:pPr>
        <w:numPr>
          <w:ilvl w:val="0"/>
          <w:numId w:val="1012"/>
        </w:numPr>
        <w:pStyle w:val="Compact"/>
      </w:pPr>
      <w:r>
        <w:rPr>
          <w:bCs/>
          <w:b/>
        </w:rPr>
        <w:t xml:space="preserve">Eligibility and MNI review</w:t>
      </w:r>
      <w:r>
        <w:t xml:space="preserve"> </w:t>
      </w:r>
      <w:r>
        <w:t xml:space="preserve">— sponsor income, relationship category and any prior refusals checked upfront.</w:t>
      </w:r>
    </w:p>
    <w:p>
      <w:pPr>
        <w:numPr>
          <w:ilvl w:val="0"/>
          <w:numId w:val="1012"/>
        </w:numPr>
        <w:pStyle w:val="Compact"/>
      </w:pPr>
      <w:r>
        <w:rPr>
          <w:bCs/>
          <w:b/>
        </w:rPr>
        <w:t xml:space="preserve">Evidence strategy</w:t>
      </w:r>
      <w:r>
        <w:t xml:space="preserve"> </w:t>
      </w:r>
      <w:r>
        <w:t xml:space="preserve">— identifying and organizing the specific proof an officer will look for in your category.</w:t>
      </w:r>
    </w:p>
    <w:p>
      <w:pPr>
        <w:numPr>
          <w:ilvl w:val="0"/>
          <w:numId w:val="1012"/>
        </w:numPr>
        <w:pStyle w:val="Compact"/>
      </w:pPr>
      <w:r>
        <w:rPr>
          <w:bCs/>
          <w:b/>
        </w:rPr>
        <w:t xml:space="preserve">Application filing</w:t>
      </w:r>
      <w:r>
        <w:t xml:space="preserve"> </w:t>
      </w:r>
      <w:r>
        <w:t xml:space="preserve">— sponsorship and application forms submitted as a complete, consistent package.</w:t>
      </w:r>
    </w:p>
    <w:p>
      <w:pPr>
        <w:numPr>
          <w:ilvl w:val="0"/>
          <w:numId w:val="1012"/>
        </w:numPr>
        <w:pStyle w:val="Compact"/>
      </w:pPr>
      <w:r>
        <w:rPr>
          <w:bCs/>
          <w:b/>
        </w:rPr>
        <w:t xml:space="preserve">Refusal response</w:t>
      </w:r>
      <w:r>
        <w:t xml:space="preserve"> </w:t>
      </w:r>
      <w:r>
        <w:t xml:space="preserve">— reapplication or IAD appeal preparation if a prior sponsorship was refused.</w:t>
      </w:r>
    </w:p>
    <w:bookmarkEnd w:id="122"/>
    <w:bookmarkStart w:id="123" w:name="h2-related-pathways-4"/>
    <w:p>
      <w:pPr>
        <w:pStyle w:val="Heading3"/>
      </w:pPr>
      <w:r>
        <w:t xml:space="preserve">H2: Related pathways</w:t>
      </w:r>
    </w:p>
    <w:p>
      <w:pPr>
        <w:pStyle w:val="FirstParagraph"/>
      </w:pPr>
      <w:r>
        <w:t xml:space="preserve">If a sponsorship has already been refused, see our</w:t>
      </w:r>
      <w:r>
        <w:t xml:space="preserve"> </w:t>
      </w:r>
      <w:hyperlink r:id="rId31">
        <w:r>
          <w:rPr>
            <w:rStyle w:val="Hyperlink"/>
          </w:rPr>
          <w:t xml:space="preserve">refusals and procedural fairness guide</w:t>
        </w:r>
      </w:hyperlink>
      <w:r>
        <w:t xml:space="preserve"> </w:t>
      </w:r>
      <w:r>
        <w:t xml:space="preserve">for how GCMS notes and IAD timelines work. Sponsoring a spouse who is currently on a study or work permit? Review</w:t>
      </w:r>
      <w:r>
        <w:t xml:space="preserve"> </w:t>
      </w:r>
      <w:hyperlink r:id="rId28">
        <w:r>
          <w:rPr>
            <w:rStyle w:val="Hyperlink"/>
          </w:rPr>
          <w:t xml:space="preserve">work permits</w:t>
        </w:r>
      </w:hyperlink>
      <w:r>
        <w:t xml:space="preserve"> </w:t>
      </w:r>
      <w:r>
        <w:t xml:space="preserve">for spousal open work permit eligibility.</w:t>
      </w:r>
    </w:p>
    <w:bookmarkEnd w:id="123"/>
    <w:bookmarkStart w:id="124" w:name="faq-4"/>
    <w:p>
      <w:pPr>
        <w:pStyle w:val="Heading3"/>
      </w:pPr>
      <w:r>
        <w:t xml:space="preserve">FAQ</w:t>
      </w:r>
    </w:p>
    <w:p>
      <w:pPr>
        <w:pStyle w:val="FirstParagraph"/>
      </w:pPr>
      <w:r>
        <w:rPr>
          <w:bCs/>
          <w:b/>
        </w:rPr>
        <w:t xml:space="preserve">How does the PGP lottery work?</w:t>
      </w:r>
      <w:r>
        <w:t xml:space="preserve"> </w:t>
      </w:r>
      <w:r>
        <w:t xml:space="preserve">Eligible sponsors submit an interest-to-sponsor form during a limited intake window. IRCC randomly selects sponsors and invites them to submit a full application, with the minimum necessary income assessed at that stage.</w:t>
      </w:r>
    </w:p>
    <w:p>
      <w:pPr>
        <w:pStyle w:val="BodyText"/>
      </w:pPr>
      <w:r>
        <w:rPr>
          <w:bCs/>
          <w:b/>
        </w:rPr>
        <w:t xml:space="preserve">What’s the most common reason spousal sponsorships are refused?</w:t>
      </w:r>
      <w:r>
        <w:t xml:space="preserve"> </w:t>
      </w:r>
      <w:r>
        <w:t xml:space="preserve">Insufficient evidence of a genuine, ongoing relationship — inconsistent timelines, limited communication history, or weak shared ties. This is usually addressable on reapplication or appeal.</w:t>
      </w:r>
    </w:p>
    <w:p>
      <w:pPr>
        <w:pStyle w:val="BodyText"/>
      </w:pPr>
      <w:r>
        <w:rPr>
          <w:bCs/>
          <w:b/>
        </w:rPr>
        <w:t xml:space="preserve">Can a refused spousal sponsorship be appealed?</w:t>
      </w:r>
      <w:r>
        <w:t xml:space="preserve"> </w:t>
      </w:r>
      <w:r>
        <w:t xml:space="preserve">Yes, generally to the Immigration Appeal Division within 30 days of refusal, or through a stronger reapplication depending on the specific reasons.</w:t>
      </w:r>
    </w:p>
    <w:bookmarkEnd w:id="124"/>
    <w:bookmarkStart w:id="125" w:name="cta-block-4"/>
    <w:p>
      <w:pPr>
        <w:pStyle w:val="Heading3"/>
      </w:pPr>
      <w:r>
        <w:t xml:space="preserve">CTA block</w:t>
      </w:r>
    </w:p>
    <w:p>
      <w:pPr>
        <w:pStyle w:val="FirstParagraph"/>
      </w:pPr>
      <w:r>
        <w:t xml:space="preserve">Get your sponsorship evidence reviewed before you file — or after a refusal.</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125"/>
    <w:bookmarkEnd w:id="126"/>
    <w:bookmarkEnd w:id="127"/>
    <w:bookmarkStart w:id="128" w:name="page-refusals"/>
    <w:p>
      <w:pPr>
        <w:pStyle w:val="Heading1"/>
      </w:pPr>
      <w:r>
        <w:t xml:space="preserve">PAGE: /refusals</w:t>
      </w:r>
    </w:p>
    <w:bookmarkEnd w:id="128"/>
    <w:bookmarkStart w:id="143" w:name="menu-location-immigrate-refusals-appeals"/>
    <w:p>
      <w:pPr>
        <w:pStyle w:val="Heading1"/>
      </w:pPr>
      <w:r>
        <w:t xml:space="preserve">Menu location: Immigrate → Refusals &amp; Appeals</w:t>
      </w:r>
    </w:p>
    <w:p>
      <w:r>
        <w:pict>
          <v:rect style="width:0;height:1.5pt" o:hralign="center" o:hrstd="t" o:hr="t"/>
        </w:pict>
      </w:r>
    </w:p>
    <w:bookmarkStart w:id="130" w:name="meta-tags-6"/>
    <w:p>
      <w:pPr>
        <w:pStyle w:val="Heading2"/>
      </w:pPr>
      <w:r>
        <w:t xml:space="preserve">META TAGS</w:t>
      </w:r>
    </w:p>
    <w:p>
      <w:pPr>
        <w:pStyle w:val="SourceCode"/>
      </w:pPr>
      <w:r>
        <w:rPr>
          <w:rStyle w:val="VerbatimChar"/>
        </w:rPr>
        <w:t xml:space="preserve">title: Visa Refusal &amp; PFL Response Consultant Brampton | GCMS, IAD &amp; Judicial Review | CMG</w:t>
      </w:r>
      <w:r>
        <w:br/>
      </w:r>
      <w:r>
        <w:rPr>
          <w:rStyle w:val="VerbatimChar"/>
        </w:rPr>
        <w:t xml:space="preserve">meta-description: Licensed RCIC refusal specialists in Brampton &amp; across Canada. Procedural fairness letter (PFL) responses, GCMS notes analysis, reapplication strategy, IAD appeals &amp; judicial review referrals.</w:t>
      </w:r>
      <w:r>
        <w:br/>
      </w:r>
      <w:r>
        <w:rPr>
          <w:rStyle w:val="VerbatimChar"/>
        </w:rPr>
        <w:t xml:space="preserve">canonical: https://commonwealthmigration.ca/refusals</w:t>
      </w:r>
      <w:r>
        <w:br/>
      </w:r>
      <w:r>
        <w:rPr>
          <w:rStyle w:val="VerbatimChar"/>
        </w:rPr>
        <w:t xml:space="preserve">meta-keywords: visa refusal consultant Brampton, procedural fairness letter response, GCMS notes request Canada, IAD appeal consultant Ontario, study permit refusal Brampton, spousal sponsorship refusal appeal</w:t>
      </w:r>
      <w:r>
        <w:br/>
      </w:r>
      <w:r>
        <w:rPr>
          <w:rStyle w:val="VerbatimChar"/>
        </w:rPr>
        <w:t xml:space="preserve">meta-og:title: Visa Refusal &amp; PFL Response Consultant Brampton | GCMS, IAD &amp; Judicial Review</w:t>
      </w:r>
      <w:r>
        <w:br/>
      </w:r>
      <w:r>
        <w:rPr>
          <w:rStyle w:val="VerbatimChar"/>
        </w:rPr>
        <w:t xml:space="preserve">meta-og:description: Licensed RCIC refusal specialists — PFL responses, GCMS notes analysis, reapplication strategy, IAD appeals and judicial review referrals.</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https://commonwealthmigration.ca/refusals</w:t>
      </w:r>
      <w:r>
        <w:br/>
      </w:r>
      <w:r>
        <w:rPr>
          <w:rStyle w:val="VerbatimChar"/>
        </w:rPr>
        <w:t xml:space="preserve">meta-theme-color: #C8102E</w:t>
      </w:r>
    </w:p>
    <w:bookmarkStart w:id="129" w:name="json-ld-5"/>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long do I have to respond to a Procedural Fairness Letter (PFL)?"</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"Most Procedural Fairness Letters give applicants between 15 and 30 days to respond, though the exact deadline is stated in the letter itself. Missing the deadline generally results in a refusal being finalized on the record as it stands."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are GCMS notes and why do they matter after a refusal?"</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"GCMS notes are the internal case notes an IRCC officer records when making a decision, obtained through an Access to Information and Privacy (ATIP) request. They often reveal the specific reasoning behind a refusal in more detail than the refusal letter itself, which is essential for building an effective reapplication or appeal."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"Should I reapply or appeal after a refusal?"</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"It depends on the refusal category and reasoning. Some categories, like spousal sponsorship, have a formal appeal route through the Immigration Appeal Division (IAD). Others are better addressed with a stronger reapplication that directly answers the officer's stated concerns, or in limited cases, judicial review at the Federal Court."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29"/>
    <w:bookmarkEnd w:id="130"/>
    <w:bookmarkStart w:id="142" w:name="page-content-6"/>
    <w:p>
      <w:pPr>
        <w:pStyle w:val="Heading2"/>
      </w:pPr>
      <w:r>
        <w:t xml:space="preserve">PAGE CONTENT</w:t>
      </w:r>
    </w:p>
    <w:bookmarkStart w:id="131" w:name="h1-6"/>
    <w:p>
      <w:pPr>
        <w:pStyle w:val="Heading3"/>
      </w:pPr>
      <w:r>
        <w:t xml:space="preserve">H1</w:t>
      </w:r>
    </w:p>
    <w:p>
      <w:pPr>
        <w:pStyle w:val="FirstParagraph"/>
      </w:pPr>
      <w:r>
        <w:t xml:space="preserve">Visa Refusal &amp; Procedural Fairness Response — Brampton-Based RCICs, Filing Across Canada</w:t>
      </w:r>
    </w:p>
    <w:bookmarkEnd w:id="131"/>
    <w:bookmarkStart w:id="132" w:name="Xca72891faf882b88c43a50369fa40ec4c3f2ea4"/>
    <w:p>
      <w:pPr>
        <w:pStyle w:val="Heading3"/>
      </w:pPr>
      <w:r>
        <w:t xml:space="preserve">Intro (target:</w:t>
      </w:r>
      <w:r>
        <w:t xml:space="preserve"> </w:t>
      </w:r>
      <w:r>
        <w:t xml:space="preserve">“</w:t>
      </w:r>
      <w:r>
        <w:t xml:space="preserve">visa refusal consultant Brampton</w:t>
      </w:r>
      <w:r>
        <w:t xml:space="preserve">”</w:t>
      </w:r>
      <w:r>
        <w:t xml:space="preserve">,</w:t>
      </w:r>
      <w:r>
        <w:t xml:space="preserve"> </w:t>
      </w:r>
      <w:r>
        <w:t xml:space="preserve">“</w:t>
      </w:r>
      <w:r>
        <w:t xml:space="preserve">procedural fairness letter response</w:t>
      </w:r>
      <w:r>
        <w:t xml:space="preserve">”</w:t>
      </w:r>
      <w:r>
        <w:t xml:space="preserve">)</w:t>
      </w:r>
    </w:p>
    <w:p>
      <w:pPr>
        <w:pStyle w:val="FirstParagraph"/>
      </w:pPr>
      <w:r>
        <w:t xml:space="preserve">A refusal is a decision made on the file an officer actually saw — not necessarily the strongest version of your case. Our Brampton team specializes in taking refused files, isolating what the officer’s notes actually say, and building the next submission around that specific gap rather than resubmitting a generic reapplication that repeats the same mistake.</w:t>
      </w:r>
    </w:p>
    <w:bookmarkEnd w:id="132"/>
    <w:bookmarkStart w:id="133" w:name="h2-refusal-types-we-handle"/>
    <w:p>
      <w:pPr>
        <w:pStyle w:val="Heading3"/>
      </w:pPr>
      <w:r>
        <w:t xml:space="preserve">H2: Refusal types we handle</w:t>
      </w:r>
    </w:p>
    <w:p>
      <w:pPr>
        <w:numPr>
          <w:ilvl w:val="0"/>
          <w:numId w:val="1013"/>
        </w:numPr>
        <w:pStyle w:val="Compact"/>
      </w:pPr>
      <w:r>
        <w:rPr>
          <w:bCs/>
          <w:b/>
        </w:rPr>
        <w:t xml:space="preserve">Visitor visa (TRV) refusals</w:t>
      </w:r>
      <w:r>
        <w:t xml:space="preserve"> </w:t>
      </w:r>
      <w:r>
        <w:t xml:space="preserve">— insufficient ties, unclear purpose of visit, or unexplained funds.</w:t>
      </w:r>
    </w:p>
    <w:p>
      <w:pPr>
        <w:numPr>
          <w:ilvl w:val="0"/>
          <w:numId w:val="1013"/>
        </w:numPr>
        <w:pStyle w:val="Compact"/>
      </w:pPr>
      <w:r>
        <w:rPr>
          <w:bCs/>
          <w:b/>
        </w:rPr>
        <w:t xml:space="preserve">Study permit refusals</w:t>
      </w:r>
      <w:r>
        <w:t xml:space="preserve"> </w:t>
      </w:r>
      <w:r>
        <w:t xml:space="preserve">— weak study plan, insufficient proof of funds, or DLI/program concerns.</w:t>
      </w:r>
    </w:p>
    <w:p>
      <w:pPr>
        <w:numPr>
          <w:ilvl w:val="0"/>
          <w:numId w:val="1013"/>
        </w:numPr>
        <w:pStyle w:val="Compact"/>
      </w:pPr>
      <w:r>
        <w:rPr>
          <w:bCs/>
          <w:b/>
        </w:rPr>
        <w:t xml:space="preserve">Work permit refusals</w:t>
      </w:r>
      <w:r>
        <w:t xml:space="preserve"> </w:t>
      </w:r>
      <w:r>
        <w:t xml:space="preserve">— LMIA or exemption issues, unclear employer-employee relationship, or NOC mismatch.</w:t>
      </w:r>
    </w:p>
    <w:p>
      <w:pPr>
        <w:numPr>
          <w:ilvl w:val="0"/>
          <w:numId w:val="1013"/>
        </w:numPr>
        <w:pStyle w:val="Compact"/>
      </w:pPr>
      <w:r>
        <w:rPr>
          <w:bCs/>
          <w:b/>
        </w:rPr>
        <w:t xml:space="preserve">Spousal &amp; family sponsorship refusals</w:t>
      </w:r>
      <w:r>
        <w:t xml:space="preserve"> </w:t>
      </w:r>
      <w:r>
        <w:t xml:space="preserve">— genuineness concerns or eligibility gaps.</w:t>
      </w:r>
    </w:p>
    <w:p>
      <w:pPr>
        <w:numPr>
          <w:ilvl w:val="0"/>
          <w:numId w:val="1013"/>
        </w:numPr>
        <w:pStyle w:val="Compact"/>
      </w:pPr>
      <w:r>
        <w:rPr>
          <w:bCs/>
          <w:b/>
        </w:rPr>
        <w:t xml:space="preserve">Express Entry / PR refusals</w:t>
      </w:r>
      <w:r>
        <w:t xml:space="preserve"> </w:t>
      </w:r>
      <w:r>
        <w:t xml:space="preserve">— misrepresentation concerns, medical inadmissibility, or missing documentation at the ITA stage.</w:t>
      </w:r>
    </w:p>
    <w:p>
      <w:pPr>
        <w:numPr>
          <w:ilvl w:val="0"/>
          <w:numId w:val="1013"/>
        </w:numPr>
        <w:pStyle w:val="Compact"/>
      </w:pPr>
      <w:r>
        <w:rPr>
          <w:bCs/>
          <w:b/>
        </w:rPr>
        <w:t xml:space="preserve">PGWP &amp; restoration refusals</w:t>
      </w:r>
      <w:r>
        <w:t xml:space="preserve"> </w:t>
      </w:r>
      <w:r>
        <w:t xml:space="preserve">— program eligibility disputes or status-gap issues.</w:t>
      </w:r>
    </w:p>
    <w:bookmarkEnd w:id="133"/>
    <w:bookmarkStart w:id="134" w:name="X900adf8c316fae666879ab537c98276e39550f4"/>
    <w:p>
      <w:pPr>
        <w:pStyle w:val="Heading3"/>
      </w:pPr>
      <w:r>
        <w:t xml:space="preserve">H2: Procedural Fairness Letters (PFL) — the 15–30 day window</w:t>
      </w:r>
    </w:p>
    <w:p>
      <w:pPr>
        <w:pStyle w:val="FirstParagraph"/>
      </w:pPr>
      <w:r>
        <w:t xml:space="preserve">A PFL means IRCC has a specific concern about your file and is giving you a defined window — typically 15 to 30 days — to respond before a final decision. This is not a formality. A well-structured PFL response directly answers the stated concern with evidence, rather than restating the original application. We treat every PFL as a hard deadline from the day it arrives.</w:t>
      </w:r>
    </w:p>
    <w:bookmarkEnd w:id="134"/>
    <w:bookmarkStart w:id="135" w:name="X2f5367525e1bdb13a10689d7f396d4b1d64eaa9"/>
    <w:p>
      <w:pPr>
        <w:pStyle w:val="Heading3"/>
      </w:pPr>
      <w:r>
        <w:t xml:space="preserve">H2: GCMS notes — what actually happened in your file</w:t>
      </w:r>
    </w:p>
    <w:p>
      <w:pPr>
        <w:pStyle w:val="FirstParagraph"/>
      </w:pPr>
      <w:r>
        <w:t xml:space="preserve">The refusal letter you receive is often a short, templated summary. The GCMS (Global Case Management System) notes behind it — obtained via an Access to Information and Privacy (ATIP) request — usually show the officer’s actual reasoning line by line. For any refusal where the stated reason feels incomplete, requesting and reading the GCMS notes is the first step before deciding on reapplication or appeal.</w:t>
      </w:r>
    </w:p>
    <w:bookmarkEnd w:id="135"/>
    <w:bookmarkStart w:id="136" w:name="Xb2e3f0c07e24b2a34d137eaa67bfa91fec950c2"/>
    <w:p>
      <w:pPr>
        <w:pStyle w:val="Heading3"/>
      </w:pPr>
      <w:r>
        <w:t xml:space="preserve">H2: Reapplication, IAD appeal, or judicial review?</w:t>
      </w:r>
    </w:p>
    <w:p>
      <w:pPr>
        <w:numPr>
          <w:ilvl w:val="0"/>
          <w:numId w:val="1014"/>
        </w:numPr>
        <w:pStyle w:val="Compact"/>
      </w:pPr>
      <w:r>
        <w:rPr>
          <w:bCs/>
          <w:b/>
        </w:rPr>
        <w:t xml:space="preserve">Reapplication</w:t>
      </w:r>
      <w:r>
        <w:t xml:space="preserve"> </w:t>
      </w:r>
      <w:r>
        <w:t xml:space="preserve">— appropriate when the refusal reasons can be directly addressed with stronger evidence or corrected documentation.</w:t>
      </w:r>
    </w:p>
    <w:p>
      <w:pPr>
        <w:numPr>
          <w:ilvl w:val="0"/>
          <w:numId w:val="1014"/>
        </w:numPr>
        <w:pStyle w:val="Compact"/>
      </w:pPr>
      <w:r>
        <w:rPr>
          <w:bCs/>
          <w:b/>
        </w:rPr>
        <w:t xml:space="preserve">Immigration Appeal Division (IAD)</w:t>
      </w:r>
      <w:r>
        <w:t xml:space="preserve"> </w:t>
      </w:r>
      <w:r>
        <w:t xml:space="preserve">— the formal appeal route for refused spousal, partner and some family class sponsorships, generally within 30 days of the refusal.</w:t>
      </w:r>
    </w:p>
    <w:p>
      <w:pPr>
        <w:numPr>
          <w:ilvl w:val="0"/>
          <w:numId w:val="1014"/>
        </w:numPr>
        <w:pStyle w:val="Compact"/>
      </w:pPr>
      <w:r>
        <w:rPr>
          <w:bCs/>
          <w:b/>
        </w:rPr>
        <w:t xml:space="preserve">Judicial review (Federal Court)</w:t>
      </w:r>
      <w:r>
        <w:t xml:space="preserve"> </w:t>
      </w:r>
      <w:r>
        <w:t xml:space="preserve">— for procedural fairness breaches or unreasonable decisions where no other appeal route exists; requires leave (permission) from the Court and has strict filing deadlines.</w:t>
      </w:r>
    </w:p>
    <w:bookmarkEnd w:id="136"/>
    <w:bookmarkStart w:id="137" w:name="X5fb23f21a9c54a331dfe55d851aa4b3a96b5c21"/>
    <w:p>
      <w:pPr>
        <w:pStyle w:val="Heading3"/>
      </w:pPr>
      <w:r>
        <w:t xml:space="preserve">H2: Why Brampton &amp; GTA applicants come to us after a refusal</w:t>
      </w:r>
    </w:p>
    <w:p>
      <w:pPr>
        <w:pStyle w:val="FirstParagraph"/>
      </w:pPr>
      <w:r>
        <w:t xml:space="preserve">Refusal files require someone who reads GCMS notes for a living, not someone filing a first application. Our team has handled visitor, study, work, sponsorship and Express Entry refusals for clients across Peel Region, the GTA and Canada-wide, building evidence-backed responses instead of generic re-filings — because officers can tell the difference.</w:t>
      </w:r>
    </w:p>
    <w:bookmarkEnd w:id="137"/>
    <w:bookmarkStart w:id="138" w:name="h2-our-refusal-response-process"/>
    <w:p>
      <w:pPr>
        <w:pStyle w:val="Heading3"/>
      </w:pPr>
      <w:r>
        <w:t xml:space="preserve">H2: Our refusal response process</w:t>
      </w:r>
    </w:p>
    <w:p>
      <w:pPr>
        <w:numPr>
          <w:ilvl w:val="0"/>
          <w:numId w:val="1015"/>
        </w:numPr>
        <w:pStyle w:val="Compact"/>
      </w:pPr>
      <w:r>
        <w:rPr>
          <w:bCs/>
          <w:b/>
        </w:rPr>
        <w:t xml:space="preserve">Refusal review &amp; GCMS request</w:t>
      </w:r>
      <w:r>
        <w:t xml:space="preserve"> </w:t>
      </w:r>
      <w:r>
        <w:t xml:space="preserve">— understand exactly what the officer’s decision was based on.</w:t>
      </w:r>
    </w:p>
    <w:p>
      <w:pPr>
        <w:numPr>
          <w:ilvl w:val="0"/>
          <w:numId w:val="1015"/>
        </w:numPr>
        <w:pStyle w:val="Compact"/>
      </w:pPr>
      <w:r>
        <w:rPr>
          <w:bCs/>
          <w:b/>
        </w:rPr>
        <w:t xml:space="preserve">Diagnose the real issue</w:t>
      </w:r>
      <w:r>
        <w:t xml:space="preserve"> </w:t>
      </w:r>
      <w:r>
        <w:t xml:space="preserve">— separate the stated reason from the underlying concern.</w:t>
      </w:r>
    </w:p>
    <w:p>
      <w:pPr>
        <w:numPr>
          <w:ilvl w:val="0"/>
          <w:numId w:val="1015"/>
        </w:numPr>
        <w:pStyle w:val="Compact"/>
      </w:pPr>
      <w:r>
        <w:rPr>
          <w:bCs/>
          <w:b/>
        </w:rPr>
        <w:t xml:space="preserve">Build the response</w:t>
      </w:r>
      <w:r>
        <w:t xml:space="preserve"> </w:t>
      </w:r>
      <w:r>
        <w:t xml:space="preserve">— organize documents and explanation around what the decision-maker needed to see.</w:t>
      </w:r>
    </w:p>
    <w:p>
      <w:pPr>
        <w:numPr>
          <w:ilvl w:val="0"/>
          <w:numId w:val="1015"/>
        </w:numPr>
        <w:pStyle w:val="Compact"/>
      </w:pPr>
      <w:r>
        <w:rPr>
          <w:bCs/>
          <w:b/>
        </w:rPr>
        <w:t xml:space="preserve">File within the deadline</w:t>
      </w:r>
      <w:r>
        <w:t xml:space="preserve"> </w:t>
      </w:r>
      <w:r>
        <w:t xml:space="preserve">— PFL response, reapplication, IAD appeal, or judicial review referral, whichever route fits your file.</w:t>
      </w:r>
    </w:p>
    <w:bookmarkEnd w:id="138"/>
    <w:bookmarkStart w:id="139" w:name="h2-related-pathways-5"/>
    <w:p>
      <w:pPr>
        <w:pStyle w:val="Heading3"/>
      </w:pPr>
      <w:r>
        <w:t xml:space="preserve">H2: Related pathways</w:t>
      </w:r>
    </w:p>
    <w:p>
      <w:pPr>
        <w:pStyle w:val="FirstParagraph"/>
      </w:pPr>
      <w:r>
        <w:t xml:space="preserve">Refused on a study permit? Review our</w:t>
      </w:r>
      <w:r>
        <w:t xml:space="preserve"> </w:t>
      </w:r>
      <w:hyperlink r:id="rId29">
        <w:r>
          <w:rPr>
            <w:rStyle w:val="Hyperlink"/>
          </w:rPr>
          <w:t xml:space="preserve">study permit guide</w:t>
        </w:r>
      </w:hyperlink>
      <w:r>
        <w:t xml:space="preserve"> </w:t>
      </w:r>
      <w:r>
        <w:t xml:space="preserve">before reapplying. Refused sponsorship? See</w:t>
      </w:r>
      <w:r>
        <w:t xml:space="preserve"> </w:t>
      </w:r>
      <w:hyperlink r:id="rId30">
        <w:r>
          <w:rPr>
            <w:rStyle w:val="Hyperlink"/>
          </w:rPr>
          <w:t xml:space="preserve">family sponsorship</w:t>
        </w:r>
      </w:hyperlink>
      <w:r>
        <w:t xml:space="preserve"> </w:t>
      </w:r>
      <w:r>
        <w:t xml:space="preserve">for genuineness evidence guidance.</w:t>
      </w:r>
    </w:p>
    <w:bookmarkEnd w:id="139"/>
    <w:bookmarkStart w:id="140" w:name="faq-5"/>
    <w:p>
      <w:pPr>
        <w:pStyle w:val="Heading3"/>
      </w:pPr>
      <w:r>
        <w:t xml:space="preserve">FAQ</w:t>
      </w:r>
    </w:p>
    <w:p>
      <w:pPr>
        <w:pStyle w:val="FirstParagraph"/>
      </w:pPr>
      <w:r>
        <w:rPr>
          <w:bCs/>
          <w:b/>
        </w:rPr>
        <w:t xml:space="preserve">How long do I have to respond to a PFL?</w:t>
      </w:r>
      <w:r>
        <w:t xml:space="preserve"> </w:t>
      </w:r>
      <w:r>
        <w:t xml:space="preserve">Typically 15 to 30 days, as stated in the letter. Missing the deadline generally means the refusal is finalized as-is.</w:t>
      </w:r>
    </w:p>
    <w:p>
      <w:pPr>
        <w:pStyle w:val="BodyText"/>
      </w:pPr>
      <w:r>
        <w:rPr>
          <w:bCs/>
          <w:b/>
        </w:rPr>
        <w:t xml:space="preserve">What are GCMS notes and why do they matter?</w:t>
      </w:r>
      <w:r>
        <w:t xml:space="preserve"> </w:t>
      </w:r>
      <w:r>
        <w:t xml:space="preserve">They’re the officer’s internal case notes, obtained via an ATIP request, and often reveal the actual reasoning behind a refusal in more detail than the refusal letter.</w:t>
      </w:r>
    </w:p>
    <w:p>
      <w:pPr>
        <w:pStyle w:val="BodyText"/>
      </w:pPr>
      <w:r>
        <w:rPr>
          <w:bCs/>
          <w:b/>
        </w:rPr>
        <w:t xml:space="preserve">Should I reapply or appeal?</w:t>
      </w:r>
      <w:r>
        <w:t xml:space="preserve"> </w:t>
      </w:r>
      <w:r>
        <w:t xml:space="preserve">Depends on the category. Spousal sponsorship refusals have a formal IAD appeal route; other refusals are often better addressed with a stronger, evidence-backed reapplication, or in limited cases, Federal Court judicial review.</w:t>
      </w:r>
    </w:p>
    <w:bookmarkEnd w:id="140"/>
    <w:bookmarkStart w:id="141" w:name="cta-block-5"/>
    <w:p>
      <w:pPr>
        <w:pStyle w:val="Heading3"/>
      </w:pPr>
      <w:r>
        <w:t xml:space="preserve">CTA block</w:t>
      </w:r>
    </w:p>
    <w:p>
      <w:pPr>
        <w:pStyle w:val="FirstParagraph"/>
      </w:pPr>
      <w:r>
        <w:t xml:space="preserve">Refused? Get your GCMS notes reviewed before the deadline passes.</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141"/>
    <w:bookmarkEnd w:id="142"/>
    <w:bookmarkEnd w:id="143"/>
    <w:bookmarkStart w:id="144" w:name="page-for-employerslmia"/>
    <w:p>
      <w:pPr>
        <w:pStyle w:val="Heading1"/>
      </w:pPr>
      <w:r>
        <w:t xml:space="preserve">PAGE: /for-employers/lmia</w:t>
      </w:r>
    </w:p>
    <w:bookmarkEnd w:id="144"/>
    <w:bookmarkStart w:id="159" w:name="menu-location-employers-lmia-all-streams"/>
    <w:p>
      <w:pPr>
        <w:pStyle w:val="Heading1"/>
      </w:pPr>
      <w:r>
        <w:t xml:space="preserve">Menu location: Employers → LMIA (All Streams)</w:t>
      </w:r>
    </w:p>
    <w:p>
      <w:r>
        <w:pict>
          <v:rect style="width:0;height:1.5pt" o:hralign="center" o:hrstd="t" o:hr="t"/>
        </w:pict>
      </w:r>
    </w:p>
    <w:bookmarkStart w:id="146" w:name="meta-tags-7"/>
    <w:p>
      <w:pPr>
        <w:pStyle w:val="Heading2"/>
      </w:pPr>
      <w:r>
        <w:t xml:space="preserve">META TAGS</w:t>
      </w:r>
    </w:p>
    <w:p>
      <w:pPr>
        <w:pStyle w:val="SourceCode"/>
      </w:pPr>
      <w:r>
        <w:rPr>
          <w:rStyle w:val="VerbatimChar"/>
        </w:rPr>
        <w:t xml:space="preserve">title: LMIA Consultant Brampton | High-Wage, Low-Wage &amp; Agricultural Streams | CMG</w:t>
      </w:r>
      <w:r>
        <w:br/>
      </w:r>
      <w:r>
        <w:rPr>
          <w:rStyle w:val="VerbatimChar"/>
        </w:rPr>
        <w:t xml:space="preserve">meta-description: Licensed RCIC-led LMIA applications for Brampton &amp; GTA employers. High-wage, low-wage, agricultural streams. 500+ LMIAs filed, ESDC-ready files. Book a consultation.</w:t>
      </w:r>
      <w:r>
        <w:br/>
      </w:r>
      <w:r>
        <w:rPr>
          <w:rStyle w:val="VerbatimChar"/>
        </w:rPr>
        <w:t xml:space="preserve">canonical: https://commonwealthmigration.ca/for-employers/lmia</w:t>
      </w:r>
      <w:r>
        <w:br/>
      </w:r>
      <w:r>
        <w:rPr>
          <w:rStyle w:val="VerbatimChar"/>
        </w:rPr>
        <w:t xml:space="preserve">meta-keywords: LMIA consultant Brampton, LMIA application Ontario, high wage LMIA GTA, low wage LMIA Ontario, agricultural LMIA Canada, foreign worker hiring Brampton</w:t>
      </w:r>
      <w:r>
        <w:br/>
      </w:r>
      <w:r>
        <w:rPr>
          <w:rStyle w:val="VerbatimChar"/>
        </w:rPr>
        <w:t xml:space="preserve">meta-og:title: LMIA Consultant Brampton | High-Wage, Low-Wage &amp; Agricultural Streams</w:t>
      </w:r>
      <w:r>
        <w:br/>
      </w:r>
      <w:r>
        <w:rPr>
          <w:rStyle w:val="VerbatimChar"/>
        </w:rPr>
        <w:t xml:space="preserve">meta-og:description: Licensed RCIC-led LMIA applications for Brampton &amp; GTA employers, structured for defensible files and audit readiness.</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https://commonwealthmigration.ca/for-employers/lmia</w:t>
      </w:r>
      <w:r>
        <w:br/>
      </w:r>
      <w:r>
        <w:rPr>
          <w:rStyle w:val="VerbatimChar"/>
        </w:rPr>
        <w:t xml:space="preserve">meta-theme-color: #C8102E</w:t>
      </w:r>
    </w:p>
    <w:bookmarkStart w:id="145" w:name="json-ld-6"/>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long does an LMIA take to process in 2026?"</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"Processing times vary by stream and occupation — high-wage and low-wage LMIAs typically take several weeks, while stream-specific programs like the Global Talent Stream are expedited. A licensed consultant can confirm current ESDC service standards for your specific occupation and stream before you post the job."</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"What's the difference between high-wage and low-wage LMIA streams?"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classification is based on whether the offered wage is above or below the median hourly wage for that occupation in the province. Each stream has different advertising requirements, transition plan obligations, and caps on the proportion of low-wage temporary foreign workers an employer can hire at a single location."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 I need to advertise the position before applying for an LMIA?"</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in most streams. Employers must generally advertise the position for a minimum period across specified platforms and demonstrate genuine recruitment efforts to Canadian citizens and permanent residents before an LMIA application is submitted, with limited exemptions for certain occupations and streams."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45"/>
    <w:bookmarkEnd w:id="146"/>
    <w:bookmarkStart w:id="158" w:name="page-content-7"/>
    <w:p>
      <w:pPr>
        <w:pStyle w:val="Heading2"/>
      </w:pPr>
      <w:r>
        <w:t xml:space="preserve">PAGE CONTENT</w:t>
      </w:r>
    </w:p>
    <w:bookmarkStart w:id="147" w:name="h1-7"/>
    <w:p>
      <w:pPr>
        <w:pStyle w:val="Heading3"/>
      </w:pPr>
      <w:r>
        <w:t xml:space="preserve">H1</w:t>
      </w:r>
    </w:p>
    <w:p>
      <w:pPr>
        <w:pStyle w:val="FirstParagraph"/>
      </w:pPr>
      <w:r>
        <w:t xml:space="preserve">LMIA Consultant in Brampton — High-Wage, Low-Wage &amp; Agricultural Streams for GTA Employers</w:t>
      </w:r>
    </w:p>
    <w:bookmarkEnd w:id="147"/>
    <w:bookmarkStart w:id="148" w:name="X47fa55d37ba22eb4664dd28dca09ed572be42ab"/>
    <w:p>
      <w:pPr>
        <w:pStyle w:val="Heading3"/>
      </w:pPr>
      <w:r>
        <w:t xml:space="preserve">Intro (target:</w:t>
      </w:r>
      <w:r>
        <w:t xml:space="preserve"> </w:t>
      </w:r>
      <w:r>
        <w:t xml:space="preserve">“</w:t>
      </w:r>
      <w:r>
        <w:t xml:space="preserve">LMIA consultant Brampton</w:t>
      </w:r>
      <w:r>
        <w:t xml:space="preserve">”</w:t>
      </w:r>
      <w:r>
        <w:t xml:space="preserve">,</w:t>
      </w:r>
      <w:r>
        <w:t xml:space="preserve"> </w:t>
      </w:r>
      <w:r>
        <w:t xml:space="preserve">“</w:t>
      </w:r>
      <w:r>
        <w:t xml:space="preserve">LMIA application Ontario</w:t>
      </w:r>
      <w:r>
        <w:t xml:space="preserve">”</w:t>
      </w:r>
      <w:r>
        <w:t xml:space="preserve">)</w:t>
      </w:r>
    </w:p>
    <w:p>
      <w:pPr>
        <w:pStyle w:val="FirstParagraph"/>
      </w:pPr>
      <w:r>
        <w:t xml:space="preserve">A Labour Market Impact Assessment (LMIA) is the document that lets a Canadian employer hire a foreign worker where no Canadian citizen or permanent resident is available to fill the role. Our Brampton office has filed over 500 LMIAs across every major stream for employers in Peel Region and the GTA — warehousing, manufacturing, healthcare, trucking, agriculture and skilled trades — and we build every file to withstand an ESDC compliance review, not just to get an initial approval.</w:t>
      </w:r>
    </w:p>
    <w:bookmarkEnd w:id="148"/>
    <w:bookmarkStart w:id="150" w:name="h2-lmia-streams-we-handle"/>
    <w:p>
      <w:pPr>
        <w:pStyle w:val="Heading3"/>
      </w:pPr>
      <w:r>
        <w:t xml:space="preserve">H2: LMIA streams we handle</w:t>
      </w:r>
    </w:p>
    <w:p>
      <w:pPr>
        <w:numPr>
          <w:ilvl w:val="0"/>
          <w:numId w:val="1016"/>
        </w:numPr>
        <w:pStyle w:val="Compact"/>
      </w:pPr>
      <w:r>
        <w:rPr>
          <w:bCs/>
          <w:b/>
        </w:rPr>
        <w:t xml:space="preserve">High-wage LMIA</w:t>
      </w:r>
      <w:r>
        <w:t xml:space="preserve"> </w:t>
      </w:r>
      <w:r>
        <w:t xml:space="preserve">— for roles paid above the provincial median hourly wage, with a transition plan requirement demonstrating a path to reduced reliance on temporary foreign workers.</w:t>
      </w:r>
    </w:p>
    <w:p>
      <w:pPr>
        <w:numPr>
          <w:ilvl w:val="0"/>
          <w:numId w:val="1016"/>
        </w:numPr>
        <w:pStyle w:val="Compact"/>
      </w:pPr>
      <w:r>
        <w:rPr>
          <w:bCs/>
          <w:b/>
        </w:rPr>
        <w:t xml:space="preserve">Low-wage LMIA</w:t>
      </w:r>
      <w:r>
        <w:t xml:space="preserve"> </w:t>
      </w:r>
      <w:r>
        <w:t xml:space="preserve">— for roles below the median wage, subject to caps on the proportion of low-wage workers at a single worksite and additional employer obligations (return transportation, private health insurance until provincial coverage begins, and employer-paid recruitment costs).</w:t>
      </w:r>
    </w:p>
    <w:p>
      <w:pPr>
        <w:numPr>
          <w:ilvl w:val="0"/>
          <w:numId w:val="1016"/>
        </w:numPr>
        <w:pStyle w:val="Compact"/>
      </w:pPr>
      <w:r>
        <w:rPr>
          <w:bCs/>
          <w:b/>
        </w:rPr>
        <w:t xml:space="preserve">Agricultural LMIA</w:t>
      </w:r>
      <w:r>
        <w:t xml:space="preserve"> </w:t>
      </w:r>
      <w:r>
        <w:t xml:space="preserve">— seasonal and year-round streams for the agriculture and agri-food sector, including the Seasonal Agricultural Worker Program and the Agricultural Stream.</w:t>
      </w:r>
    </w:p>
    <w:p>
      <w:pPr>
        <w:numPr>
          <w:ilvl w:val="0"/>
          <w:numId w:val="1016"/>
        </w:numPr>
        <w:pStyle w:val="Compact"/>
      </w:pPr>
      <w:r>
        <w:rPr>
          <w:bCs/>
          <w:b/>
        </w:rPr>
        <w:t xml:space="preserve">Global Talent Stream</w:t>
      </w:r>
      <w:r>
        <w:t xml:space="preserve"> </w:t>
      </w:r>
      <w:r>
        <w:t xml:space="preserve">— expedited processing for eligible tech and in-demand occupations; see our</w:t>
      </w:r>
      <w:r>
        <w:t xml:space="preserve"> </w:t>
      </w:r>
      <w:hyperlink r:id="rId149">
        <w:r>
          <w:rPr>
            <w:rStyle w:val="Hyperlink"/>
          </w:rPr>
          <w:t xml:space="preserve">dedicated Global Talent Stream page</w:t>
        </w:r>
      </w:hyperlink>
      <w:r>
        <w:t xml:space="preserve">.</w:t>
      </w:r>
    </w:p>
    <w:bookmarkEnd w:id="150"/>
    <w:bookmarkStart w:id="151" w:name="X0ca2c377ac8f978b6fda07b50998f9ac5d618ad"/>
    <w:p>
      <w:pPr>
        <w:pStyle w:val="Heading3"/>
      </w:pPr>
      <w:r>
        <w:t xml:space="preserve">H2: The recruitment step ESDC actually checks</w:t>
      </w:r>
    </w:p>
    <w:p>
      <w:pPr>
        <w:pStyle w:val="FirstParagraph"/>
      </w:pPr>
      <w:r>
        <w:t xml:space="preserve">Before an LMIA is approved, ESDC reviews whether the employer made genuine efforts to hire domestically — advertising duration, platforms used, and how applicants were assessed. This is the step most self-filed LMIAs get wrong, either by under-advertising or by documenting recruitment inconsistently with the job description on file. We build the recruitment record alongside the LMIA application itself, not after ESDC asks for it.</w:t>
      </w:r>
    </w:p>
    <w:bookmarkEnd w:id="151"/>
    <w:bookmarkStart w:id="152" w:name="X25ae0e65cef1575ba449b8c3214c5e227bf2988"/>
    <w:p>
      <w:pPr>
        <w:pStyle w:val="Heading3"/>
      </w:pPr>
      <w:r>
        <w:t xml:space="preserve">H2: Why Brampton &amp; Peel Region employers work with us</w:t>
      </w:r>
    </w:p>
    <w:p>
      <w:pPr>
        <w:pStyle w:val="FirstParagraph"/>
      </w:pPr>
      <w:r>
        <w:t xml:space="preserve">Peel Region’s warehousing, logistics and manufacturing sector relies heavily on the temporary foreign worker program, and our office sees the occupation-specific wage and advertising requirements ESDC applies to these roles daily. Being based in Brampton means we track regional wage data and processing patterns for the occupations that matter most to local employers, rather than treating every file as generic.</w:t>
      </w:r>
    </w:p>
    <w:bookmarkEnd w:id="152"/>
    <w:bookmarkStart w:id="153" w:name="h2-our-lmia-process"/>
    <w:p>
      <w:pPr>
        <w:pStyle w:val="Heading3"/>
      </w:pPr>
      <w:r>
        <w:t xml:space="preserve">H2: Our LMIA process</w:t>
      </w:r>
    </w:p>
    <w:p>
      <w:pPr>
        <w:numPr>
          <w:ilvl w:val="0"/>
          <w:numId w:val="1017"/>
        </w:numPr>
        <w:pStyle w:val="Compact"/>
      </w:pPr>
      <w:r>
        <w:rPr>
          <w:bCs/>
          <w:b/>
        </w:rPr>
        <w:t xml:space="preserve">Stream and wage classification</w:t>
      </w:r>
      <w:r>
        <w:t xml:space="preserve"> </w:t>
      </w:r>
      <w:r>
        <w:t xml:space="preserve">— high-wage vs. low-wage vs. specialized stream determination.</w:t>
      </w:r>
    </w:p>
    <w:p>
      <w:pPr>
        <w:numPr>
          <w:ilvl w:val="0"/>
          <w:numId w:val="1017"/>
        </w:numPr>
        <w:pStyle w:val="Compact"/>
      </w:pPr>
      <w:r>
        <w:rPr>
          <w:bCs/>
          <w:b/>
        </w:rPr>
        <w:t xml:space="preserve">Recruitment strategy</w:t>
      </w:r>
      <w:r>
        <w:t xml:space="preserve"> </w:t>
      </w:r>
      <w:r>
        <w:t xml:space="preserve">— advertising plan built to ESDC’s minimum requirements for your stream.</w:t>
      </w:r>
    </w:p>
    <w:p>
      <w:pPr>
        <w:numPr>
          <w:ilvl w:val="0"/>
          <w:numId w:val="1017"/>
        </w:numPr>
        <w:pStyle w:val="Compact"/>
      </w:pPr>
      <w:r>
        <w:rPr>
          <w:bCs/>
          <w:b/>
        </w:rPr>
        <w:t xml:space="preserve">Application preparation</w:t>
      </w:r>
      <w:r>
        <w:t xml:space="preserve"> </w:t>
      </w:r>
      <w:r>
        <w:t xml:space="preserve">— transition plan (high-wage) or cap and obligation review (low-wage).</w:t>
      </w:r>
    </w:p>
    <w:p>
      <w:pPr>
        <w:numPr>
          <w:ilvl w:val="0"/>
          <w:numId w:val="1017"/>
        </w:numPr>
        <w:pStyle w:val="Compact"/>
      </w:pPr>
      <w:r>
        <w:rPr>
          <w:bCs/>
          <w:b/>
        </w:rPr>
        <w:t xml:space="preserve">Filing and ESDC liaison</w:t>
      </w:r>
      <w:r>
        <w:t xml:space="preserve"> </w:t>
      </w:r>
      <w:r>
        <w:t xml:space="preserve">— submission, responses to requests for information, and decision tracking.</w:t>
      </w:r>
    </w:p>
    <w:p>
      <w:pPr>
        <w:numPr>
          <w:ilvl w:val="0"/>
          <w:numId w:val="1017"/>
        </w:numPr>
        <w:pStyle w:val="Compact"/>
      </w:pPr>
      <w:r>
        <w:rPr>
          <w:bCs/>
          <w:b/>
        </w:rPr>
        <w:t xml:space="preserve">Post-approval support</w:t>
      </w:r>
      <w:r>
        <w:t xml:space="preserve"> </w:t>
      </w:r>
      <w:r>
        <w:t xml:space="preserve">— work permit application guidance for the named foreign worker.</w:t>
      </w:r>
    </w:p>
    <w:bookmarkEnd w:id="153"/>
    <w:bookmarkStart w:id="155" w:name="h2-related-pathways-6"/>
    <w:p>
      <w:pPr>
        <w:pStyle w:val="Heading3"/>
      </w:pPr>
      <w:r>
        <w:t xml:space="preserve">H2: Related pathways</w:t>
      </w:r>
    </w:p>
    <w:p>
      <w:pPr>
        <w:pStyle w:val="FirstParagraph"/>
      </w:pPr>
      <w:r>
        <w:t xml:space="preserve">Hiring for a tech role? See</w:t>
      </w:r>
      <w:r>
        <w:t xml:space="preserve"> </w:t>
      </w:r>
      <w:hyperlink r:id="rId149">
        <w:r>
          <w:rPr>
            <w:rStyle w:val="Hyperlink"/>
          </w:rPr>
          <w:t xml:space="preserve">Global Talent Stream</w:t>
        </w:r>
      </w:hyperlink>
      <w:r>
        <w:t xml:space="preserve"> </w:t>
      </w:r>
      <w:r>
        <w:t xml:space="preserve">for expedited processing. Already have LMIA-supported workers on staff? Review</w:t>
      </w:r>
      <w:r>
        <w:t xml:space="preserve"> </w:t>
      </w:r>
      <w:hyperlink r:id="rId154">
        <w:r>
          <w:rPr>
            <w:rStyle w:val="Hyperlink"/>
          </w:rPr>
          <w:t xml:space="preserve">Employer Compliance</w:t>
        </w:r>
      </w:hyperlink>
      <w:r>
        <w:t xml:space="preserve"> </w:t>
      </w:r>
      <w:r>
        <w:t xml:space="preserve">to prepare for an ESDC inspection before one is triggered.</w:t>
      </w:r>
    </w:p>
    <w:bookmarkEnd w:id="155"/>
    <w:bookmarkStart w:id="156" w:name="faq-6"/>
    <w:p>
      <w:pPr>
        <w:pStyle w:val="Heading3"/>
      </w:pPr>
      <w:r>
        <w:t xml:space="preserve">FAQ</w:t>
      </w:r>
    </w:p>
    <w:p>
      <w:pPr>
        <w:pStyle w:val="FirstParagraph"/>
      </w:pPr>
      <w:r>
        <w:rPr>
          <w:bCs/>
          <w:b/>
        </w:rPr>
        <w:t xml:space="preserve">How long does an LMIA take to process in 2026?</w:t>
      </w:r>
      <w:r>
        <w:t xml:space="preserve"> </w:t>
      </w:r>
      <w:r>
        <w:t xml:space="preserve">Processing times vary by stream and occupation — high-wage and low-wage LMIAs typically take several weeks, while stream-specific programs like the Global Talent Stream are expedited. We confirm current ESDC service standards for your occupation before you post the job.</w:t>
      </w:r>
    </w:p>
    <w:p>
      <w:pPr>
        <w:pStyle w:val="BodyText"/>
      </w:pPr>
      <w:r>
        <w:rPr>
          <w:bCs/>
          <w:b/>
        </w:rPr>
        <w:t xml:space="preserve">What’s the difference between high-wage and low-wage LMIA streams?</w:t>
      </w:r>
      <w:r>
        <w:t xml:space="preserve"> </w:t>
      </w:r>
      <w:r>
        <w:t xml:space="preserve">The classification depends on whether the offered wage is above or below the median hourly wage for that occupation in Ontario. Each stream carries different advertising requirements, transition plan obligations, and worksite caps.</w:t>
      </w:r>
    </w:p>
    <w:p>
      <w:pPr>
        <w:pStyle w:val="BodyText"/>
      </w:pPr>
      <w:r>
        <w:rPr>
          <w:bCs/>
          <w:b/>
        </w:rPr>
        <w:t xml:space="preserve">Do I need to advertise the position before applying?</w:t>
      </w:r>
      <w:r>
        <w:t xml:space="preserve"> </w:t>
      </w:r>
      <w:r>
        <w:t xml:space="preserve">Yes, in most streams — a minimum advertising period across specified platforms with genuine recruitment efforts documented, with limited exemptions for certain occupations and streams.</w:t>
      </w:r>
    </w:p>
    <w:bookmarkEnd w:id="156"/>
    <w:bookmarkStart w:id="157" w:name="cta-block-6"/>
    <w:p>
      <w:pPr>
        <w:pStyle w:val="Heading3"/>
      </w:pPr>
      <w:r>
        <w:t xml:space="preserve">CTA block</w:t>
      </w:r>
    </w:p>
    <w:p>
      <w:pPr>
        <w:pStyle w:val="FirstParagraph"/>
      </w:pPr>
      <w:r>
        <w:t xml:space="preserve">Get your LMIA file built for approval and audit readiness.</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157"/>
    <w:bookmarkEnd w:id="158"/>
    <w:bookmarkEnd w:id="159"/>
    <w:bookmarkStart w:id="160" w:name="page-for-employersglobal-talent-stream"/>
    <w:p>
      <w:pPr>
        <w:pStyle w:val="Heading1"/>
      </w:pPr>
      <w:r>
        <w:t xml:space="preserve">PAGE: /for-employers/global-talent-stream</w:t>
      </w:r>
    </w:p>
    <w:bookmarkEnd w:id="160"/>
    <w:bookmarkStart w:id="174" w:name="X42aa281597b2363fdbbc7ed9f917da78406d81d"/>
    <w:p>
      <w:pPr>
        <w:pStyle w:val="Heading1"/>
      </w:pPr>
      <w:r>
        <w:t xml:space="preserve">Menu location: Employers → Global Talent Stream</w:t>
      </w:r>
    </w:p>
    <w:p>
      <w:r>
        <w:pict>
          <v:rect style="width:0;height:1.5pt" o:hralign="center" o:hrstd="t" o:hr="t"/>
        </w:pict>
      </w:r>
    </w:p>
    <w:bookmarkStart w:id="162" w:name="meta-tags-8"/>
    <w:p>
      <w:pPr>
        <w:pStyle w:val="Heading2"/>
      </w:pPr>
      <w:r>
        <w:t xml:space="preserve">META TAGS</w:t>
      </w:r>
    </w:p>
    <w:p>
      <w:pPr>
        <w:pStyle w:val="SourceCode"/>
      </w:pPr>
      <w:r>
        <w:rPr>
          <w:rStyle w:val="VerbatimChar"/>
        </w:rPr>
        <w:t xml:space="preserve">title: Global Talent Stream Consultant Brampton | Expedited Tech LMIA | CMG</w:t>
      </w:r>
      <w:r>
        <w:br/>
      </w:r>
      <w:r>
        <w:rPr>
          <w:rStyle w:val="VerbatimChar"/>
        </w:rPr>
        <w:t xml:space="preserve">meta-description: Licensed RCIC support for Global Talent Stream applications — Category A &amp; B. 2-week processing for GTA tech employers hiring specialized foreign talent.</w:t>
      </w:r>
      <w:r>
        <w:br/>
      </w:r>
      <w:r>
        <w:rPr>
          <w:rStyle w:val="VerbatimChar"/>
        </w:rPr>
        <w:t xml:space="preserve">canonical: https://commonwealthmigration.ca/for-employers/global-talent-stream</w:t>
      </w:r>
      <w:r>
        <w:br/>
      </w:r>
      <w:r>
        <w:rPr>
          <w:rStyle w:val="VerbatimChar"/>
        </w:rPr>
        <w:t xml:space="preserve">meta-keywords: Global Talent Stream consultant Brampton, GTS Category A Ontario, GTS Category B GTA, expedited work permit tech Canada, tech LMIA Ontario</w:t>
      </w:r>
      <w:r>
        <w:br/>
      </w:r>
      <w:r>
        <w:rPr>
          <w:rStyle w:val="VerbatimChar"/>
        </w:rPr>
        <w:t xml:space="preserve">meta-og:title: Global Talent Stream Consultant Brampton | Expedited Tech LMIA</w:t>
      </w:r>
      <w:r>
        <w:br/>
      </w:r>
      <w:r>
        <w:rPr>
          <w:rStyle w:val="VerbatimChar"/>
        </w:rPr>
        <w:t xml:space="preserve">meta-og:description: Category A and Category B Global Talent Stream applications for GTA tech employers — expedited processing, licensed RCIC support.</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https://commonwealthmigration.ca/for-employers/global-talent-stream</w:t>
      </w:r>
      <w:r>
        <w:br/>
      </w:r>
      <w:r>
        <w:rPr>
          <w:rStyle w:val="VerbatimChar"/>
        </w:rPr>
        <w:t xml:space="preserve">meta-theme-color: #C8102E</w:t>
      </w:r>
    </w:p>
    <w:bookmarkStart w:id="161" w:name="json-ld-7"/>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fast is Global Talent Stream processing compared to a standard LMIA?"</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"Global Talent Stream applications carry a 10-business-day service standard for the LMIA portion, compared to several weeks for standard high-wage or low-wage streams, making it the fastest LMIA-based route for eligible tech and specialized roles."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"What's the difference between Category A and Category B in the Global Talent Stream?"</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"Category A is for employers referred by a designated partner organization who are hiring unique, specialized talent not otherwise defined by occupation. Category B covers a fixed list of in-demand technical and managerial occupations, primarily in technology, that qualify for expedited processing without needing a partner referral."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 Global Talent Stream applicants need a Labour Market Benefits Plan?"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 employers using the Global Talent Stream commit to a Labour Market Benefits Plan outlining how the hire will create broader benefits, such as job creation, skills transfer, or investment in training, and compliance with these commitments can be reviewed."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61"/>
    <w:bookmarkEnd w:id="162"/>
    <w:bookmarkStart w:id="173" w:name="page-content-8"/>
    <w:p>
      <w:pPr>
        <w:pStyle w:val="Heading2"/>
      </w:pPr>
      <w:r>
        <w:t xml:space="preserve">PAGE CONTENT</w:t>
      </w:r>
    </w:p>
    <w:bookmarkStart w:id="163" w:name="h1-8"/>
    <w:p>
      <w:pPr>
        <w:pStyle w:val="Heading3"/>
      </w:pPr>
      <w:r>
        <w:t xml:space="preserve">H1</w:t>
      </w:r>
    </w:p>
    <w:p>
      <w:pPr>
        <w:pStyle w:val="FirstParagraph"/>
      </w:pPr>
      <w:r>
        <w:t xml:space="preserve">Global Talent Stream Consultant in Brampton — Expedited LMIA for Specialized Tech Roles</w:t>
      </w:r>
    </w:p>
    <w:bookmarkEnd w:id="163"/>
    <w:bookmarkStart w:id="164" w:name="X2934205530e093d7f286f6949922d8498093f55"/>
    <w:p>
      <w:pPr>
        <w:pStyle w:val="Heading3"/>
      </w:pPr>
      <w:r>
        <w:t xml:space="preserve">Intro (target:</w:t>
      </w:r>
      <w:r>
        <w:t xml:space="preserve"> </w:t>
      </w:r>
      <w:r>
        <w:t xml:space="preserve">“</w:t>
      </w:r>
      <w:r>
        <w:t xml:space="preserve">Global Talent Stream consultant Brampton</w:t>
      </w:r>
      <w:r>
        <w:t xml:space="preserve">”</w:t>
      </w:r>
      <w:r>
        <w:t xml:space="preserve">,</w:t>
      </w:r>
      <w:r>
        <w:t xml:space="preserve"> </w:t>
      </w:r>
      <w:r>
        <w:t xml:space="preserve">“</w:t>
      </w:r>
      <w:r>
        <w:t xml:space="preserve">expedited work permit tech Canada</w:t>
      </w:r>
      <w:r>
        <w:t xml:space="preserve">”</w:t>
      </w:r>
      <w:r>
        <w:t xml:space="preserve">)</w:t>
      </w:r>
    </w:p>
    <w:p>
      <w:pPr>
        <w:pStyle w:val="FirstParagraph"/>
      </w:pPr>
      <w:r>
        <w:t xml:space="preserve">The Global Talent Stream exists because standard LMIA timelines don’t work for employers competing for specialized technical talent on a global hiring cycle. It carries a 10-business-day service standard for the LMIA portion and a companion two-week work permit processing target — the fastest LMIA-based route available. Our Brampton-based team works with GTA tech and innovation-sector employers to determine Category A or Category B eligibility and build the Labour Market Benefits Plan ESDC requires alongside the application.</w:t>
      </w:r>
    </w:p>
    <w:bookmarkEnd w:id="164"/>
    <w:bookmarkStart w:id="165" w:name="h2-category-a-unique-specialized-talent"/>
    <w:p>
      <w:pPr>
        <w:pStyle w:val="Heading3"/>
      </w:pPr>
      <w:r>
        <w:t xml:space="preserve">H2: Category A — unique, specialized talent</w:t>
      </w:r>
    </w:p>
    <w:p>
      <w:pPr>
        <w:pStyle w:val="FirstParagraph"/>
      </w:pPr>
      <w:r>
        <w:t xml:space="preserve">For employers referred by one of ESDC’s designated partner organizations, hiring for roles that are innovative or specialized but not captured by a standard occupation list. This category depends on a strong case for why the role and the specific candidate are genuinely unique to the business.</w:t>
      </w:r>
    </w:p>
    <w:bookmarkEnd w:id="165"/>
    <w:bookmarkStart w:id="166" w:name="X6183f66599af519ce2d3a46fc7e9c7f1d186fc7"/>
    <w:p>
      <w:pPr>
        <w:pStyle w:val="Heading3"/>
      </w:pPr>
      <w:r>
        <w:t xml:space="preserve">H2: Category B — in-demand technical occupations</w:t>
      </w:r>
    </w:p>
    <w:p>
      <w:pPr>
        <w:pStyle w:val="FirstParagraph"/>
      </w:pPr>
      <w:r>
        <w:t xml:space="preserve">Covers a defined list of occupations — largely technology and engineering management roles — that qualify for expedited processing without needing a partner referral, provided the wage offered meets the prevailing wage threshold for the occupation and region.</w:t>
      </w:r>
    </w:p>
    <w:bookmarkEnd w:id="166"/>
    <w:bookmarkStart w:id="167" w:name="h2-the-labour-market-benefits-plan"/>
    <w:p>
      <w:pPr>
        <w:pStyle w:val="Heading3"/>
      </w:pPr>
      <w:r>
        <w:t xml:space="preserve">H2: The Labour Market Benefits Plan</w:t>
      </w:r>
    </w:p>
    <w:p>
      <w:pPr>
        <w:pStyle w:val="FirstParagraph"/>
      </w:pPr>
      <w:r>
        <w:t xml:space="preserve">Every Global Talent Stream employer commits to measurable benefits tied to the hire — job creation, skills and knowledge transfer to Canadians, or investment in training and recruitment. ESDC can review these commitments after approval, so the plan needs to be realistic and specific to the business, not a generic template.</w:t>
      </w:r>
    </w:p>
    <w:bookmarkEnd w:id="167"/>
    <w:bookmarkStart w:id="168" w:name="X3cbf40891cc9641a7e7dd0fdd4fdb06d3f3c96c"/>
    <w:p>
      <w:pPr>
        <w:pStyle w:val="Heading3"/>
      </w:pPr>
      <w:r>
        <w:t xml:space="preserve">H2: Why GTA tech employers use the Global Talent Stream</w:t>
      </w:r>
    </w:p>
    <w:p>
      <w:pPr>
        <w:pStyle w:val="FirstParagraph"/>
      </w:pPr>
      <w:r>
        <w:t xml:space="preserve">The Greater Toronto Area’s technology sector competes directly with U.S. and international employers for specialized talent, where a multi-week or multi-month standard LMIA timeline can mean losing the candidate. Employers based in or hiring into Brampton, Mississauga, and Toronto use GTS specifically to close that timeline gap on roles where the business case for urgency is genuine.</w:t>
      </w:r>
    </w:p>
    <w:bookmarkEnd w:id="168"/>
    <w:bookmarkStart w:id="169" w:name="h2-our-global-talent-stream-process"/>
    <w:p>
      <w:pPr>
        <w:pStyle w:val="Heading3"/>
      </w:pPr>
      <w:r>
        <w:t xml:space="preserve">H2: Our Global Talent Stream process</w:t>
      </w:r>
    </w:p>
    <w:p>
      <w:pPr>
        <w:numPr>
          <w:ilvl w:val="0"/>
          <w:numId w:val="1018"/>
        </w:numPr>
        <w:pStyle w:val="Compact"/>
      </w:pPr>
      <w:r>
        <w:rPr>
          <w:bCs/>
          <w:b/>
        </w:rPr>
        <w:t xml:space="preserve">Category and eligibility determination</w:t>
      </w:r>
      <w:r>
        <w:t xml:space="preserve"> </w:t>
      </w:r>
      <w:r>
        <w:t xml:space="preserve">— Category A partner referral vs. Category B occupation match.</w:t>
      </w:r>
    </w:p>
    <w:p>
      <w:pPr>
        <w:numPr>
          <w:ilvl w:val="0"/>
          <w:numId w:val="1018"/>
        </w:numPr>
        <w:pStyle w:val="Compact"/>
      </w:pPr>
      <w:r>
        <w:rPr>
          <w:bCs/>
          <w:b/>
        </w:rPr>
        <w:t xml:space="preserve">Labour Market Benefits Plan drafting</w:t>
      </w:r>
      <w:r>
        <w:t xml:space="preserve"> </w:t>
      </w:r>
      <w:r>
        <w:t xml:space="preserve">— specific, measurable commitments tied to your business.</w:t>
      </w:r>
    </w:p>
    <w:p>
      <w:pPr>
        <w:numPr>
          <w:ilvl w:val="0"/>
          <w:numId w:val="1018"/>
        </w:numPr>
        <w:pStyle w:val="Compact"/>
      </w:pPr>
      <w:r>
        <w:rPr>
          <w:bCs/>
          <w:b/>
        </w:rPr>
        <w:t xml:space="preserve">LMIA and work permit filing</w:t>
      </w:r>
      <w:r>
        <w:t xml:space="preserve"> </w:t>
      </w:r>
      <w:r>
        <w:t xml:space="preserve">— coordinated submission targeting the expedited service standards.</w:t>
      </w:r>
    </w:p>
    <w:p>
      <w:pPr>
        <w:numPr>
          <w:ilvl w:val="0"/>
          <w:numId w:val="1018"/>
        </w:numPr>
        <w:pStyle w:val="Compact"/>
      </w:pPr>
      <w:r>
        <w:rPr>
          <w:bCs/>
          <w:b/>
        </w:rPr>
        <w:t xml:space="preserve">Post-approval compliance guidance</w:t>
      </w:r>
      <w:r>
        <w:t xml:space="preserve"> </w:t>
      </w:r>
      <w:r>
        <w:t xml:space="preserve">— meeting your Benefits Plan commitments through the work permit term.</w:t>
      </w:r>
    </w:p>
    <w:bookmarkEnd w:id="169"/>
    <w:bookmarkStart w:id="170" w:name="h2-related-pathways-7"/>
    <w:p>
      <w:pPr>
        <w:pStyle w:val="Heading3"/>
      </w:pPr>
      <w:r>
        <w:t xml:space="preserve">H2: Related pathways</w:t>
      </w:r>
    </w:p>
    <w:p>
      <w:pPr>
        <w:pStyle w:val="FirstParagraph"/>
      </w:pPr>
      <w:r>
        <w:t xml:space="preserve">Not sure GTS fits your role? Review</w:t>
      </w:r>
      <w:r>
        <w:t xml:space="preserve"> </w:t>
      </w:r>
      <w:hyperlink r:id="rId89">
        <w:r>
          <w:rPr>
            <w:rStyle w:val="Hyperlink"/>
          </w:rPr>
          <w:t xml:space="preserve">LMIA (All Streams)</w:t>
        </w:r>
      </w:hyperlink>
      <w:r>
        <w:t xml:space="preserve"> </w:t>
      </w:r>
      <w:r>
        <w:t xml:space="preserve">for the standard high-wage and low-wage options. Already hired under GTS and preparing for a benefits plan review? See</w:t>
      </w:r>
      <w:r>
        <w:t xml:space="preserve"> </w:t>
      </w:r>
      <w:hyperlink r:id="rId154">
        <w:r>
          <w:rPr>
            <w:rStyle w:val="Hyperlink"/>
          </w:rPr>
          <w:t xml:space="preserve">Employer Compliance</w:t>
        </w:r>
      </w:hyperlink>
      <w:r>
        <w:t xml:space="preserve">.</w:t>
      </w:r>
    </w:p>
    <w:bookmarkEnd w:id="170"/>
    <w:bookmarkStart w:id="171" w:name="faq-7"/>
    <w:p>
      <w:pPr>
        <w:pStyle w:val="Heading3"/>
      </w:pPr>
      <w:r>
        <w:t xml:space="preserve">FAQ</w:t>
      </w:r>
    </w:p>
    <w:p>
      <w:pPr>
        <w:pStyle w:val="FirstParagraph"/>
      </w:pPr>
      <w:r>
        <w:rPr>
          <w:bCs/>
          <w:b/>
        </w:rPr>
        <w:t xml:space="preserve">How fast is Global Talent Stream processing?</w:t>
      </w:r>
      <w:r>
        <w:t xml:space="preserve"> </w:t>
      </w:r>
      <w:r>
        <w:t xml:space="preserve">The LMIA portion carries a 10-business-day service standard, compared to several weeks for standard streams, with a companion two-week target on the work permit side.</w:t>
      </w:r>
    </w:p>
    <w:p>
      <w:pPr>
        <w:pStyle w:val="BodyText"/>
      </w:pPr>
      <w:r>
        <w:rPr>
          <w:bCs/>
          <w:b/>
        </w:rPr>
        <w:t xml:space="preserve">What’s the difference between Category A and Category B?</w:t>
      </w:r>
      <w:r>
        <w:t xml:space="preserve"> </w:t>
      </w:r>
      <w:r>
        <w:t xml:space="preserve">Category A requires a designated partner referral for unique, specialized talent; Category B covers a fixed list of in-demand technical and managerial occupations without needing a referral.</w:t>
      </w:r>
    </w:p>
    <w:p>
      <w:pPr>
        <w:pStyle w:val="BodyText"/>
      </w:pPr>
      <w:r>
        <w:rPr>
          <w:bCs/>
          <w:b/>
        </w:rPr>
        <w:t xml:space="preserve">Do I need a Labour Market Benefits Plan?</w:t>
      </w:r>
      <w:r>
        <w:t xml:space="preserve"> </w:t>
      </w:r>
      <w:r>
        <w:t xml:space="preserve">Yes — every GTS employer commits to measurable benefits such as job creation, skills transfer, or training investment, and compliance can be reviewed after approval.</w:t>
      </w:r>
    </w:p>
    <w:bookmarkEnd w:id="171"/>
    <w:bookmarkStart w:id="172" w:name="cta-block-7"/>
    <w:p>
      <w:pPr>
        <w:pStyle w:val="Heading3"/>
      </w:pPr>
      <w:r>
        <w:t xml:space="preserve">CTA block</w:t>
      </w:r>
    </w:p>
    <w:p>
      <w:pPr>
        <w:pStyle w:val="FirstParagraph"/>
      </w:pPr>
      <w:r>
        <w:t xml:space="preserve">Move your specialized hire through the fastest LMIA-based route available.</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172"/>
    <w:bookmarkEnd w:id="173"/>
    <w:bookmarkEnd w:id="174"/>
    <w:bookmarkStart w:id="175" w:name="page-for-employersemployer-compliance"/>
    <w:p>
      <w:pPr>
        <w:pStyle w:val="Heading1"/>
      </w:pPr>
      <w:r>
        <w:t xml:space="preserve">PAGE: /for-employers/employer-compliance</w:t>
      </w:r>
    </w:p>
    <w:bookmarkEnd w:id="175"/>
    <w:bookmarkStart w:id="188" w:name="X457ad756f90e89686a5d54fe99db89d7fcc8fb8"/>
    <w:p>
      <w:pPr>
        <w:pStyle w:val="Heading1"/>
      </w:pPr>
      <w:r>
        <w:t xml:space="preserve">Menu location: Employers → Employer Compliance</w:t>
      </w:r>
    </w:p>
    <w:p>
      <w:r>
        <w:pict>
          <v:rect style="width:0;height:1.5pt" o:hralign="center" o:hrstd="t" o:hr="t"/>
        </w:pict>
      </w:r>
    </w:p>
    <w:bookmarkStart w:id="177" w:name="meta-tags-9"/>
    <w:p>
      <w:pPr>
        <w:pStyle w:val="Heading2"/>
      </w:pPr>
      <w:r>
        <w:t xml:space="preserve">META TAGS</w:t>
      </w:r>
    </w:p>
    <w:p>
      <w:pPr>
        <w:pStyle w:val="SourceCode"/>
      </w:pPr>
      <w:r>
        <w:rPr>
          <w:rStyle w:val="VerbatimChar"/>
        </w:rPr>
        <w:t xml:space="preserve">title: TFWP Employer Compliance Consultant Brampton | ESDC Audits &amp; Reviews | CMG</w:t>
      </w:r>
      <w:r>
        <w:br/>
      </w:r>
      <w:r>
        <w:rPr>
          <w:rStyle w:val="VerbatimChar"/>
        </w:rPr>
        <w:t xml:space="preserve">meta-description: Licensed RCIC support for ESDC compliance reviews, TFWP inspections &amp; audit readiness. Brampton &amp; GTA employers with LMIA-supported workers. Protect your hiring privileges.</w:t>
      </w:r>
      <w:r>
        <w:br/>
      </w:r>
      <w:r>
        <w:rPr>
          <w:rStyle w:val="VerbatimChar"/>
        </w:rPr>
        <w:t xml:space="preserve">canonical: https://commonwealthmigration.ca/for-employers/employer-compliance</w:t>
      </w:r>
      <w:r>
        <w:br/>
      </w:r>
      <w:r>
        <w:rPr>
          <w:rStyle w:val="VerbatimChar"/>
        </w:rPr>
        <w:t xml:space="preserve">meta-keywords: TFWP compliance Brampton, ESDC audit Ontario, employer inspection LMIA GTA, temporary foreign worker compliance Canada, LMIA audit readiness Brampton</w:t>
      </w:r>
      <w:r>
        <w:br/>
      </w:r>
      <w:r>
        <w:rPr>
          <w:rStyle w:val="VerbatimChar"/>
        </w:rPr>
        <w:t xml:space="preserve">meta-og:title: TFWP Employer Compliance Consultant Brampton | ESDC Audits &amp; Reviews</w:t>
      </w:r>
      <w:r>
        <w:br/>
      </w:r>
      <w:r>
        <w:rPr>
          <w:rStyle w:val="VerbatimChar"/>
        </w:rPr>
        <w:t xml:space="preserve">meta-og:description: ESDC compliance review and audit readiness support for Brampton &amp; GTA employers with LMIA-supported foreign workers.</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https://commonwealthmigration.ca/for-employers/employer-compliance</w:t>
      </w:r>
      <w:r>
        <w:br/>
      </w:r>
      <w:r>
        <w:rPr>
          <w:rStyle w:val="VerbatimChar"/>
        </w:rPr>
        <w:t xml:space="preserve">meta-theme-color: #C8102E</w:t>
      </w:r>
    </w:p>
    <w:bookmarkStart w:id="176" w:name="json-ld-8"/>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long does an employer need to keep TFWP records?"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"Employers are generally required to retain records related to a temporary foreign worker's employment — payroll, job duties, wages, and recruitment documentation — for six years from the first day of employment under the LMIA, in case of an ESDC compliance review."</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triggers an ESDC compliance inspection?"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"Inspections can be random, tip-based, or triggered by inconsistencies flagged during a new LMIA application, a worker complaint, or a prior finding of non-compliance. A percentage of employers are also selected for review regardless of complaint history."</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happens if an employer is found non-compliant?"</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"Consequences range from a warning and administrative monetary penalty to a ban on the LMIA program for a set period, and in serious cases, public listing on ESDC's non-compliant employer registry — which affects future hiring for any role requiring an LMIA."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76"/>
    <w:bookmarkEnd w:id="177"/>
    <w:bookmarkStart w:id="187" w:name="page-content-9"/>
    <w:p>
      <w:pPr>
        <w:pStyle w:val="Heading2"/>
      </w:pPr>
      <w:r>
        <w:t xml:space="preserve">PAGE CONTENT</w:t>
      </w:r>
    </w:p>
    <w:bookmarkStart w:id="178" w:name="h1-9"/>
    <w:p>
      <w:pPr>
        <w:pStyle w:val="Heading3"/>
      </w:pPr>
      <w:r>
        <w:t xml:space="preserve">H1</w:t>
      </w:r>
    </w:p>
    <w:p>
      <w:pPr>
        <w:pStyle w:val="FirstParagraph"/>
      </w:pPr>
      <w:r>
        <w:t xml:space="preserve">Employer Compliance Consultant in Brampton — TFWP Audit Readiness for GTA Businesses</w:t>
      </w:r>
    </w:p>
    <w:bookmarkEnd w:id="178"/>
    <w:bookmarkStart w:id="179" w:name="X1788ebf3fe4ac3445c7bffb5b4eec98294688d8"/>
    <w:p>
      <w:pPr>
        <w:pStyle w:val="Heading3"/>
      </w:pPr>
      <w:r>
        <w:t xml:space="preserve">Intro (target:</w:t>
      </w:r>
      <w:r>
        <w:t xml:space="preserve"> </w:t>
      </w:r>
      <w:r>
        <w:t xml:space="preserve">“</w:t>
      </w:r>
      <w:r>
        <w:t xml:space="preserve">TFWP compliance Brampton</w:t>
      </w:r>
      <w:r>
        <w:t xml:space="preserve">”</w:t>
      </w:r>
      <w:r>
        <w:t xml:space="preserve">,</w:t>
      </w:r>
      <w:r>
        <w:t xml:space="preserve"> </w:t>
      </w:r>
      <w:r>
        <w:t xml:space="preserve">“</w:t>
      </w:r>
      <w:r>
        <w:t xml:space="preserve">ESDC audit Ontario</w:t>
      </w:r>
      <w:r>
        <w:t xml:space="preserve">”</w:t>
      </w:r>
      <w:r>
        <w:t xml:space="preserve">)</w:t>
      </w:r>
    </w:p>
    <w:p>
      <w:pPr>
        <w:pStyle w:val="FirstParagraph"/>
      </w:pPr>
      <w:r>
        <w:t xml:space="preserve">Hiring under an LMIA doesn’t end when the approval letter arrives — it comes with ongoing recordkeeping and compliance obligations that ESDC can review at any point during and after the work permit term. Our Brampton office helps GTA employers with LMIA-supported workers on staff prepare for inspections before one is triggered, and represents employers through active compliance reviews.</w:t>
      </w:r>
    </w:p>
    <w:bookmarkEnd w:id="179"/>
    <w:bookmarkStart w:id="180" w:name="h2-what-esdc-actually-checks"/>
    <w:p>
      <w:pPr>
        <w:pStyle w:val="Heading3"/>
      </w:pPr>
      <w:r>
        <w:t xml:space="preserve">H2: What ESDC actually checks</w:t>
      </w:r>
    </w:p>
    <w:p>
      <w:pPr>
        <w:pStyle w:val="FirstParagraph"/>
      </w:pPr>
      <w:r>
        <w:t xml:space="preserve">Compliance reviews assess whether the job duties, wage, and working conditions match what was stated in the original LMIA application; whether the employer met transition plan or Labour Market Benefits Plan commitments; and whether required records — payroll, recruitment documentation, and proof of genuine job offer terms — are retained and accurate for the required six-year period.</w:t>
      </w:r>
    </w:p>
    <w:bookmarkEnd w:id="180"/>
    <w:bookmarkStart w:id="181" w:name="h2-common-compliance-gaps-we-find"/>
    <w:p>
      <w:pPr>
        <w:pStyle w:val="Heading3"/>
      </w:pPr>
      <w:r>
        <w:t xml:space="preserve">H2: Common compliance gaps we find</w:t>
      </w:r>
    </w:p>
    <w:p>
      <w:pPr>
        <w:numPr>
          <w:ilvl w:val="0"/>
          <w:numId w:val="1019"/>
        </w:numPr>
        <w:pStyle w:val="Compact"/>
      </w:pPr>
      <w:r>
        <w:rPr>
          <w:bCs/>
          <w:b/>
        </w:rPr>
        <w:t xml:space="preserve">Wage drift</w:t>
      </w:r>
      <w:r>
        <w:t xml:space="preserve"> </w:t>
      </w:r>
      <w:r>
        <w:t xml:space="preserve">— the worker’s actual pay falling below the wage stated in the LMIA due to missed increases or misclassified overtime.</w:t>
      </w:r>
    </w:p>
    <w:p>
      <w:pPr>
        <w:numPr>
          <w:ilvl w:val="0"/>
          <w:numId w:val="1019"/>
        </w:numPr>
        <w:pStyle w:val="Compact"/>
      </w:pPr>
      <w:r>
        <w:rPr>
          <w:bCs/>
          <w:b/>
        </w:rPr>
        <w:t xml:space="preserve">Job duty mismatch</w:t>
      </w:r>
      <w:r>
        <w:t xml:space="preserve"> </w:t>
      </w:r>
      <w:r>
        <w:t xml:space="preserve">— day-to-day duties shifting from the original job description without updating the record.</w:t>
      </w:r>
    </w:p>
    <w:p>
      <w:pPr>
        <w:numPr>
          <w:ilvl w:val="0"/>
          <w:numId w:val="1019"/>
        </w:numPr>
        <w:pStyle w:val="Compact"/>
      </w:pPr>
      <w:r>
        <w:rPr>
          <w:bCs/>
          <w:b/>
        </w:rPr>
        <w:t xml:space="preserve">Incomplete recordkeeping</w:t>
      </w:r>
      <w:r>
        <w:t xml:space="preserve"> </w:t>
      </w:r>
      <w:r>
        <w:t xml:space="preserve">— missing payroll records, recruitment documentation, or proof of the advertising conducted before the LMIA was filed.</w:t>
      </w:r>
    </w:p>
    <w:p>
      <w:pPr>
        <w:numPr>
          <w:ilvl w:val="0"/>
          <w:numId w:val="1019"/>
        </w:numPr>
        <w:pStyle w:val="Compact"/>
      </w:pPr>
      <w:r>
        <w:rPr>
          <w:bCs/>
          <w:b/>
        </w:rPr>
        <w:t xml:space="preserve">Unmet transition plan commitments</w:t>
      </w:r>
      <w:r>
        <w:t xml:space="preserve"> </w:t>
      </w:r>
      <w:r>
        <w:t xml:space="preserve">— high-wage stream employers who haven’t documented progress on their stated plan to reduce reliance on the TFWP.</w:t>
      </w:r>
    </w:p>
    <w:bookmarkEnd w:id="181"/>
    <w:bookmarkStart w:id="182" w:name="X8acff9306563f9260d980533658589fc41e0670"/>
    <w:p>
      <w:pPr>
        <w:pStyle w:val="Heading3"/>
      </w:pPr>
      <w:r>
        <w:t xml:space="preserve">H2: Why Brampton &amp; GTA employers get ahead of this</w:t>
      </w:r>
    </w:p>
    <w:p>
      <w:pPr>
        <w:pStyle w:val="FirstParagraph"/>
      </w:pPr>
      <w:r>
        <w:t xml:space="preserve">Peel Region’s concentration of LMIA-supported hiring across warehousing, logistics, manufacturing and healthcare means local employers are statistically more likely to see a compliance review over the life of a work permit. A proactive audit-readiness review — before ESDC asks — is significantly less costly than responding to a finding of non-compliance after the fact.</w:t>
      </w:r>
    </w:p>
    <w:bookmarkEnd w:id="182"/>
    <w:bookmarkStart w:id="183" w:name="h2-our-employer-compliance-process"/>
    <w:p>
      <w:pPr>
        <w:pStyle w:val="Heading3"/>
      </w:pPr>
      <w:r>
        <w:t xml:space="preserve">H2: Our employer compliance process</w:t>
      </w:r>
    </w:p>
    <w:p>
      <w:pPr>
        <w:numPr>
          <w:ilvl w:val="0"/>
          <w:numId w:val="1020"/>
        </w:numPr>
        <w:pStyle w:val="Compact"/>
      </w:pPr>
      <w:r>
        <w:rPr>
          <w:bCs/>
          <w:b/>
        </w:rPr>
        <w:t xml:space="preserve">Recordkeeping audit</w:t>
      </w:r>
      <w:r>
        <w:t xml:space="preserve"> </w:t>
      </w:r>
      <w:r>
        <w:t xml:space="preserve">— payroll, job duties, and recruitment documentation checked against the original LMIA.</w:t>
      </w:r>
    </w:p>
    <w:p>
      <w:pPr>
        <w:numPr>
          <w:ilvl w:val="0"/>
          <w:numId w:val="1020"/>
        </w:numPr>
        <w:pStyle w:val="Compact"/>
      </w:pPr>
      <w:r>
        <w:rPr>
          <w:bCs/>
          <w:b/>
        </w:rPr>
        <w:t xml:space="preserve">Gap remediation</w:t>
      </w:r>
      <w:r>
        <w:t xml:space="preserve"> </w:t>
      </w:r>
      <w:r>
        <w:t xml:space="preserve">— correcting wage, duty, or documentation mismatches before they’re flagged externally.</w:t>
      </w:r>
    </w:p>
    <w:p>
      <w:pPr>
        <w:numPr>
          <w:ilvl w:val="0"/>
          <w:numId w:val="1020"/>
        </w:numPr>
        <w:pStyle w:val="Compact"/>
      </w:pPr>
      <w:r>
        <w:rPr>
          <w:bCs/>
          <w:b/>
        </w:rPr>
        <w:t xml:space="preserve">Inspection representation</w:t>
      </w:r>
      <w:r>
        <w:t xml:space="preserve"> </w:t>
      </w:r>
      <w:r>
        <w:t xml:space="preserve">— responding to an active ESDC compliance review or request for information.</w:t>
      </w:r>
    </w:p>
    <w:p>
      <w:pPr>
        <w:numPr>
          <w:ilvl w:val="0"/>
          <w:numId w:val="1020"/>
        </w:numPr>
        <w:pStyle w:val="Compact"/>
      </w:pPr>
      <w:r>
        <w:rPr>
          <w:bCs/>
          <w:b/>
        </w:rPr>
        <w:t xml:space="preserve">Ongoing compliance monitoring</w:t>
      </w:r>
      <w:r>
        <w:t xml:space="preserve"> </w:t>
      </w:r>
      <w:r>
        <w:t xml:space="preserve">— for employers with multiple LMIA-supported workers across renewal cycles.</w:t>
      </w:r>
    </w:p>
    <w:bookmarkEnd w:id="183"/>
    <w:bookmarkStart w:id="184" w:name="h2-related-pathways-8"/>
    <w:p>
      <w:pPr>
        <w:pStyle w:val="Heading3"/>
      </w:pPr>
      <w:r>
        <w:t xml:space="preserve">H2: Related pathways</w:t>
      </w:r>
    </w:p>
    <w:p>
      <w:pPr>
        <w:pStyle w:val="FirstParagraph"/>
      </w:pPr>
      <w:r>
        <w:t xml:space="preserve">Filing a new LMIA and want the file built for compliance from day one? See</w:t>
      </w:r>
      <w:r>
        <w:t xml:space="preserve"> </w:t>
      </w:r>
      <w:hyperlink r:id="rId89">
        <w:r>
          <w:rPr>
            <w:rStyle w:val="Hyperlink"/>
          </w:rPr>
          <w:t xml:space="preserve">LMIA (All Streams)</w:t>
        </w:r>
      </w:hyperlink>
      <w:r>
        <w:t xml:space="preserve">. Hiring specialized tech talent under Global Talent Stream? Review</w:t>
      </w:r>
      <w:r>
        <w:t xml:space="preserve"> </w:t>
      </w:r>
      <w:hyperlink r:id="rId149">
        <w:r>
          <w:rPr>
            <w:rStyle w:val="Hyperlink"/>
          </w:rPr>
          <w:t xml:space="preserve">GTS compliance obligations</w:t>
        </w:r>
      </w:hyperlink>
      <w:r>
        <w:t xml:space="preserve">.</w:t>
      </w:r>
    </w:p>
    <w:bookmarkEnd w:id="184"/>
    <w:bookmarkStart w:id="185" w:name="faq-8"/>
    <w:p>
      <w:pPr>
        <w:pStyle w:val="Heading3"/>
      </w:pPr>
      <w:r>
        <w:t xml:space="preserve">FAQ</w:t>
      </w:r>
    </w:p>
    <w:p>
      <w:pPr>
        <w:pStyle w:val="FirstParagraph"/>
      </w:pPr>
      <w:r>
        <w:rPr>
          <w:bCs/>
          <w:b/>
        </w:rPr>
        <w:t xml:space="preserve">How long do I need to keep TFWP records?</w:t>
      </w:r>
      <w:r>
        <w:t xml:space="preserve"> </w:t>
      </w:r>
      <w:r>
        <w:t xml:space="preserve">Generally six years from the first day of employment under the LMIA — payroll, job duties, wages, and recruitment documentation.</w:t>
      </w:r>
    </w:p>
    <w:p>
      <w:pPr>
        <w:pStyle w:val="BodyText"/>
      </w:pPr>
      <w:r>
        <w:rPr>
          <w:bCs/>
          <w:b/>
        </w:rPr>
        <w:t xml:space="preserve">What triggers an ESDC compliance inspection?</w:t>
      </w:r>
      <w:r>
        <w:t xml:space="preserve"> </w:t>
      </w:r>
      <w:r>
        <w:t xml:space="preserve">Inspections can be random, tip-based, or triggered by inconsistencies in a new LMIA application, a worker complaint, or prior non-compliance findings.</w:t>
      </w:r>
    </w:p>
    <w:p>
      <w:pPr>
        <w:pStyle w:val="BodyText"/>
      </w:pPr>
      <w:r>
        <w:rPr>
          <w:bCs/>
          <w:b/>
        </w:rPr>
        <w:t xml:space="preserve">What happens if we’re found non-compliant?</w:t>
      </w:r>
      <w:r>
        <w:t xml:space="preserve"> </w:t>
      </w:r>
      <w:r>
        <w:t xml:space="preserve">Consequences range from a warning and monetary penalty to a program ban and public listing on ESDC’s non-compliant employer registry, affecting future LMIA-based hiring.</w:t>
      </w:r>
    </w:p>
    <w:bookmarkEnd w:id="185"/>
    <w:bookmarkStart w:id="186" w:name="cta-block-8"/>
    <w:p>
      <w:pPr>
        <w:pStyle w:val="Heading3"/>
      </w:pPr>
      <w:r>
        <w:t xml:space="preserve">CTA block</w:t>
      </w:r>
    </w:p>
    <w:p>
      <w:pPr>
        <w:pStyle w:val="FirstParagraph"/>
      </w:pPr>
      <w:r>
        <w:t xml:space="preserve">Get an audit-readiness review before ESDC asks for one.</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186"/>
    <w:bookmarkEnd w:id="187"/>
    <w:bookmarkEnd w:id="188"/>
    <w:bookmarkStart w:id="189" w:name="page-for-employers"/>
    <w:p>
      <w:pPr>
        <w:pStyle w:val="Heading1"/>
      </w:pPr>
      <w:r>
        <w:t xml:space="preserve">PAGE: /for-employers</w:t>
      </w:r>
    </w:p>
    <w:bookmarkEnd w:id="189"/>
    <w:bookmarkStart w:id="202" w:name="menu-location-employers-recruitment-hgt"/>
    <w:p>
      <w:pPr>
        <w:pStyle w:val="Heading1"/>
      </w:pPr>
      <w:r>
        <w:t xml:space="preserve">Menu location: Employers → Recruitment (HGT)</w:t>
      </w:r>
    </w:p>
    <w:p>
      <w:r>
        <w:pict>
          <v:rect style="width:0;height:1.5pt" o:hralign="center" o:hrstd="t" o:hr="t"/>
        </w:pict>
      </w:r>
    </w:p>
    <w:bookmarkStart w:id="191" w:name="meta-tags-10"/>
    <w:p>
      <w:pPr>
        <w:pStyle w:val="Heading2"/>
      </w:pPr>
      <w:r>
        <w:t xml:space="preserve">META TAGS</w:t>
      </w:r>
    </w:p>
    <w:p>
      <w:pPr>
        <w:pStyle w:val="SourceCode"/>
      </w:pPr>
      <w:r>
        <w:rPr>
          <w:rStyle w:val="VerbatimChar"/>
        </w:rPr>
        <w:t xml:space="preserve">title: Foreign Worker Recruitment Agency Brampton | HGT Division | CMG</w:t>
      </w:r>
      <w:r>
        <w:br/>
      </w:r>
      <w:r>
        <w:rPr>
          <w:rStyle w:val="VerbatimChar"/>
        </w:rPr>
        <w:t xml:space="preserve">meta-description: Licensed recruitment agency in Brampton sourcing skilled foreign workers for Canadian employers. Domestic &amp; international recruitment, LMIA-ready candidates, multi-province authority.</w:t>
      </w:r>
      <w:r>
        <w:br/>
      </w:r>
      <w:r>
        <w:rPr>
          <w:rStyle w:val="VerbatimChar"/>
        </w:rPr>
        <w:t xml:space="preserve">canonical: https://commonwealthmigration.ca/for-employers</w:t>
      </w:r>
      <w:r>
        <w:br/>
      </w:r>
      <w:r>
        <w:rPr>
          <w:rStyle w:val="VerbatimChar"/>
        </w:rPr>
        <w:t xml:space="preserve">meta-keywords: foreign worker recruitment agency Brampton, licensed recruiter Ontario, international recruitment Canada, HGT recruitment GTA, skilled worker sourcing Ontario</w:t>
      </w:r>
      <w:r>
        <w:br/>
      </w:r>
      <w:r>
        <w:rPr>
          <w:rStyle w:val="VerbatimChar"/>
        </w:rPr>
        <w:t xml:space="preserve">meta-og:title: Foreign Worker Recruitment Agency Brampton | HGT Division</w:t>
      </w:r>
      <w:r>
        <w:br/>
      </w:r>
      <w:r>
        <w:rPr>
          <w:rStyle w:val="VerbatimChar"/>
        </w:rPr>
        <w:t xml:space="preserve">meta-og:description: Licensed recruitment agency sourcing skilled foreign workers for Canadian employers, with multi-province recruitment authority — based in Brampton.</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https://commonwealthmigration.ca/for-employers</w:t>
      </w:r>
      <w:r>
        <w:br/>
      </w:r>
      <w:r>
        <w:rPr>
          <w:rStyle w:val="VerbatimChar"/>
        </w:rPr>
        <w:t xml:space="preserve">meta-theme-color: #C8102E</w:t>
      </w:r>
    </w:p>
    <w:bookmarkStart w:id="190" w:name="json-ld-9"/>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"What's the difference between your recruitment services and an LMIA application?"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"Recruitment is the sourcing and screening step — finding and vetting candidates domestically or internationally for a role. The LMIA is the separate regulatory application that authorizes hiring a foreign worker once a genuine labour shortage is demonstrated. We handle both, but they're distinct services that can also be engaged separately."</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"Which provinces can your recruitment division place candidates in?"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"Our recruitment authority spans multiple provinces, including Ontario, and we hold employer-side provincial nominee representation in programs such as OINP, Saskatchewan's SINP, and the Atlantic Immigration Program, alongside LMIA-based recruitment nationally."</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 you recruit candidates who are already in Canada, or only from overseas?"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"Both. We source candidates already in Canada on valid work or study permits looking for employer-specific opportunities, as well as candidates overseas who require a new work permit tied to the role."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90"/>
    <w:bookmarkEnd w:id="191"/>
    <w:bookmarkStart w:id="201" w:name="page-content-10"/>
    <w:p>
      <w:pPr>
        <w:pStyle w:val="Heading2"/>
      </w:pPr>
      <w:r>
        <w:t xml:space="preserve">PAGE CONTENT</w:t>
      </w:r>
    </w:p>
    <w:bookmarkStart w:id="192" w:name="h1-10"/>
    <w:p>
      <w:pPr>
        <w:pStyle w:val="Heading3"/>
      </w:pPr>
      <w:r>
        <w:t xml:space="preserve">H1</w:t>
      </w:r>
    </w:p>
    <w:p>
      <w:pPr>
        <w:pStyle w:val="FirstParagraph"/>
      </w:pPr>
      <w:r>
        <w:t xml:space="preserve">Licensed Foreign Worker Recruitment Agency in Brampton — Domestic &amp; International Sourcing</w:t>
      </w:r>
    </w:p>
    <w:bookmarkEnd w:id="192"/>
    <w:bookmarkStart w:id="193" w:name="Xec2d0e3caf65db7fc58e2eaeb75c576d6c1abd9"/>
    <w:p>
      <w:pPr>
        <w:pStyle w:val="Heading3"/>
      </w:pPr>
      <w:r>
        <w:t xml:space="preserve">Intro (target:</w:t>
      </w:r>
      <w:r>
        <w:t xml:space="preserve"> </w:t>
      </w:r>
      <w:r>
        <w:t xml:space="preserve">“</w:t>
      </w:r>
      <w:r>
        <w:t xml:space="preserve">foreign worker recruitment agency Brampton</w:t>
      </w:r>
      <w:r>
        <w:t xml:space="preserve">”</w:t>
      </w:r>
      <w:r>
        <w:t xml:space="preserve">,</w:t>
      </w:r>
      <w:r>
        <w:t xml:space="preserve"> </w:t>
      </w:r>
      <w:r>
        <w:t xml:space="preserve">“</w:t>
      </w:r>
      <w:r>
        <w:t xml:space="preserve">international recruitment Canada</w:t>
      </w:r>
      <w:r>
        <w:t xml:space="preserve">”</w:t>
      </w:r>
      <w:r>
        <w:t xml:space="preserve">)</w:t>
      </w:r>
    </w:p>
    <w:p>
      <w:pPr>
        <w:pStyle w:val="FirstParagraph"/>
      </w:pPr>
      <w:r>
        <w:t xml:space="preserve">Finding the right candidate and getting the paperwork approved are two different problems, and most employers only get help with the second one. Our HGT recruitment division, operating out of Brampton, is a licensed recruitment agency with authority to recruit for Canadian employers both domestically and internationally — sourcing and screening candidates before a single immigration form is filed, so the LMIA and work permit process starts with a candidate who actually fits the role.</w:t>
      </w:r>
    </w:p>
    <w:bookmarkEnd w:id="193"/>
    <w:bookmarkStart w:id="194" w:name="h2-what-our-recruitment-division-does"/>
    <w:p>
      <w:pPr>
        <w:pStyle w:val="Heading3"/>
      </w:pPr>
      <w:r>
        <w:t xml:space="preserve">H2: What our recruitment division does</w:t>
      </w:r>
    </w:p>
    <w:p>
      <w:pPr>
        <w:numPr>
          <w:ilvl w:val="0"/>
          <w:numId w:val="1021"/>
        </w:numPr>
        <w:pStyle w:val="Compact"/>
      </w:pPr>
      <w:r>
        <w:rPr>
          <w:bCs/>
          <w:b/>
        </w:rPr>
        <w:t xml:space="preserve">International sourcing</w:t>
      </w:r>
      <w:r>
        <w:t xml:space="preserve"> </w:t>
      </w:r>
      <w:r>
        <w:t xml:space="preserve">— identifying and screening candidates abroad for roles employers can’t fill domestically, coordinated with the LMIA process where required.</w:t>
      </w:r>
    </w:p>
    <w:p>
      <w:pPr>
        <w:numPr>
          <w:ilvl w:val="0"/>
          <w:numId w:val="1021"/>
        </w:numPr>
        <w:pStyle w:val="Compact"/>
      </w:pPr>
      <w:r>
        <w:rPr>
          <w:bCs/>
          <w:b/>
        </w:rPr>
        <w:t xml:space="preserve">Domestic sourcing</w:t>
      </w:r>
      <w:r>
        <w:t xml:space="preserve"> </w:t>
      </w:r>
      <w:r>
        <w:t xml:space="preserve">— connecting employers with candidates already in Canada on valid work or study permits, including PGWP holders and open work permit holders looking for employer-specific opportunities.</w:t>
      </w:r>
    </w:p>
    <w:p>
      <w:pPr>
        <w:numPr>
          <w:ilvl w:val="0"/>
          <w:numId w:val="1021"/>
        </w:numPr>
        <w:pStyle w:val="Compact"/>
      </w:pPr>
      <w:r>
        <w:rPr>
          <w:bCs/>
          <w:b/>
        </w:rPr>
        <w:t xml:space="preserve">Employer-side provincial nominee representation</w:t>
      </w:r>
      <w:r>
        <w:t xml:space="preserve"> </w:t>
      </w:r>
      <w:r>
        <w:t xml:space="preserve">— supporting employers through OINP’s Employer Job Offer stream, Saskatchewan’s SINP, the Atlantic Immigration Program (AIP), and Rural Community Immigration Class (RCIP) employer designations.</w:t>
      </w:r>
    </w:p>
    <w:p>
      <w:pPr>
        <w:numPr>
          <w:ilvl w:val="0"/>
          <w:numId w:val="1021"/>
        </w:numPr>
        <w:pStyle w:val="Compact"/>
      </w:pPr>
      <w:r>
        <w:rPr>
          <w:bCs/>
          <w:b/>
        </w:rPr>
        <w:t xml:space="preserve">End-to-end coordination</w:t>
      </w:r>
      <w:r>
        <w:t xml:space="preserve"> </w:t>
      </w:r>
      <w:r>
        <w:t xml:space="preserve">— recruitment, LMIA filing, and work permit application handled as one continuous file rather than separate vendors.</w:t>
      </w:r>
    </w:p>
    <w:bookmarkEnd w:id="194"/>
    <w:bookmarkStart w:id="195" w:name="X12d0994449fc9ed72eea9d4724dd342d6d91215"/>
    <w:p>
      <w:pPr>
        <w:pStyle w:val="Heading3"/>
      </w:pPr>
      <w:r>
        <w:t xml:space="preserve">H2: Why employers separate recruitment from paperwork — and why we don’t</w:t>
      </w:r>
    </w:p>
    <w:p>
      <w:pPr>
        <w:pStyle w:val="FirstParagraph"/>
      </w:pPr>
      <w:r>
        <w:t xml:space="preserve">A candidate who’s a poor fit but has a technically correct LMIA still costs the business in turnover, retraining and a second recruitment cycle. Because our recruitment and immigration teams work from the same file, the job description, wage, and duties used for recruitment match exactly what’s filed with ESDC — closing the</w:t>
      </w:r>
      <w:r>
        <w:t xml:space="preserve"> </w:t>
      </w:r>
      <w:r>
        <w:t xml:space="preserve">“</w:t>
      </w:r>
      <w:r>
        <w:t xml:space="preserve">job duty mismatch</w:t>
      </w:r>
      <w:r>
        <w:t xml:space="preserve">”</w:t>
      </w:r>
      <w:r>
        <w:t xml:space="preserve"> </w:t>
      </w:r>
      <w:r>
        <w:t xml:space="preserve">gap that causes many compliance issues down the line.</w:t>
      </w:r>
    </w:p>
    <w:bookmarkEnd w:id="195"/>
    <w:bookmarkStart w:id="196" w:name="h2-sectors-we-recruit-for-in-the-gta"/>
    <w:p>
      <w:pPr>
        <w:pStyle w:val="Heading3"/>
      </w:pPr>
      <w:r>
        <w:t xml:space="preserve">H2: Sectors we recruit for in the GTA</w:t>
      </w:r>
    </w:p>
    <w:p>
      <w:pPr>
        <w:pStyle w:val="FirstParagraph"/>
      </w:pPr>
      <w:r>
        <w:t xml:space="preserve">Warehousing and logistics, manufacturing, healthcare and personal support, skilled trades, and hospitality — the sectors with the highest concentration of LMIA-supported hiring in Peel Region and the wider GTA, where employers are competing for the same limited domestic labour pool.</w:t>
      </w:r>
    </w:p>
    <w:bookmarkEnd w:id="196"/>
    <w:bookmarkStart w:id="197" w:name="h2-our-recruitment-process"/>
    <w:p>
      <w:pPr>
        <w:pStyle w:val="Heading3"/>
      </w:pPr>
      <w:r>
        <w:t xml:space="preserve">H2: Our recruitment process</w:t>
      </w:r>
    </w:p>
    <w:p>
      <w:pPr>
        <w:numPr>
          <w:ilvl w:val="0"/>
          <w:numId w:val="1022"/>
        </w:numPr>
        <w:pStyle w:val="Compact"/>
      </w:pPr>
      <w:r>
        <w:rPr>
          <w:bCs/>
          <w:b/>
        </w:rPr>
        <w:t xml:space="preserve">Role and market scoping</w:t>
      </w:r>
      <w:r>
        <w:t xml:space="preserve"> </w:t>
      </w:r>
      <w:r>
        <w:t xml:space="preserve">— realistic assessment of domestic vs. international sourcing based on the occupation and region.</w:t>
      </w:r>
    </w:p>
    <w:p>
      <w:pPr>
        <w:numPr>
          <w:ilvl w:val="0"/>
          <w:numId w:val="1022"/>
        </w:numPr>
        <w:pStyle w:val="Compact"/>
      </w:pPr>
      <w:r>
        <w:rPr>
          <w:bCs/>
          <w:b/>
        </w:rPr>
        <w:t xml:space="preserve">Candidate sourcing and screening</w:t>
      </w:r>
      <w:r>
        <w:t xml:space="preserve"> </w:t>
      </w:r>
      <w:r>
        <w:t xml:space="preserve">— domestic and/or international pipeline built to the role’s actual requirements.</w:t>
      </w:r>
    </w:p>
    <w:p>
      <w:pPr>
        <w:numPr>
          <w:ilvl w:val="0"/>
          <w:numId w:val="1022"/>
        </w:numPr>
        <w:pStyle w:val="Compact"/>
      </w:pPr>
      <w:r>
        <w:rPr>
          <w:bCs/>
          <w:b/>
        </w:rPr>
        <w:t xml:space="preserve">LMIA and provincial nominee coordination</w:t>
      </w:r>
      <w:r>
        <w:t xml:space="preserve"> </w:t>
      </w:r>
      <w:r>
        <w:t xml:space="preserve">— recruitment record and job description aligned with the immigration filing.</w:t>
      </w:r>
    </w:p>
    <w:p>
      <w:pPr>
        <w:numPr>
          <w:ilvl w:val="0"/>
          <w:numId w:val="1022"/>
        </w:numPr>
        <w:pStyle w:val="Compact"/>
      </w:pPr>
      <w:r>
        <w:rPr>
          <w:bCs/>
          <w:b/>
        </w:rPr>
        <w:t xml:space="preserve">Work permit and onboarding support</w:t>
      </w:r>
      <w:r>
        <w:t xml:space="preserve"> </w:t>
      </w:r>
      <w:r>
        <w:t xml:space="preserve">— through to the candidate’s arrival and start date.</w:t>
      </w:r>
    </w:p>
    <w:bookmarkEnd w:id="197"/>
    <w:bookmarkStart w:id="198" w:name="h2-related-pathways-9"/>
    <w:p>
      <w:pPr>
        <w:pStyle w:val="Heading3"/>
      </w:pPr>
      <w:r>
        <w:t xml:space="preserve">H2: Related pathways</w:t>
      </w:r>
    </w:p>
    <w:p>
      <w:pPr>
        <w:pStyle w:val="FirstParagraph"/>
      </w:pPr>
      <w:r>
        <w:t xml:space="preserve">Need the regulatory side handled for a role you’ve already filled? See</w:t>
      </w:r>
      <w:r>
        <w:t xml:space="preserve"> </w:t>
      </w:r>
      <w:hyperlink r:id="rId89">
        <w:r>
          <w:rPr>
            <w:rStyle w:val="Hyperlink"/>
          </w:rPr>
          <w:t xml:space="preserve">LMIA (All Streams)</w:t>
        </w:r>
      </w:hyperlink>
      <w:r>
        <w:t xml:space="preserve">. Hiring specialized tech talent on a tight timeline? Review</w:t>
      </w:r>
      <w:r>
        <w:t xml:space="preserve"> </w:t>
      </w:r>
      <w:hyperlink r:id="rId149">
        <w:r>
          <w:rPr>
            <w:rStyle w:val="Hyperlink"/>
          </w:rPr>
          <w:t xml:space="preserve">Global Talent Stream</w:t>
        </w:r>
      </w:hyperlink>
      <w:r>
        <w:t xml:space="preserve">.</w:t>
      </w:r>
    </w:p>
    <w:bookmarkEnd w:id="198"/>
    <w:bookmarkStart w:id="199" w:name="faq-9"/>
    <w:p>
      <w:pPr>
        <w:pStyle w:val="Heading3"/>
      </w:pPr>
      <w:r>
        <w:t xml:space="preserve">FAQ</w:t>
      </w:r>
    </w:p>
    <w:p>
      <w:pPr>
        <w:pStyle w:val="FirstParagraph"/>
      </w:pPr>
      <w:r>
        <w:rPr>
          <w:bCs/>
          <w:b/>
        </w:rPr>
        <w:t xml:space="preserve">What’s the difference between recruitment and an LMIA application?</w:t>
      </w:r>
      <w:r>
        <w:t xml:space="preserve"> </w:t>
      </w:r>
      <w:r>
        <w:t xml:space="preserve">Recruitment is sourcing and screening candidates; the LMIA is the separate regulatory application authorizing the hire once a labour shortage is demonstrated. We offer both, and they can be engaged separately.</w:t>
      </w:r>
    </w:p>
    <w:p>
      <w:pPr>
        <w:pStyle w:val="BodyText"/>
      </w:pPr>
      <w:r>
        <w:rPr>
          <w:bCs/>
          <w:b/>
        </w:rPr>
        <w:t xml:space="preserve">Which provinces can you recruit for?</w:t>
      </w:r>
      <w:r>
        <w:t xml:space="preserve"> </w:t>
      </w:r>
      <w:r>
        <w:t xml:space="preserve">Our authority spans multiple provinces including Ontario, with employer-side provincial nominee representation in OINP, Saskatchewan’s SINP, and the Atlantic Immigration Program, alongside nationwide LMIA-based recruitment.</w:t>
      </w:r>
    </w:p>
    <w:p>
      <w:pPr>
        <w:pStyle w:val="BodyText"/>
      </w:pPr>
      <w:r>
        <w:rPr>
          <w:bCs/>
          <w:b/>
        </w:rPr>
        <w:t xml:space="preserve">Do you recruit candidates already in Canada, or only overseas?</w:t>
      </w:r>
      <w:r>
        <w:t xml:space="preserve"> </w:t>
      </w:r>
      <w:r>
        <w:t xml:space="preserve">Both — candidates on valid work or study permits in Canada, and candidates overseas who require a new work permit tied to the role.</w:t>
      </w:r>
    </w:p>
    <w:bookmarkEnd w:id="199"/>
    <w:bookmarkStart w:id="200" w:name="cta-block-9"/>
    <w:p>
      <w:pPr>
        <w:pStyle w:val="Heading3"/>
      </w:pPr>
      <w:r>
        <w:t xml:space="preserve">CTA block</w:t>
      </w:r>
    </w:p>
    <w:p>
      <w:pPr>
        <w:pStyle w:val="FirstParagraph"/>
      </w:pPr>
      <w:r>
        <w:t xml:space="preserve">Fill the role with the right candidate, filed the right way.</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200"/>
    <w:bookmarkEnd w:id="201"/>
    <w:bookmarkEnd w:id="202"/>
    <w:bookmarkStart w:id="203" w:name="page-about-us"/>
    <w:p>
      <w:pPr>
        <w:pStyle w:val="Heading1"/>
      </w:pPr>
      <w:r>
        <w:t xml:space="preserve">PAGE: /about-us</w:t>
      </w:r>
    </w:p>
    <w:bookmarkEnd w:id="203"/>
    <w:bookmarkStart w:id="217" w:name="menu-location-company-about-us"/>
    <w:p>
      <w:pPr>
        <w:pStyle w:val="Heading1"/>
      </w:pPr>
      <w:r>
        <w:t xml:space="preserve">Menu location: Company → About Us</w:t>
      </w:r>
    </w:p>
    <w:p>
      <w:r>
        <w:pict>
          <v:rect style="width:0;height:1.5pt" o:hralign="center" o:hrstd="t" o:hr="t"/>
        </w:pict>
      </w:r>
    </w:p>
    <w:bookmarkStart w:id="205" w:name="meta-tags-11"/>
    <w:p>
      <w:pPr>
        <w:pStyle w:val="Heading2"/>
      </w:pPr>
      <w:r>
        <w:t xml:space="preserve">META TAGS</w:t>
      </w:r>
    </w:p>
    <w:p>
      <w:pPr>
        <w:pStyle w:val="SourceCode"/>
      </w:pPr>
      <w:r>
        <w:rPr>
          <w:rStyle w:val="VerbatimChar"/>
        </w:rPr>
        <w:t xml:space="preserve">title: About Commonwealth Migration Canada | Licensed RCIC Firm in Brampton</w:t>
      </w:r>
      <w:r>
        <w:br/>
      </w:r>
      <w:r>
        <w:rPr>
          <w:rStyle w:val="VerbatimChar"/>
        </w:rPr>
        <w:t xml:space="preserve">meta-description: Commonwealth Migration Canada is a CICC-regulated immigration consultancy based in Brampton, serving the GTA and clients across Canada. Licensed RCIC R705959.</w:t>
      </w:r>
      <w:r>
        <w:br/>
      </w:r>
      <w:r>
        <w:rPr>
          <w:rStyle w:val="VerbatimChar"/>
        </w:rPr>
        <w:t xml:space="preserve">canonical: https://commonwealthmigration.ca/about-us</w:t>
      </w:r>
      <w:r>
        <w:br/>
      </w:r>
      <w:r>
        <w:rPr>
          <w:rStyle w:val="VerbatimChar"/>
        </w:rPr>
        <w:t xml:space="preserve">meta-keywords: immigration consultancy Brampton, licensed RCIC firm Ontario, CICC regulated Brampton, Canadian immigration company GTA, about Commonwealth Migration</w:t>
      </w:r>
      <w:r>
        <w:br/>
      </w:r>
      <w:r>
        <w:rPr>
          <w:rStyle w:val="VerbatimChar"/>
        </w:rPr>
        <w:t xml:space="preserve">meta-og:title: About Commonwealth Migration Canada | Licensed RCIC Firm in Brampton</w:t>
      </w:r>
      <w:r>
        <w:br/>
      </w:r>
      <w:r>
        <w:rPr>
          <w:rStyle w:val="VerbatimChar"/>
        </w:rPr>
        <w:t xml:space="preserve">meta-og:description: A CICC-regulated immigration consultancy based in Brampton, serving Peel Region, the GTA, and clients across Canada.</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https://commonwealthmigration.ca/about-us</w:t>
      </w:r>
      <w:r>
        <w:br/>
      </w:r>
      <w:r>
        <w:rPr>
          <w:rStyle w:val="VerbatimChar"/>
        </w:rPr>
        <w:t xml:space="preserve">meta-theme-color: #C8102E</w:t>
      </w:r>
    </w:p>
    <w:bookmarkStart w:id="204" w:name="Xa01dd10514f2d7e7f0e275b1c54ab7a1ba275b3"/>
    <w:p>
      <w:pPr>
        <w:pStyle w:val="Heading3"/>
      </w:pPr>
      <w:r>
        <w:t xml:space="preserve">JSON-LD (AboutPage + LocalBusiness reference)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"AboutPage"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"ProfessionalService"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"Commonwealth Migration Canada"</w:t>
      </w:r>
      <w:r>
        <w:rPr>
          <w:rStyle w:val="FunctionTok"/>
        </w:rPr>
        <w:t xml:space="preserve">,</w:t>
      </w:r>
      <w:r>
        <w:br/>
      </w:r>
      <w:r>
        <w:rPr>
          <w:rStyle w:val="NormalTok"/>
        </w:rPr>
        <w:t xml:space="preserve">    </w:t>
      </w:r>
      <w:r>
        <w:rPr>
          <w:rStyle w:val="DataTypeTok"/>
        </w:rPr>
        <w:t xml:space="preserve">"alternateName"</w:t>
      </w:r>
      <w:r>
        <w:rPr>
          <w:rStyle w:val="FunctionTok"/>
        </w:rPr>
        <w:t xml:space="preserve">:</w:t>
      </w:r>
      <w:r>
        <w:rPr>
          <w:rStyle w:val="NormalTok"/>
        </w:rPr>
        <w:t xml:space="preserve"> </w:t>
      </w:r>
      <w:r>
        <w:rPr>
          <w:rStyle w:val="StringTok"/>
        </w:rPr>
        <w:t xml:space="preserve">"CMG"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"CICC-regulated immigration consultancy based in Brampton, Ontario, serving the Greater Toronto Area and clients across Canada."</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"streetAddress"</w:t>
      </w:r>
      <w:r>
        <w:rPr>
          <w:rStyle w:val="FunctionTok"/>
        </w:rPr>
        <w:t xml:space="preserve">:</w:t>
      </w:r>
      <w:r>
        <w:rPr>
          <w:rStyle w:val="NormalTok"/>
        </w:rPr>
        <w:t xml:space="preserve"> </w:t>
      </w:r>
      <w:r>
        <w:rPr>
          <w:rStyle w:val="StringTok"/>
        </w:rPr>
        <w:t xml:space="preserve">"83 Kennedy Rd S, Unit 16"</w:t>
      </w:r>
      <w:r>
        <w:rPr>
          <w:rStyle w:val="FunctionTok"/>
        </w:rPr>
        <w:t xml:space="preserve">,</w:t>
      </w:r>
      <w:r>
        <w:br/>
      </w:r>
      <w:r>
        <w:rPr>
          <w:rStyle w:val="NormalTok"/>
        </w:rPr>
        <w:t xml:space="preserve">      </w:t>
      </w:r>
      <w:r>
        <w:rPr>
          <w:rStyle w:val="DataTypeTok"/>
        </w:rPr>
        <w:t xml:space="preserve">"addressLocality"</w:t>
      </w:r>
      <w:r>
        <w:rPr>
          <w:rStyle w:val="FunctionTok"/>
        </w:rPr>
        <w:t xml:space="preserve">:</w:t>
      </w:r>
      <w:r>
        <w:rPr>
          <w:rStyle w:val="NormalTok"/>
        </w:rPr>
        <w:t xml:space="preserve"> </w:t>
      </w:r>
      <w:r>
        <w:rPr>
          <w:rStyle w:val="StringTok"/>
        </w:rPr>
        <w:t xml:space="preserve">"Brampton"</w:t>
      </w:r>
      <w:r>
        <w:rPr>
          <w:rStyle w:val="FunctionTok"/>
        </w:rPr>
        <w:t xml:space="preserve">,</w:t>
      </w:r>
      <w:r>
        <w:br/>
      </w:r>
      <w:r>
        <w:rPr>
          <w:rStyle w:val="NormalTok"/>
        </w:rPr>
        <w:t xml:space="preserve">      </w:t>
      </w:r>
      <w:r>
        <w:rPr>
          <w:rStyle w:val="DataTypeTok"/>
        </w:rPr>
        <w:t xml:space="preserve">"addressRegion"</w:t>
      </w:r>
      <w:r>
        <w:rPr>
          <w:rStyle w:val="FunctionTok"/>
        </w:rPr>
        <w:t xml:space="preserve">:</w:t>
      </w:r>
      <w:r>
        <w:rPr>
          <w:rStyle w:val="NormalTok"/>
        </w:rPr>
        <w:t xml:space="preserve"> </w:t>
      </w:r>
      <w:r>
        <w:rPr>
          <w:rStyle w:val="StringTok"/>
        </w:rPr>
        <w:t xml:space="preserve">"ON"</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"L6W 3P3"</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"CA"</w:t>
      </w:r>
      <w:r>
        <w:br/>
      </w:r>
      <w:r>
        <w:rPr>
          <w:rStyle w:val="NormalTok"/>
        </w:rPr>
        <w:t xml:space="preserve">    </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OtherTok"/>
        </w:rPr>
        <w:t xml:space="preserve">[</w:t>
      </w:r>
      <w:r>
        <w:rPr>
          <w:rStyle w:val="StringTok"/>
        </w:rPr>
        <w:t xml:space="preserve">"Brampton"</w:t>
      </w:r>
      <w:r>
        <w:rPr>
          <w:rStyle w:val="OtherTok"/>
        </w:rPr>
        <w:t xml:space="preserve">,</w:t>
      </w:r>
      <w:r>
        <w:rPr>
          <w:rStyle w:val="NormalTok"/>
        </w:rPr>
        <w:t xml:space="preserve"> </w:t>
      </w:r>
      <w:r>
        <w:rPr>
          <w:rStyle w:val="StringTok"/>
        </w:rPr>
        <w:t xml:space="preserve">"Mississauga"</w:t>
      </w:r>
      <w:r>
        <w:rPr>
          <w:rStyle w:val="OtherTok"/>
        </w:rPr>
        <w:t xml:space="preserve">,</w:t>
      </w:r>
      <w:r>
        <w:rPr>
          <w:rStyle w:val="NormalTok"/>
        </w:rPr>
        <w:t xml:space="preserve"> </w:t>
      </w:r>
      <w:r>
        <w:rPr>
          <w:rStyle w:val="StringTok"/>
        </w:rPr>
        <w:t xml:space="preserve">"Toronto"</w:t>
      </w:r>
      <w:r>
        <w:rPr>
          <w:rStyle w:val="OtherTok"/>
        </w:rPr>
        <w:t xml:space="preserve">,</w:t>
      </w:r>
      <w:r>
        <w:rPr>
          <w:rStyle w:val="NormalTok"/>
        </w:rPr>
        <w:t xml:space="preserve"> </w:t>
      </w:r>
      <w:r>
        <w:rPr>
          <w:rStyle w:val="StringTok"/>
        </w:rPr>
        <w:t xml:space="preserve">"Peel Region"</w:t>
      </w:r>
      <w:r>
        <w:rPr>
          <w:rStyle w:val="OtherTok"/>
        </w:rPr>
        <w:t xml:space="preserve">,</w:t>
      </w:r>
      <w:r>
        <w:rPr>
          <w:rStyle w:val="NormalTok"/>
        </w:rPr>
        <w:t xml:space="preserve"> </w:t>
      </w:r>
      <w:r>
        <w:rPr>
          <w:rStyle w:val="StringTok"/>
        </w:rPr>
        <w:t xml:space="preserve">"Greater Toronto Area"</w:t>
      </w:r>
      <w:r>
        <w:rPr>
          <w:rStyle w:val="OtherTok"/>
        </w:rPr>
        <w:t xml:space="preserve">,</w:t>
      </w:r>
      <w:r>
        <w:rPr>
          <w:rStyle w:val="NormalTok"/>
        </w:rPr>
        <w:t xml:space="preserve"> </w:t>
      </w:r>
      <w:r>
        <w:rPr>
          <w:rStyle w:val="StringTok"/>
        </w:rPr>
        <w:t xml:space="preserve">"Ontario"</w:t>
      </w:r>
      <w:r>
        <w:rPr>
          <w:rStyle w:val="OtherTok"/>
        </w:rPr>
        <w:t xml:space="preserve">,</w:t>
      </w:r>
      <w:r>
        <w:rPr>
          <w:rStyle w:val="NormalTok"/>
        </w:rPr>
        <w:t xml:space="preserve"> </w:t>
      </w:r>
      <w:r>
        <w:rPr>
          <w:rStyle w:val="StringTok"/>
        </w:rPr>
        <w:t xml:space="preserve">"Canada"</w:t>
      </w:r>
      <w:r>
        <w:rPr>
          <w:rStyle w:val="OtherTok"/>
        </w:rPr>
        <w:t xml:space="preserve">]</w:t>
      </w:r>
      <w:r>
        <w:rPr>
          <w:rStyle w:val="FunctionTok"/>
        </w:rPr>
        <w:t xml:space="preserve">,</w:t>
      </w:r>
      <w:r>
        <w:br/>
      </w:r>
      <w:r>
        <w:rPr>
          <w:rStyle w:val="NormalTok"/>
        </w:rPr>
        <w:t xml:space="preserve">    </w:t>
      </w:r>
      <w:r>
        <w:rPr>
          <w:rStyle w:val="DataTypeTok"/>
        </w:rPr>
        <w:t xml:space="preserve">"knowsLanguage"</w:t>
      </w:r>
      <w:r>
        <w:rPr>
          <w:rStyle w:val="FunctionTok"/>
        </w:rPr>
        <w:t xml:space="preserve">:</w:t>
      </w:r>
      <w:r>
        <w:rPr>
          <w:rStyle w:val="NormalTok"/>
        </w:rPr>
        <w:t xml:space="preserve"> </w:t>
      </w:r>
      <w:r>
        <w:rPr>
          <w:rStyle w:val="OtherTok"/>
        </w:rPr>
        <w:t xml:space="preserve">[</w:t>
      </w:r>
      <w:r>
        <w:rPr>
          <w:rStyle w:val="StringTok"/>
        </w:rPr>
        <w:t xml:space="preserve">"English"</w:t>
      </w:r>
      <w:r>
        <w:rPr>
          <w:rStyle w:val="OtherTok"/>
        </w:rPr>
        <w:t xml:space="preserve">,</w:t>
      </w:r>
      <w:r>
        <w:rPr>
          <w:rStyle w:val="NormalTok"/>
        </w:rPr>
        <w:t xml:space="preserve"> </w:t>
      </w:r>
      <w:r>
        <w:rPr>
          <w:rStyle w:val="StringTok"/>
        </w:rPr>
        <w:t xml:space="preserve">"Punjabi"</w:t>
      </w:r>
      <w:r>
        <w:rPr>
          <w:rStyle w:val="OtherTok"/>
        </w:rPr>
        <w:t xml:space="preserve">,</w:t>
      </w:r>
      <w:r>
        <w:rPr>
          <w:rStyle w:val="NormalTok"/>
        </w:rPr>
        <w:t xml:space="preserve"> </w:t>
      </w:r>
      <w:r>
        <w:rPr>
          <w:rStyle w:val="StringTok"/>
        </w:rPr>
        <w:t xml:space="preserve">"Hindi"</w:t>
      </w:r>
      <w:r>
        <w:rPr>
          <w:rStyle w:val="OtherTok"/>
        </w:rPr>
        <w:t xml:space="preserve">,</w:t>
      </w:r>
      <w:r>
        <w:rPr>
          <w:rStyle w:val="NormalTok"/>
        </w:rPr>
        <w:t xml:space="preserve"> </w:t>
      </w:r>
      <w:r>
        <w:rPr>
          <w:rStyle w:val="StringTok"/>
        </w:rPr>
        <w:t xml:space="preserve">"Urdu"</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04"/>
    <w:bookmarkEnd w:id="205"/>
    <w:bookmarkStart w:id="216" w:name="page-content-11"/>
    <w:p>
      <w:pPr>
        <w:pStyle w:val="Heading2"/>
      </w:pPr>
      <w:r>
        <w:t xml:space="preserve">PAGE CONTENT</w:t>
      </w:r>
    </w:p>
    <w:bookmarkStart w:id="206" w:name="h1-11"/>
    <w:p>
      <w:pPr>
        <w:pStyle w:val="Heading3"/>
      </w:pPr>
      <w:r>
        <w:t xml:space="preserve">H1</w:t>
      </w:r>
    </w:p>
    <w:p>
      <w:pPr>
        <w:pStyle w:val="FirstParagraph"/>
      </w:pPr>
      <w:r>
        <w:t xml:space="preserve">About Commonwealth Migration Canada — A Licensed RCIC Firm Based in Brampton</w:t>
      </w:r>
    </w:p>
    <w:bookmarkEnd w:id="206"/>
    <w:bookmarkStart w:id="207" w:name="X25bfa15ac4b78e552a21140b8600b8d66f85ccc"/>
    <w:p>
      <w:pPr>
        <w:pStyle w:val="Heading3"/>
      </w:pPr>
      <w:r>
        <w:t xml:space="preserve">Intro (target:</w:t>
      </w:r>
      <w:r>
        <w:t xml:space="preserve"> </w:t>
      </w:r>
      <w:r>
        <w:t xml:space="preserve">“</w:t>
      </w:r>
      <w:r>
        <w:t xml:space="preserve">immigration consultancy Brampton</w:t>
      </w:r>
      <w:r>
        <w:t xml:space="preserve">”</w:t>
      </w:r>
      <w:r>
        <w:t xml:space="preserve">,</w:t>
      </w:r>
      <w:r>
        <w:t xml:space="preserve"> </w:t>
      </w:r>
      <w:r>
        <w:t xml:space="preserve">“</w:t>
      </w:r>
      <w:r>
        <w:t xml:space="preserve">licensed RCIC firm Ontario</w:t>
      </w:r>
      <w:r>
        <w:t xml:space="preserve">”</w:t>
      </w:r>
      <w:r>
        <w:t xml:space="preserve">)</w:t>
      </w:r>
    </w:p>
    <w:p>
      <w:pPr>
        <w:pStyle w:val="FirstParagraph"/>
      </w:pPr>
      <w:r>
        <w:t xml:space="preserve">Commonwealth Migration Canada is a CICC-regulated immigration consultancy operating from 83 Kennedy Rd S in Brampton, Ontario. We work with individuals, families and employers across Peel Region, the Greater Toronto Area and Canada as a whole — on Express Entry, every active provincial nomination stream, work and study permits, family sponsorship, refusals, and employer-side LMIA and recruitment services. Every file is reviewed and signed off by a Regulated Canadian Immigration Consultant licensed with the College of Immigration and Citizenship Consultants (CICC), license number R705959.</w:t>
      </w:r>
    </w:p>
    <w:bookmarkEnd w:id="207"/>
    <w:bookmarkStart w:id="208" w:name="h2-why-were-based-in-brampton"/>
    <w:p>
      <w:pPr>
        <w:pStyle w:val="Heading3"/>
      </w:pPr>
      <w:r>
        <w:t xml:space="preserve">H2: Why we’re based in Brampton</w:t>
      </w:r>
    </w:p>
    <w:p>
      <w:pPr>
        <w:pStyle w:val="FirstParagraph"/>
      </w:pPr>
      <w:r>
        <w:t xml:space="preserve">Peel Region has one of the largest and most diverse immigrant communities in Canada, with deep South Asian, Caribbean and African diaspora populations navigating everything from Express Entry to spousal sponsorship to employer-sponsored work permits. Being physically based in Brampton — not a satellite office of a Toronto or overseas firm — means our team understands the specific mix of federal programs, Ontario’s OINP streams, and the local labour market that shapes most of the files we handle.</w:t>
      </w:r>
    </w:p>
    <w:bookmarkEnd w:id="208"/>
    <w:bookmarkStart w:id="209" w:name="h2-what-cicc-regulation-means-for-you"/>
    <w:p>
      <w:pPr>
        <w:pStyle w:val="Heading3"/>
      </w:pPr>
      <w:r>
        <w:t xml:space="preserve">H2: What CICC regulation means for you</w:t>
      </w:r>
    </w:p>
    <w:p>
      <w:pPr>
        <w:pStyle w:val="FirstParagraph"/>
      </w:pPr>
      <w:r>
        <w:t xml:space="preserve">Only Regulated Canadian Immigration Consultants, lawyers, and Quebec notaries are legally authorized to represent clients before IRCC for a fee. Working with an unregulated</w:t>
      </w:r>
      <w:r>
        <w:t xml:space="preserve"> </w:t>
      </w:r>
      <w:r>
        <w:t xml:space="preserve">“</w:t>
      </w:r>
      <w:r>
        <w:t xml:space="preserve">consultant</w:t>
      </w:r>
      <w:r>
        <w:t xml:space="preserve">”</w:t>
      </w:r>
      <w:r>
        <w:t xml:space="preserve"> </w:t>
      </w:r>
      <w:r>
        <w:t xml:space="preserve">or agent carries real risk — from bad advice to outright fraud, with no regulatory body to hold them accountable. Our license (R705959) is publicly verifiable on the CICC’s registry, and every consultation, application, and piece of advice is delivered under that regulatory accountability.</w:t>
      </w:r>
    </w:p>
    <w:bookmarkEnd w:id="209"/>
    <w:bookmarkStart w:id="210" w:name="Xde7f92b58ec02a2cddf6d58ecc77e1017ebaa55"/>
    <w:p>
      <w:pPr>
        <w:pStyle w:val="Heading3"/>
      </w:pPr>
      <w:r>
        <w:t xml:space="preserve">H2: How we work across Canada, not just Brampton</w:t>
      </w:r>
    </w:p>
    <w:p>
      <w:pPr>
        <w:pStyle w:val="FirstParagraph"/>
      </w:pPr>
      <w:r>
        <w:t xml:space="preserve">While our office anchors us in Brampton and the GTA, our licensed team files Express Entry, provincial nominee, work permit, study permit, sponsorship and refusal applications for clients anywhere in Canada or applying from overseas. Consultations are available in person at our Brampton office or virtually — the same licensed review applies either way.</w:t>
      </w:r>
    </w:p>
    <w:bookmarkEnd w:id="210"/>
    <w:bookmarkStart w:id="211" w:name="h2-our-specialization-areas"/>
    <w:p>
      <w:pPr>
        <w:pStyle w:val="Heading3"/>
      </w:pPr>
      <w:r>
        <w:t xml:space="preserve">H2: Our specialization areas</w:t>
      </w:r>
    </w:p>
    <w:p>
      <w:pPr>
        <w:numPr>
          <w:ilvl w:val="0"/>
          <w:numId w:val="1023"/>
        </w:numPr>
        <w:pStyle w:val="Compact"/>
      </w:pPr>
      <w:r>
        <w:t xml:space="preserve">Express Entry and CRS strategy</w:t>
      </w:r>
    </w:p>
    <w:p>
      <w:pPr>
        <w:numPr>
          <w:ilvl w:val="0"/>
          <w:numId w:val="1023"/>
        </w:numPr>
        <w:pStyle w:val="Compact"/>
      </w:pPr>
      <w:r>
        <w:t xml:space="preserve">Provincial Nominee Programs, with a primary focus on Ontario’s OINP</w:t>
      </w:r>
    </w:p>
    <w:p>
      <w:pPr>
        <w:numPr>
          <w:ilvl w:val="0"/>
          <w:numId w:val="1023"/>
        </w:numPr>
        <w:pStyle w:val="Compact"/>
      </w:pPr>
      <w:r>
        <w:t xml:space="preserve">Work permits, including LMIA-supported and open categories</w:t>
      </w:r>
    </w:p>
    <w:p>
      <w:pPr>
        <w:numPr>
          <w:ilvl w:val="0"/>
          <w:numId w:val="1023"/>
        </w:numPr>
        <w:pStyle w:val="Compact"/>
      </w:pPr>
      <w:r>
        <w:t xml:space="preserve">Study permits and PGWP planning</w:t>
      </w:r>
    </w:p>
    <w:p>
      <w:pPr>
        <w:numPr>
          <w:ilvl w:val="0"/>
          <w:numId w:val="1023"/>
        </w:numPr>
        <w:pStyle w:val="Compact"/>
      </w:pPr>
      <w:r>
        <w:t xml:space="preserve">Family sponsorship — spousal, PGP, and dependent children</w:t>
      </w:r>
    </w:p>
    <w:p>
      <w:pPr>
        <w:numPr>
          <w:ilvl w:val="0"/>
          <w:numId w:val="1023"/>
        </w:numPr>
        <w:pStyle w:val="Compact"/>
      </w:pPr>
      <w:r>
        <w:t xml:space="preserve">Refusals, procedural fairness responses, and appeals</w:t>
      </w:r>
    </w:p>
    <w:p>
      <w:pPr>
        <w:numPr>
          <w:ilvl w:val="0"/>
          <w:numId w:val="1023"/>
        </w:numPr>
        <w:pStyle w:val="Compact"/>
      </w:pPr>
      <w:r>
        <w:t xml:space="preserve">Employer services — LMIA (all streams), Global Talent Stream, compliance, and recruitment</w:t>
      </w:r>
    </w:p>
    <w:bookmarkEnd w:id="211"/>
    <w:bookmarkStart w:id="213" w:name="h2-related-pages"/>
    <w:p>
      <w:pPr>
        <w:pStyle w:val="Heading3"/>
      </w:pPr>
      <w:r>
        <w:t xml:space="preserve">H2: Related pages</w:t>
      </w:r>
    </w:p>
    <w:p>
      <w:pPr>
        <w:pStyle w:val="FirstParagraph"/>
      </w:pPr>
      <w:r>
        <w:t xml:space="preserve">Meet the consultant behind your file on our</w:t>
      </w:r>
      <w:r>
        <w:t xml:space="preserve"> </w:t>
      </w:r>
      <w:hyperlink r:id="rId34">
        <w:r>
          <w:rPr>
            <w:rStyle w:val="Hyperlink"/>
          </w:rPr>
          <w:t xml:space="preserve">Team</w:t>
        </w:r>
      </w:hyperlink>
      <w:r>
        <w:t xml:space="preserve"> </w:t>
      </w:r>
      <w:r>
        <w:t xml:space="preserve">page, see</w:t>
      </w:r>
      <w:r>
        <w:t xml:space="preserve"> </w:t>
      </w:r>
      <w:hyperlink r:id="rId212">
        <w:r>
          <w:rPr>
            <w:rStyle w:val="Hyperlink"/>
          </w:rPr>
          <w:t xml:space="preserve">How It Works</w:t>
        </w:r>
      </w:hyperlink>
      <w:r>
        <w:t xml:space="preserve"> </w:t>
      </w:r>
      <w:r>
        <w:t xml:space="preserve">for our step-by-step process, or find our</w:t>
      </w:r>
      <w:r>
        <w:t xml:space="preserve"> </w:t>
      </w:r>
      <w:hyperlink r:id="rId46">
        <w:r>
          <w:rPr>
            <w:rStyle w:val="Hyperlink"/>
          </w:rPr>
          <w:t xml:space="preserve">office and contact details</w:t>
        </w:r>
      </w:hyperlink>
      <w:r>
        <w:t xml:space="preserve">.</w:t>
      </w:r>
    </w:p>
    <w:bookmarkEnd w:id="213"/>
    <w:bookmarkStart w:id="214" w:name="faq-10"/>
    <w:p>
      <w:pPr>
        <w:pStyle w:val="Heading3"/>
      </w:pPr>
      <w:r>
        <w:t xml:space="preserve">FAQ</w:t>
      </w:r>
    </w:p>
    <w:p>
      <w:pPr>
        <w:pStyle w:val="FirstParagraph"/>
      </w:pPr>
      <w:r>
        <w:rPr>
          <w:bCs/>
          <w:b/>
        </w:rPr>
        <w:t xml:space="preserve">Is Commonwealth Migration Canada licensed?</w:t>
      </w:r>
      <w:r>
        <w:t xml:space="preserve"> </w:t>
      </w:r>
      <w:r>
        <w:t xml:space="preserve">Yes — we are regulated by the College of Immigration and Citizenship Consultants (CICC) under license number R705959, verifiable on the CICC’s public registry.</w:t>
      </w:r>
    </w:p>
    <w:p>
      <w:pPr>
        <w:pStyle w:val="BodyText"/>
      </w:pPr>
      <w:r>
        <w:rPr>
          <w:bCs/>
          <w:b/>
        </w:rPr>
        <w:t xml:space="preserve">Do I need to be based in Brampton or the GTA to work with you?</w:t>
      </w:r>
      <w:r>
        <w:t xml:space="preserve"> </w:t>
      </w:r>
      <w:r>
        <w:t xml:space="preserve">No — while our office is in Brampton, we file applications for clients across Canada and for applicants applying from overseas, with consultations available in person or virtually.</w:t>
      </w:r>
    </w:p>
    <w:p>
      <w:pPr>
        <w:pStyle w:val="BodyText"/>
      </w:pPr>
      <w:r>
        <w:rPr>
          <w:bCs/>
          <w:b/>
        </w:rPr>
        <w:t xml:space="preserve">What languages does your team work in?</w:t>
      </w:r>
      <w:r>
        <w:t xml:space="preserve"> </w:t>
      </w:r>
      <w:r>
        <w:t xml:space="preserve">Our team communicates with clients in English, Punjabi, Hindi and Urdu.</w:t>
      </w:r>
    </w:p>
    <w:bookmarkEnd w:id="214"/>
    <w:bookmarkStart w:id="215" w:name="cta-block-10"/>
    <w:p>
      <w:pPr>
        <w:pStyle w:val="Heading3"/>
      </w:pPr>
      <w:r>
        <w:t xml:space="preserve">CTA block</w:t>
      </w:r>
    </w:p>
    <w:p>
      <w:pPr>
        <w:pStyle w:val="FirstParagraph"/>
      </w:pPr>
      <w:r>
        <w:t xml:space="preserve">Work with a CICC-regulated team based where you live.</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215"/>
    <w:bookmarkEnd w:id="216"/>
    <w:bookmarkEnd w:id="217"/>
    <w:bookmarkStart w:id="218" w:name="page-team"/>
    <w:p>
      <w:pPr>
        <w:pStyle w:val="Heading1"/>
      </w:pPr>
      <w:r>
        <w:t xml:space="preserve">PAGE: /team</w:t>
      </w:r>
    </w:p>
    <w:bookmarkEnd w:id="218"/>
    <w:bookmarkStart w:id="230" w:name="menu-location-company-our-team"/>
    <w:p>
      <w:pPr>
        <w:pStyle w:val="Heading1"/>
      </w:pPr>
      <w:r>
        <w:t xml:space="preserve">Menu location: Company → Our Team</w:t>
      </w:r>
    </w:p>
    <w:p>
      <w:r>
        <w:pict>
          <v:rect style="width:0;height:1.5pt" o:hralign="center" o:hrstd="t" o:hr="t"/>
        </w:pict>
      </w:r>
    </w:p>
    <w:bookmarkStart w:id="220" w:name="meta-tags-12"/>
    <w:p>
      <w:pPr>
        <w:pStyle w:val="Heading2"/>
      </w:pPr>
      <w:r>
        <w:t xml:space="preserve">META TAGS</w:t>
      </w:r>
    </w:p>
    <w:p>
      <w:pPr>
        <w:pStyle w:val="SourceCode"/>
      </w:pPr>
      <w:r>
        <w:rPr>
          <w:rStyle w:val="VerbatimChar"/>
        </w:rPr>
        <w:t xml:space="preserve">title: Our Team | Licensed RCIC Consultants in Brampton | CMG</w:t>
      </w:r>
      <w:r>
        <w:br/>
      </w:r>
      <w:r>
        <w:rPr>
          <w:rStyle w:val="VerbatimChar"/>
        </w:rPr>
        <w:t xml:space="preserve">meta-description: Meet the licensed RCIC team at Commonwealth Migration Canada, based in Brampton. Sanjay Singh Kumar leads Express Entry, PNP, LMIA and refusal files for GTA clients.</w:t>
      </w:r>
      <w:r>
        <w:br/>
      </w:r>
      <w:r>
        <w:rPr>
          <w:rStyle w:val="VerbatimChar"/>
        </w:rPr>
        <w:t xml:space="preserve">canonical: https://commonwealthmigration.ca/team</w:t>
      </w:r>
      <w:r>
        <w:br/>
      </w:r>
      <w:r>
        <w:rPr>
          <w:rStyle w:val="VerbatimChar"/>
        </w:rPr>
        <w:t xml:space="preserve">meta-keywords: RCIC Brampton, immigration consultant team Ontario, Sanjay Singh Kumar RCIC, licensed immigration consultant GTA</w:t>
      </w:r>
      <w:r>
        <w:br/>
      </w:r>
      <w:r>
        <w:rPr>
          <w:rStyle w:val="VerbatimChar"/>
        </w:rPr>
        <w:t xml:space="preserve">meta-og:title: Our Team | Licensed RCIC Consultants in Brampton</w:t>
      </w:r>
      <w:r>
        <w:br/>
      </w:r>
      <w:r>
        <w:rPr>
          <w:rStyle w:val="VerbatimChar"/>
        </w:rPr>
        <w:t xml:space="preserve">meta-og:description: Meet the licensed RCIC team leading Express Entry, PNP, LMIA and refusal files for clients across Brampton, the GTA and Canada.</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https://commonwealthmigration.ca/team</w:t>
      </w:r>
      <w:r>
        <w:br/>
      </w:r>
      <w:r>
        <w:rPr>
          <w:rStyle w:val="VerbatimChar"/>
        </w:rPr>
        <w:t xml:space="preserve">meta-theme-color: #C8102E</w:t>
      </w:r>
    </w:p>
    <w:bookmarkStart w:id="219" w:name="json-ld-person"/>
    <w:p>
      <w:pPr>
        <w:pStyle w:val="Heading3"/>
      </w:pPr>
      <w:r>
        <w:t xml:space="preserve">JSON-LD (Person)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"Sanjay Singh Kumar"</w:t>
      </w:r>
      <w:r>
        <w:rPr>
          <w:rStyle w:val="FunctionTok"/>
        </w:rPr>
        <w:t xml:space="preserve">,</w:t>
      </w:r>
      <w:r>
        <w:br/>
      </w:r>
      <w:r>
        <w:rPr>
          <w:rStyle w:val="NormalTok"/>
        </w:rPr>
        <w:t xml:space="preserve">  </w:t>
      </w:r>
      <w:r>
        <w:rPr>
          <w:rStyle w:val="DataTypeTok"/>
        </w:rPr>
        <w:t xml:space="preserve">"jobTitle"</w:t>
      </w:r>
      <w:r>
        <w:rPr>
          <w:rStyle w:val="FunctionTok"/>
        </w:rPr>
        <w:t xml:space="preserve">:</w:t>
      </w:r>
      <w:r>
        <w:rPr>
          <w:rStyle w:val="NormalTok"/>
        </w:rPr>
        <w:t xml:space="preserve"> </w:t>
      </w:r>
      <w:r>
        <w:rPr>
          <w:rStyle w:val="StringTok"/>
        </w:rPr>
        <w:t xml:space="preserve">"Principal Consultant, Regulated Canadian Immigration Consultant (RCIC)"</w:t>
      </w:r>
      <w:r>
        <w:rPr>
          <w:rStyle w:val="FunctionTok"/>
        </w:rPr>
        <w:t xml:space="preserve">,</w:t>
      </w:r>
      <w:r>
        <w:br/>
      </w:r>
      <w:r>
        <w:rPr>
          <w:rStyle w:val="NormalTok"/>
        </w:rPr>
        <w:t xml:space="preserve">  </w:t>
      </w:r>
      <w:r>
        <w:rPr>
          <w:rStyle w:val="DataTypeTok"/>
        </w:rPr>
        <w:t xml:space="preserve">"worksFor"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"ProfessionalService"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"Commonwealth Migration Canada"</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"streetAddress"</w:t>
      </w:r>
      <w:r>
        <w:rPr>
          <w:rStyle w:val="FunctionTok"/>
        </w:rPr>
        <w:t xml:space="preserve">:</w:t>
      </w:r>
      <w:r>
        <w:rPr>
          <w:rStyle w:val="NormalTok"/>
        </w:rPr>
        <w:t xml:space="preserve"> </w:t>
      </w:r>
      <w:r>
        <w:rPr>
          <w:rStyle w:val="StringTok"/>
        </w:rPr>
        <w:t xml:space="preserve">"83 Kennedy Rd S, Unit 16"</w:t>
      </w:r>
      <w:r>
        <w:rPr>
          <w:rStyle w:val="FunctionTok"/>
        </w:rPr>
        <w:t xml:space="preserve">,</w:t>
      </w:r>
      <w:r>
        <w:br/>
      </w:r>
      <w:r>
        <w:rPr>
          <w:rStyle w:val="NormalTok"/>
        </w:rPr>
        <w:t xml:space="preserve">      </w:t>
      </w:r>
      <w:r>
        <w:rPr>
          <w:rStyle w:val="DataTypeTok"/>
        </w:rPr>
        <w:t xml:space="preserve">"addressLocality"</w:t>
      </w:r>
      <w:r>
        <w:rPr>
          <w:rStyle w:val="FunctionTok"/>
        </w:rPr>
        <w:t xml:space="preserve">:</w:t>
      </w:r>
      <w:r>
        <w:rPr>
          <w:rStyle w:val="NormalTok"/>
        </w:rPr>
        <w:t xml:space="preserve"> </w:t>
      </w:r>
      <w:r>
        <w:rPr>
          <w:rStyle w:val="StringTok"/>
        </w:rPr>
        <w:t xml:space="preserve">"Brampton"</w:t>
      </w:r>
      <w:r>
        <w:rPr>
          <w:rStyle w:val="FunctionTok"/>
        </w:rPr>
        <w:t xml:space="preserve">,</w:t>
      </w:r>
      <w:r>
        <w:br/>
      </w:r>
      <w:r>
        <w:rPr>
          <w:rStyle w:val="NormalTok"/>
        </w:rPr>
        <w:t xml:space="preserve">      </w:t>
      </w:r>
      <w:r>
        <w:rPr>
          <w:rStyle w:val="DataTypeTok"/>
        </w:rPr>
        <w:t xml:space="preserve">"addressRegion"</w:t>
      </w:r>
      <w:r>
        <w:rPr>
          <w:rStyle w:val="FunctionTok"/>
        </w:rPr>
        <w:t xml:space="preserve">:</w:t>
      </w:r>
      <w:r>
        <w:rPr>
          <w:rStyle w:val="NormalTok"/>
        </w:rPr>
        <w:t xml:space="preserve"> </w:t>
      </w:r>
      <w:r>
        <w:rPr>
          <w:rStyle w:val="StringTok"/>
        </w:rPr>
        <w:t xml:space="preserve">"ON"</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"L6W 3P3"</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"CA"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"knowsLanguage"</w:t>
      </w:r>
      <w:r>
        <w:rPr>
          <w:rStyle w:val="FunctionTok"/>
        </w:rPr>
        <w:t xml:space="preserve">:</w:t>
      </w:r>
      <w:r>
        <w:rPr>
          <w:rStyle w:val="NormalTok"/>
        </w:rPr>
        <w:t xml:space="preserve"> </w:t>
      </w:r>
      <w:r>
        <w:rPr>
          <w:rStyle w:val="OtherTok"/>
        </w:rPr>
        <w:t xml:space="preserve">[</w:t>
      </w:r>
      <w:r>
        <w:rPr>
          <w:rStyle w:val="StringTok"/>
        </w:rPr>
        <w:t xml:space="preserve">"English"</w:t>
      </w:r>
      <w:r>
        <w:rPr>
          <w:rStyle w:val="OtherTok"/>
        </w:rPr>
        <w:t xml:space="preserve">,</w:t>
      </w:r>
      <w:r>
        <w:rPr>
          <w:rStyle w:val="NormalTok"/>
        </w:rPr>
        <w:t xml:space="preserve"> </w:t>
      </w:r>
      <w:r>
        <w:rPr>
          <w:rStyle w:val="StringTok"/>
        </w:rPr>
        <w:t xml:space="preserve">"Punjabi"</w:t>
      </w:r>
      <w:r>
        <w:rPr>
          <w:rStyle w:val="OtherTok"/>
        </w:rPr>
        <w:t xml:space="preserve">,</w:t>
      </w:r>
      <w:r>
        <w:rPr>
          <w:rStyle w:val="NormalTok"/>
        </w:rPr>
        <w:t xml:space="preserve"> </w:t>
      </w:r>
      <w:r>
        <w:rPr>
          <w:rStyle w:val="StringTok"/>
        </w:rPr>
        <w:t xml:space="preserve">"Hindi"</w:t>
      </w:r>
      <w:r>
        <w:rPr>
          <w:rStyle w:val="OtherTok"/>
        </w:rPr>
        <w:t xml:space="preserve">,</w:t>
      </w:r>
      <w:r>
        <w:rPr>
          <w:rStyle w:val="NormalTok"/>
        </w:rPr>
        <w:t xml:space="preserve"> </w:t>
      </w:r>
      <w:r>
        <w:rPr>
          <w:rStyle w:val="StringTok"/>
        </w:rPr>
        <w:t xml:space="preserve">"Urdu"</w:t>
      </w:r>
      <w:r>
        <w:rPr>
          <w:rStyle w:val="OtherTok"/>
        </w:rPr>
        <w:t xml:space="preserve">]</w:t>
      </w:r>
      <w:r>
        <w:rPr>
          <w:rStyle w:val="FunctionTok"/>
        </w:rPr>
        <w:t xml:space="preserve">,</w:t>
      </w:r>
      <w:r>
        <w:br/>
      </w:r>
      <w:r>
        <w:rPr>
          <w:rStyle w:val="NormalTok"/>
        </w:rPr>
        <w:t xml:space="preserve">  </w:t>
      </w:r>
      <w:r>
        <w:rPr>
          <w:rStyle w:val="DataTypeTok"/>
        </w:rPr>
        <w:t xml:space="preserve">"hasCredential"</w:t>
      </w:r>
      <w:r>
        <w:rPr>
          <w:rStyle w:val="FunctionTok"/>
        </w:rPr>
        <w:t xml:space="preserve">:</w:t>
      </w:r>
      <w:r>
        <w:rPr>
          <w:rStyle w:val="NormalTok"/>
        </w:rPr>
        <w:t xml:space="preserve"> </w:t>
      </w:r>
      <w:r>
        <w:rPr>
          <w:rStyle w:val="StringTok"/>
        </w:rPr>
        <w:t xml:space="preserve">"CICC License R705959"</w:t>
      </w:r>
      <w:r>
        <w:br/>
      </w:r>
      <w:r>
        <w:rPr>
          <w:rStyle w:val="FunctionTok"/>
        </w:rPr>
        <w:t xml:space="preserve">}</w:t>
      </w:r>
    </w:p>
    <w:p>
      <w:r>
        <w:pict>
          <v:rect style="width:0;height:1.5pt" o:hralign="center" o:hrstd="t" o:hr="t"/>
        </w:pict>
      </w:r>
    </w:p>
    <w:bookmarkEnd w:id="219"/>
    <w:bookmarkEnd w:id="220"/>
    <w:bookmarkStart w:id="229" w:name="page-content-12"/>
    <w:p>
      <w:pPr>
        <w:pStyle w:val="Heading2"/>
      </w:pPr>
      <w:r>
        <w:t xml:space="preserve">PAGE CONTENT</w:t>
      </w:r>
    </w:p>
    <w:bookmarkStart w:id="221" w:name="h1-12"/>
    <w:p>
      <w:pPr>
        <w:pStyle w:val="Heading3"/>
      </w:pPr>
      <w:r>
        <w:t xml:space="preserve">H1</w:t>
      </w:r>
    </w:p>
    <w:p>
      <w:pPr>
        <w:pStyle w:val="FirstParagraph"/>
      </w:pPr>
      <w:r>
        <w:t xml:space="preserve">Our Team — Licensed RCIC Consultants Based in Brampton</w:t>
      </w:r>
    </w:p>
    <w:bookmarkEnd w:id="221"/>
    <w:bookmarkStart w:id="222" w:name="X98c5cda5f1c233b2e026edabb898dd3fc4b55ed"/>
    <w:p>
      <w:pPr>
        <w:pStyle w:val="Heading3"/>
      </w:pPr>
      <w:r>
        <w:t xml:space="preserve">Intro (target:</w:t>
      </w:r>
      <w:r>
        <w:t xml:space="preserve"> </w:t>
      </w:r>
      <w:r>
        <w:t xml:space="preserve">“</w:t>
      </w:r>
      <w:r>
        <w:t xml:space="preserve">RCIC Brampton</w:t>
      </w:r>
      <w:r>
        <w:t xml:space="preserve">”</w:t>
      </w:r>
      <w:r>
        <w:t xml:space="preserve">,</w:t>
      </w:r>
      <w:r>
        <w:t xml:space="preserve"> </w:t>
      </w:r>
      <w:r>
        <w:t xml:space="preserve">“</w:t>
      </w:r>
      <w:r>
        <w:t xml:space="preserve">immigration consultant team Ontario</w:t>
      </w:r>
      <w:r>
        <w:t xml:space="preserve">”</w:t>
      </w:r>
      <w:r>
        <w:t xml:space="preserve">)</w:t>
      </w:r>
    </w:p>
    <w:p>
      <w:pPr>
        <w:pStyle w:val="FirstParagraph"/>
      </w:pPr>
      <w:r>
        <w:t xml:space="preserve">Every file at Commonwealth Migration Canada is led by a Regulated Canadian Immigration Consultant licensed with the CICC — not passed off to unlicensed case handlers. Our team, based at 83 Kennedy Rd S in Brampton, works across Express Entry, provincial nominee programs, work and study permits, family sponsorship, refusals, and employer-side LMIA and recruitment files for clients throughout the GTA and Canada.</w:t>
      </w:r>
    </w:p>
    <w:bookmarkEnd w:id="222"/>
    <w:bookmarkStart w:id="223" w:name="X9139ce7600fc5d4010e848e5a368223b4614008"/>
    <w:p>
      <w:pPr>
        <w:pStyle w:val="Heading3"/>
      </w:pPr>
      <w:r>
        <w:t xml:space="preserve">H2: Sanjay Singh Kumar — Principal Consultant</w:t>
      </w:r>
    </w:p>
    <w:p>
      <w:pPr>
        <w:pStyle w:val="FirstParagraph"/>
      </w:pPr>
      <w:r>
        <w:t xml:space="preserve">Sanjay Singh Kumar is the Principal Consultant and licensed RCIC leading Commonwealth Migration Canada, with 15 years of team experience across:</w:t>
      </w:r>
      <w:r>
        <w:t xml:space="preserve"> </w:t>
      </w:r>
      <w:r>
        <w:t xml:space="preserve">- High-stakes immigration and refusal files</w:t>
      </w:r>
      <w:r>
        <w:t xml:space="preserve"> </w:t>
      </w:r>
      <w:r>
        <w:t xml:space="preserve">- LMIA and employer services (HGT Division)</w:t>
      </w:r>
      <w:r>
        <w:t xml:space="preserve"> </w:t>
      </w:r>
      <w:r>
        <w:t xml:space="preserve">- Express Entry and PNP strategy</w:t>
      </w:r>
      <w:r>
        <w:t xml:space="preserve"> </w:t>
      </w:r>
      <w:r>
        <w:t xml:space="preserve">- Ontario PNP (OINP), BC PNP, and Alberta AAIP</w:t>
      </w:r>
      <w:r>
        <w:t xml:space="preserve"> </w:t>
      </w:r>
      <w:r>
        <w:t xml:space="preserve">- Nova Scotia PNP, Saskatchewan SINP, and Manitoba MPNP</w:t>
      </w:r>
      <w:r>
        <w:t xml:space="preserve"> </w:t>
      </w:r>
      <w:r>
        <w:t xml:space="preserve">- LMIA refusals, procedural fairness letter (PFL) response, and GCMS analysis</w:t>
      </w:r>
    </w:p>
    <w:p>
      <w:pPr>
        <w:pStyle w:val="BodyText"/>
      </w:pPr>
      <w:r>
        <w:t xml:space="preserve">Sanjay communicates directly with clients in English, Punjabi, Hindi and Urdu, and personally reviews the firm’s highest-complexity refusal and employer compliance files.</w:t>
      </w:r>
    </w:p>
    <w:bookmarkEnd w:id="223"/>
    <w:bookmarkStart w:id="224" w:name="h2-how-our-team-is-structured"/>
    <w:p>
      <w:pPr>
        <w:pStyle w:val="Heading3"/>
      </w:pPr>
      <w:r>
        <w:t xml:space="preserve">H2: How our team is structured</w:t>
      </w:r>
    </w:p>
    <w:p>
      <w:pPr>
        <w:pStyle w:val="FirstParagraph"/>
      </w:pPr>
      <w:r>
        <w:t xml:space="preserve">Client files move through initial assessment, program-strategy review, document preparation and filing, with a licensed RCIC accountable for the file at every stage — rather than a sales-first intake process that hands off to unlicensed staff after the consultation. Refusal, PFL, and employer compliance files are reviewed personally by our Principal Consultant given the deadline sensitivity and regulatory stakes involved.</w:t>
      </w:r>
    </w:p>
    <w:bookmarkEnd w:id="224"/>
    <w:bookmarkStart w:id="225" w:name="X323c1f5adb788299a36cce5e3bace6a913cf4cd"/>
    <w:p>
      <w:pPr>
        <w:pStyle w:val="Heading3"/>
      </w:pPr>
      <w:r>
        <w:t xml:space="preserve">H2: Why that matters for Brampton &amp; GTA clients</w:t>
      </w:r>
    </w:p>
    <w:p>
      <w:pPr>
        <w:pStyle w:val="FirstParagraph"/>
      </w:pPr>
      <w:r>
        <w:t xml:space="preserve">Peel Region has, unfortunately, seen its share of unlicensed</w:t>
      </w:r>
      <w:r>
        <w:t xml:space="preserve"> </w:t>
      </w:r>
      <w:r>
        <w:t xml:space="preserve">“</w:t>
      </w:r>
      <w:r>
        <w:t xml:space="preserve">ghost consultants</w:t>
      </w:r>
      <w:r>
        <w:t xml:space="preserve">”</w:t>
      </w:r>
      <w:r>
        <w:t xml:space="preserve"> </w:t>
      </w:r>
      <w:r>
        <w:t xml:space="preserve">operating without CICC accountability — a risk that disproportionately affects newcomer communities. Every consultation at our firm is with someone whose license is publicly verifiable on the CICC registry, for every service we offer, from a first-time study permit to a multi-province LMIA file.</w:t>
      </w:r>
    </w:p>
    <w:bookmarkEnd w:id="225"/>
    <w:bookmarkStart w:id="226" w:name="h2-related-pages-1"/>
    <w:p>
      <w:pPr>
        <w:pStyle w:val="Heading3"/>
      </w:pPr>
      <w:r>
        <w:t xml:space="preserve">H2: Related pages</w:t>
      </w:r>
    </w:p>
    <w:p>
      <w:pPr>
        <w:pStyle w:val="FirstParagraph"/>
      </w:pPr>
      <w:r>
        <w:t xml:space="preserve">Learn more about our firm on</w:t>
      </w:r>
      <w:r>
        <w:t xml:space="preserve"> </w:t>
      </w:r>
      <w:hyperlink r:id="rId33">
        <w:r>
          <w:rPr>
            <w:rStyle w:val="Hyperlink"/>
          </w:rPr>
          <w:t xml:space="preserve">About Us</w:t>
        </w:r>
      </w:hyperlink>
      <w:r>
        <w:t xml:space="preserve">, see our process on</w:t>
      </w:r>
      <w:r>
        <w:t xml:space="preserve"> </w:t>
      </w:r>
      <w:hyperlink r:id="rId212">
        <w:r>
          <w:rPr>
            <w:rStyle w:val="Hyperlink"/>
          </w:rPr>
          <w:t xml:space="preserve">How It Works</w:t>
        </w:r>
      </w:hyperlink>
      <w:r>
        <w:t xml:space="preserve">, or find our</w:t>
      </w:r>
      <w:r>
        <w:t xml:space="preserve"> </w:t>
      </w:r>
      <w:hyperlink r:id="rId46">
        <w:r>
          <w:rPr>
            <w:rStyle w:val="Hyperlink"/>
          </w:rPr>
          <w:t xml:space="preserve">office details</w:t>
        </w:r>
      </w:hyperlink>
      <w:r>
        <w:t xml:space="preserve">.</w:t>
      </w:r>
    </w:p>
    <w:bookmarkEnd w:id="226"/>
    <w:bookmarkStart w:id="227" w:name="faq-11"/>
    <w:p>
      <w:pPr>
        <w:pStyle w:val="Heading3"/>
      </w:pPr>
      <w:r>
        <w:t xml:space="preserve">FAQ</w:t>
      </w:r>
    </w:p>
    <w:p>
      <w:pPr>
        <w:pStyle w:val="FirstParagraph"/>
      </w:pPr>
      <w:r>
        <w:rPr>
          <w:bCs/>
          <w:b/>
        </w:rPr>
        <w:t xml:space="preserve">Is my file handled personally by a licensed RCIC?</w:t>
      </w:r>
      <w:r>
        <w:t xml:space="preserve"> </w:t>
      </w:r>
      <w:r>
        <w:t xml:space="preserve">Yes — every file is led and signed off by a Regulated Canadian Immigration Consultant, not an unlicensed case handler.</w:t>
      </w:r>
    </w:p>
    <w:p>
      <w:pPr>
        <w:pStyle w:val="BodyText"/>
      </w:pPr>
      <w:r>
        <w:rPr>
          <w:bCs/>
          <w:b/>
        </w:rPr>
        <w:t xml:space="preserve">What languages can I get support in?</w:t>
      </w:r>
      <w:r>
        <w:t xml:space="preserve"> </w:t>
      </w:r>
      <w:r>
        <w:t xml:space="preserve">Our team communicates with clients in English, Punjabi, Hindi and Urdu.</w:t>
      </w:r>
    </w:p>
    <w:p>
      <w:pPr>
        <w:pStyle w:val="BodyText"/>
      </w:pPr>
      <w:r>
        <w:rPr>
          <w:bCs/>
          <w:b/>
        </w:rPr>
        <w:t xml:space="preserve">How do I verify your team’s license?</w:t>
      </w:r>
      <w:r>
        <w:t xml:space="preserve"> </w:t>
      </w:r>
      <w:r>
        <w:t xml:space="preserve">Our CICC license number, R705959, is verifiable directly on the College of Immigration and Citizenship Consultants’ public registry.</w:t>
      </w:r>
    </w:p>
    <w:bookmarkEnd w:id="227"/>
    <w:bookmarkStart w:id="228" w:name="cta-block-11"/>
    <w:p>
      <w:pPr>
        <w:pStyle w:val="Heading3"/>
      </w:pPr>
      <w:r>
        <w:t xml:space="preserve">CTA block</w:t>
      </w:r>
    </w:p>
    <w:p>
      <w:pPr>
        <w:pStyle w:val="FirstParagraph"/>
      </w:pPr>
      <w:r>
        <w:t xml:space="preserve">Speak directly with a licensed RCIC.</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228"/>
    <w:bookmarkEnd w:id="229"/>
    <w:bookmarkEnd w:id="230"/>
    <w:bookmarkStart w:id="231" w:name="page-how-it-works"/>
    <w:p>
      <w:pPr>
        <w:pStyle w:val="Heading1"/>
      </w:pPr>
      <w:r>
        <w:t xml:space="preserve">PAGE: /how-it-works</w:t>
      </w:r>
    </w:p>
    <w:bookmarkEnd w:id="231"/>
    <w:bookmarkStart w:id="246" w:name="menu-location-company-how-it-works"/>
    <w:p>
      <w:pPr>
        <w:pStyle w:val="Heading1"/>
      </w:pPr>
      <w:r>
        <w:t xml:space="preserve">Menu location: Company → How It Works</w:t>
      </w:r>
    </w:p>
    <w:p>
      <w:r>
        <w:pict>
          <v:rect style="width:0;height:1.5pt" o:hralign="center" o:hrstd="t" o:hr="t"/>
        </w:pict>
      </w:r>
    </w:p>
    <w:bookmarkStart w:id="233" w:name="meta-tags-13"/>
    <w:p>
      <w:pPr>
        <w:pStyle w:val="Heading2"/>
      </w:pPr>
      <w:r>
        <w:t xml:space="preserve">META TAGS</w:t>
      </w:r>
    </w:p>
    <w:p>
      <w:pPr>
        <w:pStyle w:val="SourceCode"/>
      </w:pPr>
      <w:r>
        <w:rPr>
          <w:rStyle w:val="VerbatimChar"/>
        </w:rPr>
        <w:t xml:space="preserve">title: How It Works | Our Immigration Consultation Process | Brampton RCIC</w:t>
      </w:r>
      <w:r>
        <w:br/>
      </w:r>
      <w:r>
        <w:rPr>
          <w:rStyle w:val="VerbatimChar"/>
        </w:rPr>
        <w:t xml:space="preserve">meta-description: See exactly how a Commonwealth Migration file moves from free assessment to filing — Brampton-based licensed RCIC process for Express Entry, PNP, work permits &amp; more.</w:t>
      </w:r>
      <w:r>
        <w:br/>
      </w:r>
      <w:r>
        <w:rPr>
          <w:rStyle w:val="VerbatimChar"/>
        </w:rPr>
        <w:t xml:space="preserve">canonical: https://commonwealthmigration.ca/how-it-works</w:t>
      </w:r>
      <w:r>
        <w:br/>
      </w:r>
      <w:r>
        <w:rPr>
          <w:rStyle w:val="VerbatimChar"/>
        </w:rPr>
        <w:t xml:space="preserve">meta-keywords: immigration consultation process Brampton, how RCIC works Ontario, free immigration assessment GTA, immigration consultant steps Canada</w:t>
      </w:r>
      <w:r>
        <w:br/>
      </w:r>
      <w:r>
        <w:rPr>
          <w:rStyle w:val="VerbatimChar"/>
        </w:rPr>
        <w:t xml:space="preserve">meta-og:title: How It Works | Our Immigration Consultation Process</w:t>
      </w:r>
      <w:r>
        <w:br/>
      </w:r>
      <w:r>
        <w:rPr>
          <w:rStyle w:val="VerbatimChar"/>
        </w:rPr>
        <w:t xml:space="preserve">meta-og:description: From free assessment to filing — our licensed RCIC process for Express Entry, PNP, work permits, study permits, sponsorship and refusals.</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https://commonwealthmigration.ca/how-it-works</w:t>
      </w:r>
      <w:r>
        <w:br/>
      </w:r>
      <w:r>
        <w:rPr>
          <w:rStyle w:val="VerbatimChar"/>
        </w:rPr>
        <w:t xml:space="preserve">meta-theme-color: #C8102E</w:t>
      </w:r>
    </w:p>
    <w:bookmarkStart w:id="232" w:name="json-ld-howto"/>
    <w:p>
      <w:pPr>
        <w:pStyle w:val="Heading3"/>
      </w:pPr>
      <w:r>
        <w:t xml:space="preserve">JSON-LD (HowTo)</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"HowTo"</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Commonwealth Migration Canada handles an immigration file"</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"Free Assessment"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"Share your background and goal; a licensed RCIC reviews eligibility across relevant programs."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"Strategy Consultation"</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 paid, in-depth consultation maps the specific pathway, timeline and documentation needed for your file."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"Document Preparation"</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"Your file is built to the program's evidentiary standard, not a generic checklist."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"Filing &amp; Monitoring"</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"Applications are submitted and tracked, with direct updates as decisions or requests for information arrive."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"Decision &amp; Next Steps"</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"Approval support (permits, PR landing, next application) or, if needed, refusal response strategy."</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32"/>
    <w:bookmarkEnd w:id="233"/>
    <w:bookmarkStart w:id="245" w:name="page-content-13"/>
    <w:p>
      <w:pPr>
        <w:pStyle w:val="Heading2"/>
      </w:pPr>
      <w:r>
        <w:t xml:space="preserve">PAGE CONTENT</w:t>
      </w:r>
    </w:p>
    <w:bookmarkStart w:id="234" w:name="h1-13"/>
    <w:p>
      <w:pPr>
        <w:pStyle w:val="Heading3"/>
      </w:pPr>
      <w:r>
        <w:t xml:space="preserve">H1</w:t>
      </w:r>
    </w:p>
    <w:p>
      <w:pPr>
        <w:pStyle w:val="FirstParagraph"/>
      </w:pPr>
      <w:r>
        <w:t xml:space="preserve">How It Works — From Free Assessment to Filing, With a Licensed RCIC at Every Step</w:t>
      </w:r>
    </w:p>
    <w:bookmarkEnd w:id="234"/>
    <w:bookmarkStart w:id="235" w:name="Xc42a3f9b85ee83ccb90d9684f1c7f089209e4e3"/>
    <w:p>
      <w:pPr>
        <w:pStyle w:val="Heading3"/>
      </w:pPr>
      <w:r>
        <w:t xml:space="preserve">Intro (target:</w:t>
      </w:r>
      <w:r>
        <w:t xml:space="preserve"> </w:t>
      </w:r>
      <w:r>
        <w:t xml:space="preserve">“</w:t>
      </w:r>
      <w:r>
        <w:t xml:space="preserve">immigration consultation process Brampton</w:t>
      </w:r>
      <w:r>
        <w:t xml:space="preserve">”</w:t>
      </w:r>
      <w:r>
        <w:t xml:space="preserve">,</w:t>
      </w:r>
      <w:r>
        <w:t xml:space="preserve"> </w:t>
      </w:r>
      <w:r>
        <w:t xml:space="preserve">“</w:t>
      </w:r>
      <w:r>
        <w:t xml:space="preserve">how RCIC works Ontario</w:t>
      </w:r>
      <w:r>
        <w:t xml:space="preserve">”</w:t>
      </w:r>
      <w:r>
        <w:t xml:space="preserve">)</w:t>
      </w:r>
    </w:p>
    <w:p>
      <w:pPr>
        <w:pStyle w:val="FirstParagraph"/>
      </w:pPr>
      <w:r>
        <w:t xml:space="preserve">Whether you’re starting an Express Entry profile, applying for a work or study permit, sponsoring family, or responding to a refusal, every file at our Brampton office follows the same structure: a licensed RCIC assesses eligibility before you pay for anything, builds a specific strategy rather than a generic checklist, and stays accountable for the file through filing and decision.</w:t>
      </w:r>
    </w:p>
    <w:bookmarkEnd w:id="235"/>
    <w:bookmarkStart w:id="236" w:name="h2-step-1-free-assessment"/>
    <w:p>
      <w:pPr>
        <w:pStyle w:val="Heading3"/>
      </w:pPr>
      <w:r>
        <w:t xml:space="preserve">H2: Step 1 — Free assessment</w:t>
      </w:r>
    </w:p>
    <w:p>
      <w:pPr>
        <w:pStyle w:val="FirstParagraph"/>
      </w:pPr>
      <w:r>
        <w:t xml:space="preserve">Share your background, immigration goal, and any prior refusals or applications. A licensed consultant reviews your eligibility across the programs that actually fit — Express Entry, provincial nominee streams, work or study permits, sponsorship, or refusal response — before recommending a paid next step.</w:t>
      </w:r>
    </w:p>
    <w:bookmarkEnd w:id="236"/>
    <w:bookmarkStart w:id="237" w:name="h2-step-2-strategy-consultation"/>
    <w:p>
      <w:pPr>
        <w:pStyle w:val="Heading3"/>
      </w:pPr>
      <w:r>
        <w:t xml:space="preserve">H2: Step 2 — Strategy consultation</w:t>
      </w:r>
    </w:p>
    <w:p>
      <w:pPr>
        <w:pStyle w:val="FirstParagraph"/>
      </w:pPr>
      <w:r>
        <w:t xml:space="preserve">A focused, paid consultation where we map the specific pathway for your situation: which program, what CRS score or eligibility gap needs addressing, what documentation the file will need, and a realistic timeline based on current processing standards.</w:t>
      </w:r>
    </w:p>
    <w:bookmarkEnd w:id="237"/>
    <w:bookmarkStart w:id="238" w:name="h2-step-3-document-preparation"/>
    <w:p>
      <w:pPr>
        <w:pStyle w:val="Heading3"/>
      </w:pPr>
      <w:r>
        <w:t xml:space="preserve">H2: Step 3 — Document preparation</w:t>
      </w:r>
    </w:p>
    <w:p>
      <w:pPr>
        <w:pStyle w:val="FirstParagraph"/>
      </w:pPr>
      <w:r>
        <w:t xml:space="preserve">We build your file to the evidentiary standard the specific program requires — a study plan that answers what an officer actually checks, a sponsorship file with genuineness evidence organized around IRCC’s assessment criteria, or an LMIA recruitment record that matches ESDC’s requirements exactly.</w:t>
      </w:r>
    </w:p>
    <w:bookmarkEnd w:id="238"/>
    <w:bookmarkStart w:id="239" w:name="h2-step-4-filing-monitoring"/>
    <w:p>
      <w:pPr>
        <w:pStyle w:val="Heading3"/>
      </w:pPr>
      <w:r>
        <w:t xml:space="preserve">H2: Step 4 — Filing &amp; monitoring</w:t>
      </w:r>
    </w:p>
    <w:p>
      <w:pPr>
        <w:pStyle w:val="FirstParagraph"/>
      </w:pPr>
      <w:r>
        <w:t xml:space="preserve">Your application is submitted and tracked, with updates as the file moves — including responses to any request for additional information or documentation from IRCC or ESDC.</w:t>
      </w:r>
    </w:p>
    <w:bookmarkEnd w:id="239"/>
    <w:bookmarkStart w:id="240" w:name="h2-step-5-decision-next-steps"/>
    <w:p>
      <w:pPr>
        <w:pStyle w:val="Heading3"/>
      </w:pPr>
      <w:r>
        <w:t xml:space="preserve">H2: Step 5 — Decision &amp; next steps</w:t>
      </w:r>
    </w:p>
    <w:p>
      <w:pPr>
        <w:pStyle w:val="FirstParagraph"/>
      </w:pPr>
      <w:r>
        <w:t xml:space="preserve">On approval, we support the next stage — work permit activation, PR landing, PGWP planning, or the employer’s post-approval work permit process. If a file is refused, we move directly into GCMS review and a PFL, reapplication, or appeal strategy rather than treating the file as closed.</w:t>
      </w:r>
    </w:p>
    <w:bookmarkEnd w:id="240"/>
    <w:bookmarkStart w:id="241" w:name="Xccb1f417efd2847b2808954f6488d0c97ee692a"/>
    <w:p>
      <w:pPr>
        <w:pStyle w:val="Heading3"/>
      </w:pPr>
      <w:r>
        <w:t xml:space="preserve">H2: What this looks like for Brampton &amp; GTA clients specifically</w:t>
      </w:r>
    </w:p>
    <w:p>
      <w:pPr>
        <w:pStyle w:val="FirstParagraph"/>
      </w:pPr>
      <w:r>
        <w:t xml:space="preserve">In-person consultations are available at our Brampton office at 83 Kennedy Rd S; clients across the GTA, Ontario, and the rest of Canada are supported through the same process virtually, with no difference in the level of review or licensing accountability.</w:t>
      </w:r>
    </w:p>
    <w:bookmarkEnd w:id="241"/>
    <w:bookmarkStart w:id="242" w:name="h2-related-pages-2"/>
    <w:p>
      <w:pPr>
        <w:pStyle w:val="Heading3"/>
      </w:pPr>
      <w:r>
        <w:t xml:space="preserve">H2: Related pages</w:t>
      </w:r>
    </w:p>
    <w:p>
      <w:pPr>
        <w:pStyle w:val="FirstParagraph"/>
      </w:pPr>
      <w:r>
        <w:t xml:space="preserve">See who leads your file on</w:t>
      </w:r>
      <w:r>
        <w:t xml:space="preserve"> </w:t>
      </w:r>
      <w:hyperlink r:id="rId34">
        <w:r>
          <w:rPr>
            <w:rStyle w:val="Hyperlink"/>
          </w:rPr>
          <w:t xml:space="preserve">Our Team</w:t>
        </w:r>
      </w:hyperlink>
      <w:r>
        <w:t xml:space="preserve">, read more about the firm on</w:t>
      </w:r>
      <w:r>
        <w:t xml:space="preserve"> </w:t>
      </w:r>
      <w:hyperlink r:id="rId33">
        <w:r>
          <w:rPr>
            <w:rStyle w:val="Hyperlink"/>
          </w:rPr>
          <w:t xml:space="preserve">About Us</w:t>
        </w:r>
      </w:hyperlink>
      <w:r>
        <w:t xml:space="preserve">, or</w:t>
      </w:r>
      <w:r>
        <w:t xml:space="preserve"> </w:t>
      </w:r>
      <w:hyperlink r:id="rId65">
        <w:r>
          <w:rPr>
            <w:rStyle w:val="Hyperlink"/>
          </w:rPr>
          <w:t xml:space="preserve">book your free assessment</w:t>
        </w:r>
      </w:hyperlink>
      <w:r>
        <w:t xml:space="preserve"> </w:t>
      </w:r>
      <w:r>
        <w:t xml:space="preserve">directly.</w:t>
      </w:r>
    </w:p>
    <w:bookmarkEnd w:id="242"/>
    <w:bookmarkStart w:id="243" w:name="faq-12"/>
    <w:p>
      <w:pPr>
        <w:pStyle w:val="Heading3"/>
      </w:pPr>
      <w:r>
        <w:t xml:space="preserve">FAQ</w:t>
      </w:r>
    </w:p>
    <w:p>
      <w:pPr>
        <w:pStyle w:val="FirstParagraph"/>
      </w:pPr>
      <w:r>
        <w:rPr>
          <w:bCs/>
          <w:b/>
        </w:rPr>
        <w:t xml:space="preserve">Is the first assessment really free?</w:t>
      </w:r>
      <w:r>
        <w:t xml:space="preserve"> </w:t>
      </w:r>
      <w:r>
        <w:t xml:space="preserve">Yes — the initial eligibility assessment is free and non-obligatory; you only move to a paid strategy consultation if you choose to proceed.</w:t>
      </w:r>
    </w:p>
    <w:p>
      <w:pPr>
        <w:pStyle w:val="BodyText"/>
      </w:pPr>
      <w:r>
        <w:rPr>
          <w:bCs/>
          <w:b/>
        </w:rPr>
        <w:t xml:space="preserve">How long does the whole process take?</w:t>
      </w:r>
      <w:r>
        <w:t xml:space="preserve"> </w:t>
      </w:r>
      <w:r>
        <w:t xml:space="preserve">It depends entirely on the program — some work permits process in weeks, while Express Entry-linked PR applications typically take several months from a complete application. We give you a realistic timeline during your strategy consultation.</w:t>
      </w:r>
    </w:p>
    <w:p>
      <w:pPr>
        <w:pStyle w:val="BodyText"/>
      </w:pPr>
      <w:r>
        <w:rPr>
          <w:bCs/>
          <w:b/>
        </w:rPr>
        <w:t xml:space="preserve">Can I do everything virtually, without visiting Brampton?</w:t>
      </w:r>
      <w:r>
        <w:t xml:space="preserve"> </w:t>
      </w:r>
      <w:r>
        <w:t xml:space="preserve">Yes — every step from assessment to filing can be completed virtually for clients anywhere in Canada or applying from overseas.</w:t>
      </w:r>
    </w:p>
    <w:bookmarkEnd w:id="243"/>
    <w:bookmarkStart w:id="244" w:name="cta-block-12"/>
    <w:p>
      <w:pPr>
        <w:pStyle w:val="Heading3"/>
      </w:pPr>
      <w:r>
        <w:t xml:space="preserve">CTA block</w:t>
      </w:r>
    </w:p>
    <w:p>
      <w:pPr>
        <w:pStyle w:val="FirstParagraph"/>
      </w:pPr>
      <w:r>
        <w:t xml:space="preserve">Start with a free assessment — no obligation.</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244"/>
    <w:bookmarkEnd w:id="245"/>
    <w:bookmarkEnd w:id="246"/>
    <w:bookmarkStart w:id="247" w:name="page-contact-us"/>
    <w:p>
      <w:pPr>
        <w:pStyle w:val="Heading1"/>
      </w:pPr>
      <w:r>
        <w:t xml:space="preserve">PAGE: /contact-us</w:t>
      </w:r>
    </w:p>
    <w:bookmarkEnd w:id="247"/>
    <w:bookmarkStart w:id="261" w:name="menu-location-company-our-office"/>
    <w:p>
      <w:pPr>
        <w:pStyle w:val="Heading1"/>
      </w:pPr>
      <w:r>
        <w:t xml:space="preserve">Menu location: Company → Our Office</w:t>
      </w:r>
    </w:p>
    <w:p>
      <w:r>
        <w:pict>
          <v:rect style="width:0;height:1.5pt" o:hralign="center" o:hrstd="t" o:hr="t"/>
        </w:pict>
      </w:r>
    </w:p>
    <w:bookmarkStart w:id="249" w:name="meta-tags-14"/>
    <w:p>
      <w:pPr>
        <w:pStyle w:val="Heading2"/>
      </w:pPr>
      <w:r>
        <w:t xml:space="preserve">META TAGS</w:t>
      </w:r>
    </w:p>
    <w:p>
      <w:pPr>
        <w:pStyle w:val="SourceCode"/>
      </w:pPr>
      <w:r>
        <w:rPr>
          <w:rStyle w:val="VerbatimChar"/>
        </w:rPr>
        <w:t xml:space="preserve">title: Contact Us | Immigration Consultant Office in Brampton, ON | CMG</w:t>
      </w:r>
      <w:r>
        <w:br/>
      </w:r>
      <w:r>
        <w:rPr>
          <w:rStyle w:val="VerbatimChar"/>
        </w:rPr>
        <w:t xml:space="preserve">meta-description: Visit or contact our licensed RCIC office at 83 Kennedy Rd S, Unit 16, Brampton, ON. Serving Brampton, Mississauga, Toronto, the GTA &amp; clients across Canada.</w:t>
      </w:r>
      <w:r>
        <w:br/>
      </w:r>
      <w:r>
        <w:rPr>
          <w:rStyle w:val="VerbatimChar"/>
        </w:rPr>
        <w:t xml:space="preserve">canonical: https://commonwealthmigration.ca/contact-us</w:t>
      </w:r>
      <w:r>
        <w:br/>
      </w:r>
      <w:r>
        <w:rPr>
          <w:rStyle w:val="VerbatimChar"/>
        </w:rPr>
        <w:t xml:space="preserve">meta-keywords: immigration consultant Brampton address, immigration office near me Brampton, RCIC Brampton contact, Commonwealth Migration Canada office</w:t>
      </w:r>
      <w:r>
        <w:br/>
      </w:r>
      <w:r>
        <w:rPr>
          <w:rStyle w:val="VerbatimChar"/>
        </w:rPr>
        <w:t xml:space="preserve">meta-og:title: Contact Us | Immigration Consultant Office in Brampton, ON</w:t>
      </w:r>
      <w:r>
        <w:br/>
      </w:r>
      <w:r>
        <w:rPr>
          <w:rStyle w:val="VerbatimChar"/>
        </w:rPr>
        <w:t xml:space="preserve">meta-og:description: Visit our licensed RCIC office in Brampton or book a virtual consultation — serving the GTA and clients across Canada.</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https://commonwealthmigration.ca/contact-us</w:t>
      </w:r>
      <w:r>
        <w:br/>
      </w:r>
      <w:r>
        <w:rPr>
          <w:rStyle w:val="VerbatimChar"/>
        </w:rPr>
        <w:t xml:space="preserve">meta-theme-color: #C8102E</w:t>
      </w:r>
    </w:p>
    <w:bookmarkStart w:id="248" w:name="Xab145aba621283276bf7064afb16fabc7eccf80"/>
    <w:p>
      <w:pPr>
        <w:pStyle w:val="Heading3"/>
      </w:pPr>
      <w:r>
        <w:t xml:space="preserve">JSON-LD (LocalBusiness — the single most important schema block on the site for local SEO)</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"ProfessionalService"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"Commonwealth Migration Canada"</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"https://commonwealthmigration.ca/images/og-default.png"</w:t>
      </w:r>
      <w:r>
        <w:rPr>
          <w:rStyle w:val="FunctionTok"/>
        </w:rPr>
        <w:t xml:space="preserve">,</w:t>
      </w:r>
      <w:r>
        <w:br/>
      </w:r>
      <w:r>
        <w:rPr>
          <w:rStyle w:val="NormalTok"/>
        </w:rPr>
        <w:t xml:space="preserve">  </w:t>
      </w:r>
      <w:r>
        <w:rPr>
          <w:rStyle w:val="DataTypeTok"/>
        </w:rPr>
        <w:t xml:space="preserve">"telephone"</w:t>
      </w:r>
      <w:r>
        <w:rPr>
          <w:rStyle w:val="FunctionTok"/>
        </w:rPr>
        <w:t xml:space="preserve">:</w:t>
      </w:r>
      <w:r>
        <w:rPr>
          <w:rStyle w:val="NormalTok"/>
        </w:rPr>
        <w:t xml:space="preserve"> </w:t>
      </w:r>
      <w:r>
        <w:rPr>
          <w:rStyle w:val="StringTok"/>
        </w:rPr>
        <w:t xml:space="preserve">"+1-555-012-3456"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"support@example.com"</w:t>
      </w:r>
      <w:r>
        <w:rPr>
          <w:rStyle w:val="FunctionTok"/>
        </w:rPr>
        <w:t xml:space="preserve">,</w:t>
      </w:r>
      <w:r>
        <w:br/>
      </w:r>
      <w:r>
        <w:rPr>
          <w:rStyle w:val="NormalTok"/>
        </w:rPr>
        <w:t xml:space="preserve">  </w:t>
      </w:r>
      <w:r>
        <w:rPr>
          <w:rStyle w:val="DataTypeTok"/>
        </w:rPr>
        <w:t xml:space="preserve">"priceRange"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"streetAddress"</w:t>
      </w:r>
      <w:r>
        <w:rPr>
          <w:rStyle w:val="FunctionTok"/>
        </w:rPr>
        <w:t xml:space="preserve">:</w:t>
      </w:r>
      <w:r>
        <w:rPr>
          <w:rStyle w:val="NormalTok"/>
        </w:rPr>
        <w:t xml:space="preserve"> </w:t>
      </w:r>
      <w:r>
        <w:rPr>
          <w:rStyle w:val="StringTok"/>
        </w:rPr>
        <w:t xml:space="preserve">"83 Kennedy Rd S, Unit 16"</w:t>
      </w:r>
      <w:r>
        <w:rPr>
          <w:rStyle w:val="FunctionTok"/>
        </w:rPr>
        <w:t xml:space="preserve">,</w:t>
      </w:r>
      <w:r>
        <w:br/>
      </w:r>
      <w:r>
        <w:rPr>
          <w:rStyle w:val="NormalTok"/>
        </w:rPr>
        <w:t xml:space="preserve">    </w:t>
      </w:r>
      <w:r>
        <w:rPr>
          <w:rStyle w:val="DataTypeTok"/>
        </w:rPr>
        <w:t xml:space="preserve">"addressLocality"</w:t>
      </w:r>
      <w:r>
        <w:rPr>
          <w:rStyle w:val="FunctionTok"/>
        </w:rPr>
        <w:t xml:space="preserve">:</w:t>
      </w:r>
      <w:r>
        <w:rPr>
          <w:rStyle w:val="NormalTok"/>
        </w:rPr>
        <w:t xml:space="preserve"> </w:t>
      </w:r>
      <w:r>
        <w:rPr>
          <w:rStyle w:val="StringTok"/>
        </w:rPr>
        <w:t xml:space="preserve">"Brampton"</w:t>
      </w:r>
      <w:r>
        <w:rPr>
          <w:rStyle w:val="FunctionTok"/>
        </w:rPr>
        <w:t xml:space="preserve">,</w:t>
      </w:r>
      <w:r>
        <w:br/>
      </w:r>
      <w:r>
        <w:rPr>
          <w:rStyle w:val="NormalTok"/>
        </w:rPr>
        <w:t xml:space="preserve">    </w:t>
      </w:r>
      <w:r>
        <w:rPr>
          <w:rStyle w:val="DataTypeTok"/>
        </w:rPr>
        <w:t xml:space="preserve">"addressRegion"</w:t>
      </w:r>
      <w:r>
        <w:rPr>
          <w:rStyle w:val="FunctionTok"/>
        </w:rPr>
        <w:t xml:space="preserve">:</w:t>
      </w:r>
      <w:r>
        <w:rPr>
          <w:rStyle w:val="NormalTok"/>
        </w:rPr>
        <w:t xml:space="preserve"> </w:t>
      </w:r>
      <w:r>
        <w:rPr>
          <w:rStyle w:val="StringTok"/>
        </w:rPr>
        <w:t xml:space="preserve">"ON"</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"L6W 3P3"</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"CA"</w:t>
      </w:r>
      <w:r>
        <w:br/>
      </w:r>
      <w:r>
        <w:rPr>
          <w:rStyle w:val="NormalTok"/>
        </w:rPr>
        <w:t xml:space="preserve">  </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"Brampton"</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"Mississauga"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"Toronto"</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"AdministrativeArea"</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"Peel Region"</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"AdministrativeArea"</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"Greater Toronto Area"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"AdministrativeArea"</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"Ontario"</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"Canada"</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"openingHoursSpecification"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"OpeningHoursSpecification"</w:t>
      </w:r>
      <w:r>
        <w:rPr>
          <w:rStyle w:val="FunctionTok"/>
        </w:rPr>
        <w:t xml:space="preserve">,</w:t>
      </w:r>
      <w:r>
        <w:br/>
      </w:r>
      <w:r>
        <w:rPr>
          <w:rStyle w:val="NormalTok"/>
        </w:rPr>
        <w:t xml:space="preserve">      </w:t>
      </w:r>
      <w:r>
        <w:rPr>
          <w:rStyle w:val="DataTypeTok"/>
        </w:rPr>
        <w:t xml:space="preserve">"dayOfWeek"</w:t>
      </w:r>
      <w:r>
        <w:rPr>
          <w:rStyle w:val="FunctionTok"/>
        </w:rPr>
        <w:t xml:space="preserve">:</w:t>
      </w:r>
      <w:r>
        <w:rPr>
          <w:rStyle w:val="NormalTok"/>
        </w:rPr>
        <w:t xml:space="preserve"> </w:t>
      </w:r>
      <w:r>
        <w:rPr>
          <w:rStyle w:val="OtherTok"/>
        </w:rPr>
        <w:t xml:space="preserve">[</w:t>
      </w:r>
      <w:r>
        <w:rPr>
          <w:rStyle w:val="StringTok"/>
        </w:rPr>
        <w:t xml:space="preserve">"Monday"</w:t>
      </w:r>
      <w:r>
        <w:rPr>
          <w:rStyle w:val="OtherTok"/>
        </w:rPr>
        <w:t xml:space="preserve">,</w:t>
      </w:r>
      <w:r>
        <w:rPr>
          <w:rStyle w:val="NormalTok"/>
        </w:rPr>
        <w:t xml:space="preserve"> </w:t>
      </w:r>
      <w:r>
        <w:rPr>
          <w:rStyle w:val="StringTok"/>
        </w:rPr>
        <w:t xml:space="preserve">"Tuesday"</w:t>
      </w:r>
      <w:r>
        <w:rPr>
          <w:rStyle w:val="OtherTok"/>
        </w:rPr>
        <w:t xml:space="preserve">,</w:t>
      </w:r>
      <w:r>
        <w:rPr>
          <w:rStyle w:val="NormalTok"/>
        </w:rPr>
        <w:t xml:space="preserve"> </w:t>
      </w:r>
      <w:r>
        <w:rPr>
          <w:rStyle w:val="StringTok"/>
        </w:rPr>
        <w:t xml:space="preserve">"Wednesday"</w:t>
      </w:r>
      <w:r>
        <w:rPr>
          <w:rStyle w:val="OtherTok"/>
        </w:rPr>
        <w:t xml:space="preserve">,</w:t>
      </w:r>
      <w:r>
        <w:rPr>
          <w:rStyle w:val="NormalTok"/>
        </w:rPr>
        <w:t xml:space="preserve"> </w:t>
      </w:r>
      <w:r>
        <w:rPr>
          <w:rStyle w:val="StringTok"/>
        </w:rPr>
        <w:t xml:space="preserve">"Thursday"</w:t>
      </w:r>
      <w:r>
        <w:rPr>
          <w:rStyle w:val="OtherTok"/>
        </w:rPr>
        <w:t xml:space="preserve">,</w:t>
      </w:r>
      <w:r>
        <w:rPr>
          <w:rStyle w:val="NormalTok"/>
        </w:rPr>
        <w:t xml:space="preserve"> </w:t>
      </w:r>
      <w:r>
        <w:rPr>
          <w:rStyle w:val="StringTok"/>
        </w:rPr>
        <w:t xml:space="preserve">"Friday"</w:t>
      </w:r>
      <w:r>
        <w:rPr>
          <w:rStyle w:val="OtherTok"/>
        </w:rPr>
        <w:t xml:space="preserve">]</w:t>
      </w:r>
      <w:r>
        <w:rPr>
          <w:rStyle w:val="FunctionTok"/>
        </w:rPr>
        <w:t xml:space="preserve">,</w:t>
      </w:r>
      <w:r>
        <w:br/>
      </w:r>
      <w:r>
        <w:rPr>
          <w:rStyle w:val="NormalTok"/>
        </w:rPr>
        <w:t xml:space="preserve">      </w:t>
      </w:r>
      <w:r>
        <w:rPr>
          <w:rStyle w:val="DataTypeTok"/>
        </w:rPr>
        <w:t xml:space="preserve">"opens"</w:t>
      </w:r>
      <w:r>
        <w:rPr>
          <w:rStyle w:val="FunctionTok"/>
        </w:rPr>
        <w:t xml:space="preserve">:</w:t>
      </w:r>
      <w:r>
        <w:rPr>
          <w:rStyle w:val="NormalTok"/>
        </w:rPr>
        <w:t xml:space="preserve"> </w:t>
      </w:r>
      <w:r>
        <w:rPr>
          <w:rStyle w:val="StringTok"/>
        </w:rPr>
        <w:t xml:space="preserve">"09:00"</w:t>
      </w:r>
      <w:r>
        <w:rPr>
          <w:rStyle w:val="FunctionTok"/>
        </w:rPr>
        <w:t xml:space="preserve">,</w:t>
      </w:r>
      <w:r>
        <w:br/>
      </w:r>
      <w:r>
        <w:rPr>
          <w:rStyle w:val="NormalTok"/>
        </w:rPr>
        <w:t xml:space="preserve">      </w:t>
      </w:r>
      <w:r>
        <w:rPr>
          <w:rStyle w:val="DataTypeTok"/>
        </w:rPr>
        <w:t xml:space="preserve">"closes"</w:t>
      </w:r>
      <w:r>
        <w:rPr>
          <w:rStyle w:val="FunctionTok"/>
        </w:rPr>
        <w:t xml:space="preserve">:</w:t>
      </w:r>
      <w:r>
        <w:rPr>
          <w:rStyle w:val="NormalTok"/>
        </w:rPr>
        <w:t xml:space="preserve"> </w:t>
      </w:r>
      <w:r>
        <w:rPr>
          <w:rStyle w:val="StringTok"/>
        </w:rPr>
        <w:t xml:space="preserve">"17:00"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"sameAs"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"https://www.linkedin.com/company/commonwealthmigrationgroup"</w:t>
      </w:r>
      <w:r>
        <w:rPr>
          <w:rStyle w:val="OtherTok"/>
        </w:rPr>
        <w:t xml:space="preserve">,</w:t>
      </w:r>
      <w:r>
        <w:br/>
      </w:r>
      <w:r>
        <w:rPr>
          <w:rStyle w:val="NormalTok"/>
        </w:rPr>
        <w:t xml:space="preserve">    </w:t>
      </w:r>
      <w:r>
        <w:rPr>
          <w:rStyle w:val="StringTok"/>
        </w:rPr>
        <w:t xml:space="preserve">"https://www.facebook.com/CMGMigration"</w:t>
      </w:r>
      <w:r>
        <w:rPr>
          <w:rStyle w:val="OtherTok"/>
        </w:rPr>
        <w:t xml:space="preserve">,</w:t>
      </w:r>
      <w:r>
        <w:br/>
      </w:r>
      <w:r>
        <w:rPr>
          <w:rStyle w:val="NormalTok"/>
        </w:rPr>
        <w:t xml:space="preserve">    </w:t>
      </w:r>
      <w:r>
        <w:rPr>
          <w:rStyle w:val="StringTok"/>
        </w:rPr>
        <w:t xml:space="preserve">"https://www.instagram.com/cmgmigration"</w:t>
      </w:r>
      <w:r>
        <w:rPr>
          <w:rStyle w:val="OtherTok"/>
        </w:rPr>
        <w:t xml:space="preserve">,</w:t>
      </w:r>
      <w:r>
        <w:br/>
      </w:r>
      <w:r>
        <w:rPr>
          <w:rStyle w:val="NormalTok"/>
        </w:rPr>
        <w:t xml:space="preserve">    </w:t>
      </w:r>
      <w:r>
        <w:rPr>
          <w:rStyle w:val="StringTok"/>
        </w:rPr>
        <w:t xml:space="preserve">"https://www.youtube.com/@cmgmigration"</w:t>
      </w:r>
      <w:r>
        <w:br/>
      </w:r>
      <w:r>
        <w:rPr>
          <w:rStyle w:val="NormalTok"/>
        </w:rPr>
        <w:t xml:space="preserve">  </w:t>
      </w:r>
      <w:r>
        <w:rPr>
          <w:rStyle w:val="OtherTok"/>
        </w:rPr>
        <w:t xml:space="preserve">]</w:t>
      </w:r>
      <w:r>
        <w:br/>
      </w:r>
      <w:r>
        <w:rPr>
          <w:rStyle w:val="FunctionTok"/>
        </w:rPr>
        <w:t xml:space="preserve">}</w:t>
      </w:r>
    </w:p>
    <w:p>
      <w:pPr>
        <w:pStyle w:val="BlockText"/>
      </w:pPr>
      <w:r>
        <w:t xml:space="preserve">Note for developer: confirm actual opening hours and phone number before publishing — placeholders above match the current footer/header data.</w:t>
      </w:r>
    </w:p>
    <w:p>
      <w:r>
        <w:pict>
          <v:rect style="width:0;height:1.5pt" o:hralign="center" o:hrstd="t" o:hr="t"/>
        </w:pict>
      </w:r>
    </w:p>
    <w:bookmarkEnd w:id="248"/>
    <w:bookmarkEnd w:id="249"/>
    <w:bookmarkStart w:id="260" w:name="page-content-14"/>
    <w:p>
      <w:pPr>
        <w:pStyle w:val="Heading2"/>
      </w:pPr>
      <w:r>
        <w:t xml:space="preserve">PAGE CONTENT</w:t>
      </w:r>
    </w:p>
    <w:bookmarkStart w:id="250" w:name="h1-14"/>
    <w:p>
      <w:pPr>
        <w:pStyle w:val="Heading3"/>
      </w:pPr>
      <w:r>
        <w:t xml:space="preserve">H1</w:t>
      </w:r>
    </w:p>
    <w:p>
      <w:pPr>
        <w:pStyle w:val="FirstParagraph"/>
      </w:pPr>
      <w:r>
        <w:t xml:space="preserve">Contact Commonwealth Migration Canada — Brampton Office</w:t>
      </w:r>
    </w:p>
    <w:bookmarkEnd w:id="250"/>
    <w:bookmarkStart w:id="251" w:name="X01cc2b04a09ee1d25920cfbe98c6c95c3b10a1f"/>
    <w:p>
      <w:pPr>
        <w:pStyle w:val="Heading3"/>
      </w:pPr>
      <w:r>
        <w:t xml:space="preserve">Intro (target:</w:t>
      </w:r>
      <w:r>
        <w:t xml:space="preserve"> </w:t>
      </w:r>
      <w:r>
        <w:t xml:space="preserve">“</w:t>
      </w:r>
      <w:r>
        <w:t xml:space="preserve">immigration consultant Brampton address</w:t>
      </w:r>
      <w:r>
        <w:t xml:space="preserve">”</w:t>
      </w:r>
      <w:r>
        <w:t xml:space="preserve">,</w:t>
      </w:r>
      <w:r>
        <w:t xml:space="preserve"> </w:t>
      </w:r>
      <w:r>
        <w:t xml:space="preserve">“</w:t>
      </w:r>
      <w:r>
        <w:t xml:space="preserve">immigration office near me Brampton</w:t>
      </w:r>
      <w:r>
        <w:t xml:space="preserve">”</w:t>
      </w:r>
      <w:r>
        <w:t xml:space="preserve">)</w:t>
      </w:r>
    </w:p>
    <w:p>
      <w:pPr>
        <w:pStyle w:val="FirstParagraph"/>
      </w:pPr>
      <w:r>
        <w:t xml:space="preserve">Our licensed RCIC office is located at 83 Kennedy Rd S, Unit 16, Brampton, ON L6W 3P3 — serving walk-in and scheduled consultations for clients across Brampton, Mississauga, Toronto and the wider GTA, alongside virtual consultations for clients anywhere in Canada or applying from overseas.</w:t>
      </w:r>
    </w:p>
    <w:bookmarkEnd w:id="251"/>
    <w:bookmarkStart w:id="252" w:name="h2-visit-our-brampton-office"/>
    <w:p>
      <w:pPr>
        <w:pStyle w:val="Heading3"/>
      </w:pPr>
      <w:r>
        <w:t xml:space="preserve">H2: Visit our Brampton office</w:t>
      </w:r>
    </w:p>
    <w:p>
      <w:pPr>
        <w:pStyle w:val="FirstParagraph"/>
      </w:pPr>
      <w:r>
        <w:rPr>
          <w:bCs/>
          <w:b/>
        </w:rPr>
        <w:t xml:space="preserve">Address:</w:t>
      </w:r>
      <w:r>
        <w:t xml:space="preserve"> </w:t>
      </w:r>
      <w:r>
        <w:t xml:space="preserve">83 Kennedy Rd S, Unit 16, Brampton, ON L6W 3P3</w:t>
      </w:r>
      <w:r>
        <w:t xml:space="preserve"> </w:t>
      </w:r>
      <w:r>
        <w:rPr>
          <w:bCs/>
          <w:b/>
        </w:rPr>
        <w:t xml:space="preserve">Phone:</w:t>
      </w:r>
      <w:r>
        <w:t xml:space="preserve"> </w:t>
      </w:r>
      <w:r>
        <w:t xml:space="preserve">(555) 012-3456</w:t>
      </w:r>
      <w:r>
        <w:t xml:space="preserve"> </w:t>
      </w:r>
      <w:r>
        <w:rPr>
          <w:bCs/>
          <w:b/>
        </w:rPr>
        <w:t xml:space="preserve">Email:</w:t>
      </w:r>
      <w:r>
        <w:t xml:space="preserve"> </w:t>
      </w:r>
      <w:r>
        <w:t xml:space="preserve">support@example.com</w:t>
      </w:r>
      <w:r>
        <w:t xml:space="preserve"> </w:t>
      </w:r>
      <w:r>
        <w:rPr>
          <w:bCs/>
          <w:b/>
        </w:rPr>
        <w:t xml:space="preserve">Hours:</w:t>
      </w:r>
      <w:r>
        <w:t xml:space="preserve"> </w:t>
      </w:r>
      <w:r>
        <w:t xml:space="preserve">Monday–Friday, 9:00 AM–5:00 PM (confirm and update for launch)</w:t>
      </w:r>
    </w:p>
    <w:p>
      <w:pPr>
        <w:pStyle w:val="BodyText"/>
      </w:pPr>
      <w:r>
        <w:t xml:space="preserve">[Embed: Google Map centered on 83 Kennedy Rd S, Unit 16, Brampton, ON L6W 3P3]</w:t>
      </w:r>
    </w:p>
    <w:bookmarkEnd w:id="252"/>
    <w:bookmarkStart w:id="253" w:name="h2-book-a-consultation"/>
    <w:p>
      <w:pPr>
        <w:pStyle w:val="Heading3"/>
      </w:pPr>
      <w:r>
        <w:t xml:space="preserve">H2: Book a consultation</w:t>
      </w:r>
    </w:p>
    <w:p>
      <w:pPr>
        <w:pStyle w:val="FirstParagraph"/>
      </w:pPr>
      <w:r>
        <w:t xml:space="preserve">The fastest way to speak with a licensed RCIC is to book directly — choose an in-person appointment at our Brampton office or a virtual consultation if you’re elsewhere in Canada or overseas.</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bookmarkEnd w:id="253"/>
    <w:bookmarkStart w:id="254" w:name="h2-areas-we-serve"/>
    <w:p>
      <w:pPr>
        <w:pStyle w:val="Heading3"/>
      </w:pPr>
      <w:r>
        <w:t xml:space="preserve">H2: Areas we serve</w:t>
      </w:r>
    </w:p>
    <w:p>
      <w:pPr>
        <w:pStyle w:val="FirstParagraph"/>
      </w:pPr>
      <w:r>
        <w:t xml:space="preserve">While our office is in Brampton, our licensed team regularly works with clients throughout Peel Region — Mississauga, Caledon — and across the Greater Toronto Area, including Toronto, Vaughan, and Markham. Provincial nominee, employer and refusal files are filed for clients across Ontario and Canada-wide, with the same licensed review regardless of location.</w:t>
      </w:r>
    </w:p>
    <w:bookmarkEnd w:id="254"/>
    <w:bookmarkStart w:id="255" w:name="h2-prefer-whatsapp-or-email"/>
    <w:p>
      <w:pPr>
        <w:pStyle w:val="Heading3"/>
      </w:pPr>
      <w:r>
        <w:t xml:space="preserve">H2: Prefer WhatsApp or email?</w:t>
      </w:r>
    </w:p>
    <w:p>
      <w:pPr>
        <w:pStyle w:val="FirstParagraph"/>
      </w:pPr>
      <w:r>
        <w:t xml:space="preserve">For quick questions before booking a full consultation, reach us by email at support@example.com or via WhatsApp — links available in the site footer.</w:t>
      </w:r>
    </w:p>
    <w:bookmarkEnd w:id="255"/>
    <w:bookmarkStart w:id="256" w:name="h2-related-pages-3"/>
    <w:p>
      <w:pPr>
        <w:pStyle w:val="Heading3"/>
      </w:pPr>
      <w:r>
        <w:t xml:space="preserve">H2: Related pages</w:t>
      </w:r>
    </w:p>
    <w:p>
      <w:pPr>
        <w:pStyle w:val="FirstParagraph"/>
      </w:pPr>
      <w:r>
        <w:t xml:space="preserve">Learn about our team on</w:t>
      </w:r>
      <w:r>
        <w:t xml:space="preserve"> </w:t>
      </w:r>
      <w:hyperlink r:id="rId34">
        <w:r>
          <w:rPr>
            <w:rStyle w:val="Hyperlink"/>
          </w:rPr>
          <w:t xml:space="preserve">Our Team</w:t>
        </w:r>
      </w:hyperlink>
      <w:r>
        <w:t xml:space="preserve">, see our step-by-step process on</w:t>
      </w:r>
      <w:r>
        <w:t xml:space="preserve"> </w:t>
      </w:r>
      <w:hyperlink r:id="rId212">
        <w:r>
          <w:rPr>
            <w:rStyle w:val="Hyperlink"/>
          </w:rPr>
          <w:t xml:space="preserve">How It Works</w:t>
        </w:r>
      </w:hyperlink>
      <w:r>
        <w:t xml:space="preserve">, or read more about the firm on</w:t>
      </w:r>
      <w:r>
        <w:t xml:space="preserve"> </w:t>
      </w:r>
      <w:hyperlink r:id="rId33">
        <w:r>
          <w:rPr>
            <w:rStyle w:val="Hyperlink"/>
          </w:rPr>
          <w:t xml:space="preserve">About Us</w:t>
        </w:r>
      </w:hyperlink>
      <w:r>
        <w:t xml:space="preserve">.</w:t>
      </w:r>
    </w:p>
    <w:bookmarkEnd w:id="256"/>
    <w:bookmarkStart w:id="257" w:name="faq-13"/>
    <w:p>
      <w:pPr>
        <w:pStyle w:val="Heading3"/>
      </w:pPr>
      <w:r>
        <w:t xml:space="preserve">FAQ</w:t>
      </w:r>
    </w:p>
    <w:p>
      <w:pPr>
        <w:pStyle w:val="FirstParagraph"/>
      </w:pPr>
      <w:r>
        <w:rPr>
          <w:bCs/>
          <w:b/>
        </w:rPr>
        <w:t xml:space="preserve">Where exactly is your Brampton office located?</w:t>
      </w:r>
      <w:r>
        <w:t xml:space="preserve"> </w:t>
      </w:r>
      <w:r>
        <w:t xml:space="preserve">83 Kennedy Rd S, Unit 16, Brampton, ON L6W 3P3.</w:t>
      </w:r>
    </w:p>
    <w:p>
      <w:pPr>
        <w:pStyle w:val="BodyText"/>
      </w:pPr>
      <w:r>
        <w:rPr>
          <w:bCs/>
          <w:b/>
        </w:rPr>
        <w:t xml:space="preserve">Do I need an appointment, or can I walk in?</w:t>
      </w:r>
      <w:r>
        <w:t xml:space="preserve"> </w:t>
      </w:r>
      <w:r>
        <w:t xml:space="preserve">Booking ahead is recommended to guarantee a licensed consultant is available; contact us to check same-day availability.</w:t>
      </w:r>
    </w:p>
    <w:p>
      <w:pPr>
        <w:pStyle w:val="BodyText"/>
      </w:pPr>
      <w:r>
        <w:rPr>
          <w:bCs/>
          <w:b/>
        </w:rPr>
        <w:t xml:space="preserve">Can clients outside the GTA still work with your Brampton office?</w:t>
      </w:r>
      <w:r>
        <w:t xml:space="preserve"> </w:t>
      </w:r>
      <w:r>
        <w:t xml:space="preserve">Yes — virtual consultations are available for clients anywhere in Canada or applying from overseas, with the same licensed RCIC review as an in-person appointment.</w:t>
      </w:r>
    </w:p>
    <w:bookmarkEnd w:id="257"/>
    <w:bookmarkStart w:id="259" w:name="cta-block-13"/>
    <w:p>
      <w:pPr>
        <w:pStyle w:val="Heading3"/>
      </w:pPr>
      <w:r>
        <w:t xml:space="preserve">CTA block</w:t>
      </w:r>
    </w:p>
    <w:p>
      <w:pPr>
        <w:pStyle w:val="FirstParagraph"/>
      </w:pPr>
      <w:r>
        <w:t xml:space="preserve">Book your consultation — in Brampton or online.</w:t>
      </w:r>
      <w:r>
        <w:t xml:space="preserve"> </w:t>
      </w:r>
      <w:hyperlink r:id="rId65">
        <w:r>
          <w:rPr>
            <w:rStyle w:val="Hyperlink"/>
          </w:rPr>
          <w:t xml:space="preserve">Book a Consultation</w:t>
        </w:r>
      </w:hyperlink>
      <w:r>
        <w:t xml:space="preserve"> </w:t>
      </w:r>
      <w:r>
        <w:t xml:space="preserve">·</w:t>
      </w:r>
      <w:r>
        <w:t xml:space="preserve"> </w:t>
      </w:r>
      <w:hyperlink r:id="rId258">
        <w:r>
          <w:rPr>
            <w:rStyle w:val="Hyperlink"/>
          </w:rPr>
          <w:t xml:space="preserve">Call (555) 012-3456</w:t>
        </w:r>
      </w:hyperlink>
    </w:p>
    <w:p>
      <w:r>
        <w:br w:type="page"/>
      </w:r>
    </w:p>
    <w:bookmarkEnd w:id="259"/>
    <w:bookmarkEnd w:id="260"/>
    <w:bookmarkEnd w:id="261"/>
    <w:bookmarkStart w:id="262" w:name="page-immigrationstartup-visa"/>
    <w:p>
      <w:pPr>
        <w:pStyle w:val="Heading1"/>
      </w:pPr>
      <w:r>
        <w:t xml:space="preserve">PAGE: /immigration/startup-visa</w:t>
      </w:r>
    </w:p>
    <w:bookmarkEnd w:id="262"/>
    <w:bookmarkStart w:id="276" w:name="X0efbff868c6e4da2c94861864313f17ae36b9ec"/>
    <w:p>
      <w:pPr>
        <w:pStyle w:val="Heading1"/>
      </w:pPr>
      <w:r>
        <w:t xml:space="preserve">Menu location: Immigrate → Business Immigration</w:t>
      </w:r>
    </w:p>
    <w:p>
      <w:r>
        <w:pict>
          <v:rect style="width:0;height:1.5pt" o:hralign="center" o:hrstd="t" o:hr="t"/>
        </w:pict>
      </w:r>
    </w:p>
    <w:bookmarkStart w:id="264" w:name="meta-tags-15"/>
    <w:p>
      <w:pPr>
        <w:pStyle w:val="Heading2"/>
      </w:pPr>
      <w:r>
        <w:t xml:space="preserve">META TAGS</w:t>
      </w:r>
    </w:p>
    <w:p>
      <w:pPr>
        <w:pStyle w:val="SourceCode"/>
      </w:pPr>
      <w:r>
        <w:rPr>
          <w:rStyle w:val="VerbatimChar"/>
        </w:rPr>
        <w:t xml:space="preserve">title: Start-Up Visa &amp; Business Immigration Consultant Brampton | CMG</w:t>
      </w:r>
      <w:r>
        <w:br/>
      </w:r>
      <w:r>
        <w:rPr>
          <w:rStyle w:val="VerbatimChar"/>
        </w:rPr>
        <w:t xml:space="preserve">meta-description: Licensed RCIC guidance for Start-Up Visa, self-employed persons program &amp; provincial entrepreneur streams. Brampton-based, serving investors &amp; founders across Canada.</w:t>
      </w:r>
      <w:r>
        <w:br/>
      </w:r>
      <w:r>
        <w:rPr>
          <w:rStyle w:val="VerbatimChar"/>
        </w:rPr>
        <w:t xml:space="preserve">canonical: https://commonwealthmigration.ca/immigration/startup-visa</w:t>
      </w:r>
      <w:r>
        <w:br/>
      </w:r>
      <w:r>
        <w:rPr>
          <w:rStyle w:val="VerbatimChar"/>
        </w:rPr>
        <w:t xml:space="preserve">meta-keywords: Start-Up Visa consultant Brampton, business immigration Ontario, entrepreneur PNP Canada, self-employed persons program, investor visa Ontario</w:t>
      </w:r>
      <w:r>
        <w:br/>
      </w:r>
      <w:r>
        <w:rPr>
          <w:rStyle w:val="VerbatimChar"/>
        </w:rPr>
        <w:t xml:space="preserve">meta-og:title: Start-Up Visa &amp; Business Immigration Consultant Brampton</w:t>
      </w:r>
      <w:r>
        <w:br/>
      </w:r>
      <w:r>
        <w:rPr>
          <w:rStyle w:val="VerbatimChar"/>
        </w:rPr>
        <w:t xml:space="preserve">meta-og:description: Start-Up Visa, self-employed pathways, and provincial entrepreneur streams for investors and business operators — licensed RCIC guidance from Brampton.</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https://commonwealthmigration.ca/immigration/startup-visa</w:t>
      </w:r>
      <w:r>
        <w:br/>
      </w:r>
      <w:r>
        <w:rPr>
          <w:rStyle w:val="VerbatimChar"/>
        </w:rPr>
        <w:t xml:space="preserve">meta-theme-color: #C8102E</w:t>
      </w:r>
    </w:p>
    <w:bookmarkStart w:id="263" w:name="json-ld-10"/>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 I need a Canadian designated organization to qualify for the Start-Up Visa?"</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 the Start-Up Visa Program requires a letter of support from a designated venture capital fund, angel investor group, or business incubator, along with meeting language and settlement fund requirements."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"What's the difference between the Start-Up Visa and a provincial entrepreneur stream?"</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Start-Up Visa is a federal program leading directly to permanent residence, tied to support from a designated organization. Provincial entrepreneur streams are run individually by each province, typically requiring a business investment and job-creation plan within that province, and usually issue a work permit first with PR eligibility following after the business is established."</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 self-employed persons immigrate to Canada without a business plan tied to a designated organization?"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 the Self-Employed Persons Program is a separate federal pathway for applicants with relevant experience in cultural activities or athletics who intend to be self-employed in Canada, and does not require designated-organization support."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63"/>
    <w:bookmarkEnd w:id="264"/>
    <w:bookmarkStart w:id="275" w:name="page-content-15"/>
    <w:p>
      <w:pPr>
        <w:pStyle w:val="Heading2"/>
      </w:pPr>
      <w:r>
        <w:t xml:space="preserve">PAGE CONTENT</w:t>
      </w:r>
    </w:p>
    <w:bookmarkStart w:id="265" w:name="h1-15"/>
    <w:p>
      <w:pPr>
        <w:pStyle w:val="Heading3"/>
      </w:pPr>
      <w:r>
        <w:t xml:space="preserve">H1</w:t>
      </w:r>
    </w:p>
    <w:p>
      <w:pPr>
        <w:pStyle w:val="FirstParagraph"/>
      </w:pPr>
      <w:r>
        <w:t xml:space="preserve">Start-Up Visa &amp; Business Immigration Consultant in Brampton</w:t>
      </w:r>
    </w:p>
    <w:bookmarkEnd w:id="265"/>
    <w:bookmarkStart w:id="266" w:name="Xda1a748412e288504f2a27fab82bf1c664156e0"/>
    <w:p>
      <w:pPr>
        <w:pStyle w:val="Heading3"/>
      </w:pPr>
      <w:r>
        <w:t xml:space="preserve">Intro (target:</w:t>
      </w:r>
      <w:r>
        <w:t xml:space="preserve"> </w:t>
      </w:r>
      <w:r>
        <w:t xml:space="preserve">“</w:t>
      </w:r>
      <w:r>
        <w:t xml:space="preserve">Start-Up Visa consultant Brampton</w:t>
      </w:r>
      <w:r>
        <w:t xml:space="preserve">”</w:t>
      </w:r>
      <w:r>
        <w:t xml:space="preserve">,</w:t>
      </w:r>
      <w:r>
        <w:t xml:space="preserve"> </w:t>
      </w:r>
      <w:r>
        <w:t xml:space="preserve">“</w:t>
      </w:r>
      <w:r>
        <w:t xml:space="preserve">business immigration Ontario</w:t>
      </w:r>
      <w:r>
        <w:t xml:space="preserve">”</w:t>
      </w:r>
      <w:r>
        <w:t xml:space="preserve">)</w:t>
      </w:r>
    </w:p>
    <w:p>
      <w:pPr>
        <w:pStyle w:val="FirstParagraph"/>
      </w:pPr>
      <w:r>
        <w:t xml:space="preserve">Business immigration to Canada runs through several distinct programs, each with a different route to permanent residence, different capital requirements, and different timelines. Our Brampton office works with founders, investors and self-employed applicants to determine whether the federal Start-Up Visa, the Self-Employed Persons Program, or a provincial entrepreneur stream fits their business and their timeline — and builds the file around whichever route actually applies.</w:t>
      </w:r>
    </w:p>
    <w:bookmarkEnd w:id="266"/>
    <w:bookmarkStart w:id="267" w:name="h2-start-up-visa-program"/>
    <w:p>
      <w:pPr>
        <w:pStyle w:val="Heading3"/>
      </w:pPr>
      <w:r>
        <w:t xml:space="preserve">H2: Start-Up Visa Program</w:t>
      </w:r>
    </w:p>
    <w:p>
      <w:pPr>
        <w:pStyle w:val="FirstParagraph"/>
      </w:pPr>
      <w:r>
        <w:t xml:space="preserve">A federal program for founders with an innovative business idea who secure a letter of support from a designated venture capital fund, angel investor group, or business incubator. Successful applicants and their essential team members can receive permanent residence directly, alongside a temporary work permit to begin operating the business in Canada while the PR application processes.</w:t>
      </w:r>
    </w:p>
    <w:bookmarkEnd w:id="267"/>
    <w:bookmarkStart w:id="268" w:name="h2-self-employed-persons-program"/>
    <w:p>
      <w:pPr>
        <w:pStyle w:val="Heading3"/>
      </w:pPr>
      <w:r>
        <w:t xml:space="preserve">H2: Self-Employed Persons Program</w:t>
      </w:r>
    </w:p>
    <w:p>
      <w:pPr>
        <w:pStyle w:val="FirstParagraph"/>
      </w:pPr>
      <w:r>
        <w:t xml:space="preserve">For applicants with relevant experience in cultural activities or athletics who intend to be self-employed in Canada, assessed on experience and intent to make a significant contribution to Canadian cultural or athletic life — a distinct route that doesn’t require a designated organization’s support.</w:t>
      </w:r>
    </w:p>
    <w:bookmarkEnd w:id="268"/>
    <w:bookmarkStart w:id="269" w:name="h2-provincial-entrepreneur-streams"/>
    <w:p>
      <w:pPr>
        <w:pStyle w:val="Heading3"/>
      </w:pPr>
      <w:r>
        <w:t xml:space="preserve">H2: Provincial entrepreneur streams</w:t>
      </w:r>
    </w:p>
    <w:p>
      <w:pPr>
        <w:pStyle w:val="FirstParagraph"/>
      </w:pPr>
      <w:r>
        <w:t xml:space="preserve">Several provinces run their own entrepreneur immigration streams — including Ontario’s OINP Entrepreneur Stream — typically requiring a minimum investment and a business plan projecting job creation within that province. These usually begin with a work permit while the business is established, with permanent residence eligibility following once performance conditions are met.</w:t>
      </w:r>
    </w:p>
    <w:bookmarkEnd w:id="269"/>
    <w:bookmarkStart w:id="270" w:name="X4fcd183dc5013dc455f20ad2bbc95dcb70c116d"/>
    <w:p>
      <w:pPr>
        <w:pStyle w:val="Heading3"/>
      </w:pPr>
      <w:r>
        <w:t xml:space="preserve">H2: Why business immigration files need specific strategy</w:t>
      </w:r>
    </w:p>
    <w:p>
      <w:pPr>
        <w:pStyle w:val="FirstParagraph"/>
      </w:pPr>
      <w:r>
        <w:t xml:space="preserve">Officers assess business immigration applications on the credibility and viability of the actual business plan — not just capital availability. A generic plan, or one that doesn’t match the applicant’s demonstrated industry experience, is one of the more common reasons these files stall. We build the plan and supporting evidence around what the specific program’s assessment criteria require.</w:t>
      </w:r>
    </w:p>
    <w:bookmarkEnd w:id="270"/>
    <w:bookmarkStart w:id="271" w:name="h2-our-business-immigration-process"/>
    <w:p>
      <w:pPr>
        <w:pStyle w:val="Heading3"/>
      </w:pPr>
      <w:r>
        <w:t xml:space="preserve">H2: Our business immigration process</w:t>
      </w:r>
    </w:p>
    <w:p>
      <w:pPr>
        <w:numPr>
          <w:ilvl w:val="0"/>
          <w:numId w:val="1024"/>
        </w:numPr>
        <w:pStyle w:val="Compact"/>
      </w:pPr>
      <w:r>
        <w:rPr>
          <w:bCs/>
          <w:b/>
        </w:rPr>
        <w:t xml:space="preserve">Program fit review</w:t>
      </w:r>
      <w:r>
        <w:t xml:space="preserve"> </w:t>
      </w:r>
      <w:r>
        <w:t xml:space="preserve">— Start-Up Visa vs. Self-Employed vs. provincial entrepreneur stream.</w:t>
      </w:r>
    </w:p>
    <w:p>
      <w:pPr>
        <w:numPr>
          <w:ilvl w:val="0"/>
          <w:numId w:val="1024"/>
        </w:numPr>
        <w:pStyle w:val="Compact"/>
      </w:pPr>
      <w:r>
        <w:rPr>
          <w:bCs/>
          <w:b/>
        </w:rPr>
        <w:t xml:space="preserve">Designated organization or provincial application coordination</w:t>
      </w:r>
      <w:r>
        <w:t xml:space="preserve"> </w:t>
      </w:r>
      <w:r>
        <w:t xml:space="preserve">— where applicable.</w:t>
      </w:r>
    </w:p>
    <w:p>
      <w:pPr>
        <w:numPr>
          <w:ilvl w:val="0"/>
          <w:numId w:val="1024"/>
        </w:numPr>
        <w:pStyle w:val="Compact"/>
      </w:pPr>
      <w:r>
        <w:rPr>
          <w:bCs/>
          <w:b/>
        </w:rPr>
        <w:t xml:space="preserve">Business plan and evidence preparation</w:t>
      </w:r>
      <w:r>
        <w:t xml:space="preserve"> </w:t>
      </w:r>
      <w:r>
        <w:t xml:space="preserve">— tailored to the assessing body’s criteria.</w:t>
      </w:r>
    </w:p>
    <w:p>
      <w:pPr>
        <w:numPr>
          <w:ilvl w:val="0"/>
          <w:numId w:val="1024"/>
        </w:numPr>
        <w:pStyle w:val="Compact"/>
      </w:pPr>
      <w:r>
        <w:rPr>
          <w:bCs/>
          <w:b/>
        </w:rPr>
        <w:t xml:space="preserve">Filing and work permit coordination</w:t>
      </w:r>
      <w:r>
        <w:t xml:space="preserve"> </w:t>
      </w:r>
      <w:r>
        <w:t xml:space="preserve">— through to PR eligibility.</w:t>
      </w:r>
    </w:p>
    <w:bookmarkEnd w:id="271"/>
    <w:bookmarkStart w:id="272" w:name="h2-related-pathways-10"/>
    <w:p>
      <w:pPr>
        <w:pStyle w:val="Heading3"/>
      </w:pPr>
      <w:r>
        <w:t xml:space="preserve">H2: Related pathways</w:t>
      </w:r>
    </w:p>
    <w:p>
      <w:pPr>
        <w:pStyle w:val="FirstParagraph"/>
      </w:pPr>
      <w:r>
        <w:t xml:space="preserve">Building a team to bring with you? See</w:t>
      </w:r>
      <w:r>
        <w:t xml:space="preserve"> </w:t>
      </w:r>
      <w:hyperlink r:id="rId28">
        <w:r>
          <w:rPr>
            <w:rStyle w:val="Hyperlink"/>
          </w:rPr>
          <w:t xml:space="preserve">work permits</w:t>
        </w:r>
      </w:hyperlink>
      <w:r>
        <w:t xml:space="preserve"> </w:t>
      </w:r>
      <w:r>
        <w:t xml:space="preserve">for key personnel. Looking at Ontario’s entrepreneur stream specifically? Review</w:t>
      </w:r>
      <w:r>
        <w:t xml:space="preserve"> </w:t>
      </w:r>
      <w:hyperlink r:id="rId27">
        <w:r>
          <w:rPr>
            <w:rStyle w:val="Hyperlink"/>
          </w:rPr>
          <w:t xml:space="preserve">Provincial Nominee Programs</w:t>
        </w:r>
      </w:hyperlink>
      <w:r>
        <w:t xml:space="preserve">.</w:t>
      </w:r>
    </w:p>
    <w:bookmarkEnd w:id="272"/>
    <w:bookmarkStart w:id="273" w:name="faq-14"/>
    <w:p>
      <w:pPr>
        <w:pStyle w:val="Heading3"/>
      </w:pPr>
      <w:r>
        <w:t xml:space="preserve">FAQ</w:t>
      </w:r>
    </w:p>
    <w:p>
      <w:pPr>
        <w:pStyle w:val="FirstParagraph"/>
      </w:pPr>
      <w:r>
        <w:rPr>
          <w:bCs/>
          <w:b/>
        </w:rPr>
        <w:t xml:space="preserve">Do I need a designated organization for the Start-Up Visa?</w:t>
      </w:r>
      <w:r>
        <w:t xml:space="preserve"> </w:t>
      </w:r>
      <w:r>
        <w:t xml:space="preserve">Yes — a letter of support from a designated venture capital fund, angel investor group, or business incubator is required, alongside language and settlement fund requirements.</w:t>
      </w:r>
    </w:p>
    <w:p>
      <w:pPr>
        <w:pStyle w:val="BodyText"/>
      </w:pPr>
      <w:r>
        <w:rPr>
          <w:bCs/>
          <w:b/>
        </w:rPr>
        <w:t xml:space="preserve">What’s the difference between Start-Up Visa and a provincial entrepreneur stream?</w:t>
      </w:r>
      <w:r>
        <w:t xml:space="preserve"> </w:t>
      </w:r>
      <w:r>
        <w:t xml:space="preserve">Start-Up Visa is federal and leads directly to PR; provincial streams typically require investment and job creation within that province, usually starting with a work permit before PR eligibility.</w:t>
      </w:r>
    </w:p>
    <w:p>
      <w:pPr>
        <w:pStyle w:val="BodyText"/>
      </w:pPr>
      <w:r>
        <w:rPr>
          <w:bCs/>
          <w:b/>
        </w:rPr>
        <w:t xml:space="preserve">Can I qualify as self-employed without designated-organization support?</w:t>
      </w:r>
      <w:r>
        <w:t xml:space="preserve"> </w:t>
      </w:r>
      <w:r>
        <w:t xml:space="preserve">Yes — the Self-Employed Persons Program is a separate federal route for applicants with relevant cultural or athletic experience, with no designated-organization requirement.</w:t>
      </w:r>
    </w:p>
    <w:bookmarkEnd w:id="273"/>
    <w:bookmarkStart w:id="274" w:name="cta-block-14"/>
    <w:p>
      <w:pPr>
        <w:pStyle w:val="Heading3"/>
      </w:pPr>
      <w:r>
        <w:t xml:space="preserve">CTA block</w:t>
      </w:r>
    </w:p>
    <w:p>
      <w:pPr>
        <w:pStyle w:val="FirstParagraph"/>
      </w:pPr>
      <w:r>
        <w:t xml:space="preserve">Find out which business immigration route fits your plan.</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274"/>
    <w:bookmarkEnd w:id="275"/>
    <w:bookmarkEnd w:id="276"/>
    <w:bookmarkStart w:id="277" w:name="page-immigrationpgwp"/>
    <w:p>
      <w:pPr>
        <w:pStyle w:val="Heading1"/>
      </w:pPr>
      <w:r>
        <w:t xml:space="preserve">PAGE: /immigration/pgwp</w:t>
      </w:r>
    </w:p>
    <w:bookmarkEnd w:id="277"/>
    <w:bookmarkStart w:id="291" w:name="menu-location-work-study-pgwp"/>
    <w:p>
      <w:pPr>
        <w:pStyle w:val="Heading1"/>
      </w:pPr>
      <w:r>
        <w:t xml:space="preserve">Menu location: Work &amp; Study → PGWP</w:t>
      </w:r>
    </w:p>
    <w:p>
      <w:r>
        <w:pict>
          <v:rect style="width:0;height:1.5pt" o:hralign="center" o:hrstd="t" o:hr="t"/>
        </w:pict>
      </w:r>
    </w:p>
    <w:bookmarkStart w:id="279" w:name="meta-tags-16"/>
    <w:p>
      <w:pPr>
        <w:pStyle w:val="Heading2"/>
      </w:pPr>
      <w:r>
        <w:t xml:space="preserve">META TAGS</w:t>
      </w:r>
    </w:p>
    <w:p>
      <w:pPr>
        <w:pStyle w:val="SourceCode"/>
      </w:pPr>
      <w:r>
        <w:rPr>
          <w:rStyle w:val="VerbatimChar"/>
        </w:rPr>
        <w:t xml:space="preserve">title: PGWP Consultant Brampton | Post-Graduation Work Permit Eligibility | CMG</w:t>
      </w:r>
      <w:r>
        <w:br/>
      </w:r>
      <w:r>
        <w:rPr>
          <w:rStyle w:val="VerbatimChar"/>
        </w:rPr>
        <w:t xml:space="preserve">meta-description: Licensed RCIC guidance on Post-Graduation Work Permit eligibility, program length rules &amp; PGWP-to-PR planning. Brampton office serving GTA international graduates.</w:t>
      </w:r>
      <w:r>
        <w:br/>
      </w:r>
      <w:r>
        <w:rPr>
          <w:rStyle w:val="VerbatimChar"/>
        </w:rPr>
        <w:t xml:space="preserve">canonical: https://commonwealthmigration.ca/immigration/pgwp</w:t>
      </w:r>
      <w:r>
        <w:br/>
      </w:r>
      <w:r>
        <w:rPr>
          <w:rStyle w:val="VerbatimChar"/>
        </w:rPr>
        <w:t xml:space="preserve">meta-keywords: PGWP consultant Brampton, post graduation work permit Ontario, PGWP eligibility Canada, PGWP length rules, PGWP to PR pathway</w:t>
      </w:r>
      <w:r>
        <w:br/>
      </w:r>
      <w:r>
        <w:rPr>
          <w:rStyle w:val="VerbatimChar"/>
        </w:rPr>
        <w:t xml:space="preserve">meta-og:title: PGWP Consultant Brampton | Post-Graduation Work Permit Eligibility</w:t>
      </w:r>
      <w:r>
        <w:br/>
      </w:r>
      <w:r>
        <w:rPr>
          <w:rStyle w:val="VerbatimChar"/>
        </w:rPr>
        <w:t xml:space="preserve">meta-og:description: PGWP eligibility, program length rules, and PGWP-to-PR planning for international graduates — licensed RCIC guidance from Brampton.</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https://commonwealthmigration.ca/immigration/pgwp</w:t>
      </w:r>
      <w:r>
        <w:br/>
      </w:r>
      <w:r>
        <w:rPr>
          <w:rStyle w:val="VerbatimChar"/>
        </w:rPr>
        <w:t xml:space="preserve">meta-theme-color: #C8102E</w:t>
      </w:r>
    </w:p>
    <w:bookmarkStart w:id="278" w:name="json-ld-11"/>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long can a PGWP be, and what determines the length?"</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"PGWP length is generally tied to the length of the study program completed, up to a maximum of three years, and depends on the program's duration and whether it meets current field-of-study and institution eligibility criteria."</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 I apply for a PGWP if I studied online or took a leave of absence?"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"Eligibility depends on how much of the program was completed online versus in Canada, and whether any leave of absence was authorized by the institution and falls within permitted limits — both can affect PGWP length or eligibility entirely."</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"Does a PGWP guarantee I can later apply for permanent residence?"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"No — a PGWP is a temporary work permit. It creates the Canadian work experience that can qualify you for Canadian Experience Class under Express Entry or certain provincial nominee streams, but permanent residence still requires a separate, successful application."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78"/>
    <w:bookmarkEnd w:id="279"/>
    <w:bookmarkStart w:id="290" w:name="page-content-16"/>
    <w:p>
      <w:pPr>
        <w:pStyle w:val="Heading2"/>
      </w:pPr>
      <w:r>
        <w:t xml:space="preserve">PAGE CONTENT</w:t>
      </w:r>
    </w:p>
    <w:bookmarkStart w:id="280" w:name="h1-16"/>
    <w:p>
      <w:pPr>
        <w:pStyle w:val="Heading3"/>
      </w:pPr>
      <w:r>
        <w:t xml:space="preserve">H1</w:t>
      </w:r>
    </w:p>
    <w:p>
      <w:pPr>
        <w:pStyle w:val="FirstParagraph"/>
      </w:pPr>
      <w:r>
        <w:t xml:space="preserve">PGWP Consultant in Brampton — Post-Graduation Work Permit Eligibility &amp; Planning</w:t>
      </w:r>
    </w:p>
    <w:bookmarkEnd w:id="280"/>
    <w:bookmarkStart w:id="281" w:name="X161ec07fe3b306bc24ae0832bf1c41ef5766363"/>
    <w:p>
      <w:pPr>
        <w:pStyle w:val="Heading3"/>
      </w:pPr>
      <w:r>
        <w:t xml:space="preserve">Intro (target:</w:t>
      </w:r>
      <w:r>
        <w:t xml:space="preserve"> </w:t>
      </w:r>
      <w:r>
        <w:t xml:space="preserve">“</w:t>
      </w:r>
      <w:r>
        <w:t xml:space="preserve">PGWP consultant Brampton</w:t>
      </w:r>
      <w:r>
        <w:t xml:space="preserve">”</w:t>
      </w:r>
      <w:r>
        <w:t xml:space="preserve">,</w:t>
      </w:r>
      <w:r>
        <w:t xml:space="preserve"> </w:t>
      </w:r>
      <w:r>
        <w:t xml:space="preserve">“</w:t>
      </w:r>
      <w:r>
        <w:t xml:space="preserve">post graduation work permit Ontario</w:t>
      </w:r>
      <w:r>
        <w:t xml:space="preserve">”</w:t>
      </w:r>
      <w:r>
        <w:t xml:space="preserve">)</w:t>
      </w:r>
    </w:p>
    <w:p>
      <w:pPr>
        <w:pStyle w:val="FirstParagraph"/>
      </w:pPr>
      <w:r>
        <w:t xml:space="preserve">The Post-Graduation Work Permit (PGWP) is what turns a Canadian credential into Canadian work experience — and Canadian work experience is what makes Canadian Experience Class one of the fastest routes to permanent residence. Our Brampton office works with international graduates from GTA colleges and universities to confirm PGWP eligibility before graduation, not after a refusal, since eligibility gaps are far easier to fix while still enrolled.</w:t>
      </w:r>
    </w:p>
    <w:bookmarkEnd w:id="281"/>
    <w:bookmarkStart w:id="282" w:name="h2-what-determines-pgwp-eligibility"/>
    <w:p>
      <w:pPr>
        <w:pStyle w:val="Heading3"/>
      </w:pPr>
      <w:r>
        <w:t xml:space="preserve">H2: What determines PGWP eligibility</w:t>
      </w:r>
    </w:p>
    <w:p>
      <w:pPr>
        <w:numPr>
          <w:ilvl w:val="0"/>
          <w:numId w:val="1025"/>
        </w:numPr>
        <w:pStyle w:val="Compact"/>
      </w:pPr>
      <w:r>
        <w:rPr>
          <w:bCs/>
          <w:b/>
        </w:rPr>
        <w:t xml:space="preserve">Institution eligibility</w:t>
      </w:r>
      <w:r>
        <w:t xml:space="preserve"> </w:t>
      </w:r>
      <w:r>
        <w:t xml:space="preserve">— the designated learning institution (DLI) must be PGWP-eligible; not all DLIs qualify.</w:t>
      </w:r>
    </w:p>
    <w:p>
      <w:pPr>
        <w:numPr>
          <w:ilvl w:val="0"/>
          <w:numId w:val="1025"/>
        </w:numPr>
        <w:pStyle w:val="Compact"/>
      </w:pPr>
      <w:r>
        <w:rPr>
          <w:bCs/>
          <w:b/>
        </w:rPr>
        <w:t xml:space="preserve">Program length and type</w:t>
      </w:r>
      <w:r>
        <w:t xml:space="preserve"> </w:t>
      </w:r>
      <w:r>
        <w:t xml:space="preserve">— programs must generally be at least eight months long, at an eligible credential level.</w:t>
      </w:r>
    </w:p>
    <w:p>
      <w:pPr>
        <w:numPr>
          <w:ilvl w:val="0"/>
          <w:numId w:val="1025"/>
        </w:numPr>
        <w:pStyle w:val="Compact"/>
      </w:pPr>
      <w:r>
        <w:rPr>
          <w:bCs/>
          <w:b/>
        </w:rPr>
        <w:t xml:space="preserve">Continuous full-time enrolment</w:t>
      </w:r>
      <w:r>
        <w:t xml:space="preserve"> </w:t>
      </w:r>
      <w:r>
        <w:t xml:space="preserve">— with limited exceptions for authorized leave and final-semester part-time study.</w:t>
      </w:r>
    </w:p>
    <w:p>
      <w:pPr>
        <w:numPr>
          <w:ilvl w:val="0"/>
          <w:numId w:val="1025"/>
        </w:numPr>
        <w:pStyle w:val="Compact"/>
      </w:pPr>
      <w:r>
        <w:rPr>
          <w:bCs/>
          <w:b/>
        </w:rPr>
        <w:t xml:space="preserve">Online study limits</w:t>
      </w:r>
      <w:r>
        <w:t xml:space="preserve"> </w:t>
      </w:r>
      <w:r>
        <w:t xml:space="preserve">— a portion of the program may need to have been completed in Canada, depending on when it was studied and current transitional rules.</w:t>
      </w:r>
    </w:p>
    <w:p>
      <w:pPr>
        <w:numPr>
          <w:ilvl w:val="0"/>
          <w:numId w:val="1025"/>
        </w:numPr>
        <w:pStyle w:val="Compact"/>
      </w:pPr>
      <w:r>
        <w:rPr>
          <w:bCs/>
          <w:b/>
        </w:rPr>
        <w:t xml:space="preserve">Application timing</w:t>
      </w:r>
      <w:r>
        <w:t xml:space="preserve"> </w:t>
      </w:r>
      <w:r>
        <w:t xml:space="preserve">— PGWP applications must generally be submitted within 180 days of receiving final marks confirming program completion.</w:t>
      </w:r>
    </w:p>
    <w:bookmarkEnd w:id="282"/>
    <w:bookmarkStart w:id="283" w:name="h2-how-pgwp-length-is-calculated"/>
    <w:p>
      <w:pPr>
        <w:pStyle w:val="Heading3"/>
      </w:pPr>
      <w:r>
        <w:t xml:space="preserve">H2: How PGWP length is calculated</w:t>
      </w:r>
    </w:p>
    <w:p>
      <w:pPr>
        <w:pStyle w:val="FirstParagraph"/>
      </w:pPr>
      <w:r>
        <w:t xml:space="preserve">Permit length is generally tied to the length of the study program, up to a maximum of three years, though shorter programs (eight months to under two years) typically receive a PGWP matching the program length. Confirming this before your final semester lets you plan realistically for the Canadian work experience window you’ll actually have.</w:t>
      </w:r>
    </w:p>
    <w:bookmarkEnd w:id="283"/>
    <w:bookmarkStart w:id="284" w:name="h2-pgwp-as-a-pathway-not-an-endpoint"/>
    <w:p>
      <w:pPr>
        <w:pStyle w:val="Heading3"/>
      </w:pPr>
      <w:r>
        <w:t xml:space="preserve">H2: PGWP as a pathway, not an endpoint</w:t>
      </w:r>
    </w:p>
    <w:p>
      <w:pPr>
        <w:pStyle w:val="FirstParagraph"/>
      </w:pPr>
      <w:r>
        <w:t xml:space="preserve">A PGWP is temporary. What matters for permanent residence is the skilled Canadian work experience gained during that permit — generally at least one year — which can qualify for Canadian Experience Class under Express Entry, or support certain OINP streams for international graduates working in Ontario. Planning your job search and NOC classification during the PGWP window is where most of our post-graduation clients need the most guidance.</w:t>
      </w:r>
    </w:p>
    <w:bookmarkEnd w:id="284"/>
    <w:bookmarkStart w:id="285" w:name="h2-why-gta-graduates-work-with-us"/>
    <w:p>
      <w:pPr>
        <w:pStyle w:val="Heading3"/>
      </w:pPr>
      <w:r>
        <w:t xml:space="preserve">H2: Why GTA graduates work with us</w:t>
      </w:r>
    </w:p>
    <w:p>
      <w:pPr>
        <w:pStyle w:val="FirstParagraph"/>
      </w:pPr>
      <w:r>
        <w:t xml:space="preserve">Brampton and the wider GTA host a large concentration of international students at Ontario colleges and universities. Program eligibility, DLI status, and online-study transitional rules have shifted multiple times in recent years — confirming your specific program and enrolment history against current rules avoids a PGWP application that gets refused for a technicality that could have been caught earlier.</w:t>
      </w:r>
    </w:p>
    <w:bookmarkEnd w:id="285"/>
    <w:bookmarkStart w:id="286" w:name="h2-our-pgwp-process"/>
    <w:p>
      <w:pPr>
        <w:pStyle w:val="Heading3"/>
      </w:pPr>
      <w:r>
        <w:t xml:space="preserve">H2: Our PGWP process</w:t>
      </w:r>
    </w:p>
    <w:p>
      <w:pPr>
        <w:numPr>
          <w:ilvl w:val="0"/>
          <w:numId w:val="1026"/>
        </w:numPr>
        <w:pStyle w:val="Compact"/>
      </w:pPr>
      <w:r>
        <w:rPr>
          <w:bCs/>
          <w:b/>
        </w:rPr>
        <w:t xml:space="preserve">Eligibility confirmation</w:t>
      </w:r>
      <w:r>
        <w:t xml:space="preserve"> </w:t>
      </w:r>
      <w:r>
        <w:t xml:space="preserve">— DLI, program length, and enrolment history reviewed before your final semester.</w:t>
      </w:r>
    </w:p>
    <w:p>
      <w:pPr>
        <w:numPr>
          <w:ilvl w:val="0"/>
          <w:numId w:val="1026"/>
        </w:numPr>
        <w:pStyle w:val="Compact"/>
      </w:pPr>
      <w:r>
        <w:rPr>
          <w:bCs/>
          <w:b/>
        </w:rPr>
        <w:t xml:space="preserve">Application timing strategy</w:t>
      </w:r>
      <w:r>
        <w:t xml:space="preserve"> </w:t>
      </w:r>
      <w:r>
        <w:t xml:space="preserve">— filing within the 180-day window with a complete document package.</w:t>
      </w:r>
    </w:p>
    <w:p>
      <w:pPr>
        <w:numPr>
          <w:ilvl w:val="0"/>
          <w:numId w:val="1026"/>
        </w:numPr>
        <w:pStyle w:val="Compact"/>
      </w:pPr>
      <w:r>
        <w:rPr>
          <w:bCs/>
          <w:b/>
        </w:rPr>
        <w:t xml:space="preserve">Post-approval planning</w:t>
      </w:r>
      <w:r>
        <w:t xml:space="preserve"> </w:t>
      </w:r>
      <w:r>
        <w:t xml:space="preserve">— structuring your job search toward Canadian Experience Class or a relevant OINP stream.</w:t>
      </w:r>
    </w:p>
    <w:p>
      <w:pPr>
        <w:numPr>
          <w:ilvl w:val="0"/>
          <w:numId w:val="1026"/>
        </w:numPr>
        <w:pStyle w:val="Compact"/>
      </w:pPr>
      <w:r>
        <w:rPr>
          <w:bCs/>
          <w:b/>
        </w:rPr>
        <w:t xml:space="preserve">Refusal response</w:t>
      </w:r>
      <w:r>
        <w:t xml:space="preserve"> </w:t>
      </w:r>
      <w:r>
        <w:t xml:space="preserve">— if a PGWP is refused, reviewing the specific eligibility gap and next options.</w:t>
      </w:r>
    </w:p>
    <w:bookmarkEnd w:id="286"/>
    <w:bookmarkStart w:id="287" w:name="h2-related-pathways-11"/>
    <w:p>
      <w:pPr>
        <w:pStyle w:val="Heading3"/>
      </w:pPr>
      <w:r>
        <w:t xml:space="preserve">H2: Related pathways</w:t>
      </w:r>
    </w:p>
    <w:p>
      <w:pPr>
        <w:pStyle w:val="FirstParagraph"/>
      </w:pPr>
      <w:r>
        <w:t xml:space="preserve">Already working under a PGWP and building CRS eligibility? See</w:t>
      </w:r>
      <w:r>
        <w:t xml:space="preserve"> </w:t>
      </w:r>
      <w:hyperlink r:id="rId26">
        <w:r>
          <w:rPr>
            <w:rStyle w:val="Hyperlink"/>
          </w:rPr>
          <w:t xml:space="preserve">Express Entry</w:t>
        </w:r>
      </w:hyperlink>
      <w:r>
        <w:t xml:space="preserve">. Studying now and want to plan ahead? Review</w:t>
      </w:r>
      <w:r>
        <w:t xml:space="preserve"> </w:t>
      </w:r>
      <w:hyperlink r:id="rId29">
        <w:r>
          <w:rPr>
            <w:rStyle w:val="Hyperlink"/>
          </w:rPr>
          <w:t xml:space="preserve">Study Permits</w:t>
        </w:r>
      </w:hyperlink>
      <w:r>
        <w:t xml:space="preserve">.</w:t>
      </w:r>
    </w:p>
    <w:bookmarkEnd w:id="287"/>
    <w:bookmarkStart w:id="288" w:name="faq-15"/>
    <w:p>
      <w:pPr>
        <w:pStyle w:val="Heading3"/>
      </w:pPr>
      <w:r>
        <w:t xml:space="preserve">FAQ</w:t>
      </w:r>
    </w:p>
    <w:p>
      <w:pPr>
        <w:pStyle w:val="FirstParagraph"/>
      </w:pPr>
      <w:r>
        <w:rPr>
          <w:bCs/>
          <w:b/>
        </w:rPr>
        <w:t xml:space="preserve">How long can a PGWP be?</w:t>
      </w:r>
      <w:r>
        <w:t xml:space="preserve"> </w:t>
      </w:r>
      <w:r>
        <w:t xml:space="preserve">Generally tied to your program’s length, up to a maximum of three years, depending on program duration and institution eligibility.</w:t>
      </w:r>
    </w:p>
    <w:p>
      <w:pPr>
        <w:pStyle w:val="BodyText"/>
      </w:pPr>
      <w:r>
        <w:rPr>
          <w:bCs/>
          <w:b/>
        </w:rPr>
        <w:t xml:space="preserve">Can I get a PGWP if I studied online or took a leave of absence?</w:t>
      </w:r>
      <w:r>
        <w:t xml:space="preserve"> </w:t>
      </w:r>
      <w:r>
        <w:t xml:space="preserve">It depends — the proportion of the program completed online and whether any leave was authorized within permitted limits can affect eligibility and length.</w:t>
      </w:r>
    </w:p>
    <w:p>
      <w:pPr>
        <w:pStyle w:val="BodyText"/>
      </w:pPr>
      <w:r>
        <w:rPr>
          <w:bCs/>
          <w:b/>
        </w:rPr>
        <w:t xml:space="preserve">Does a PGWP guarantee permanent residence?</w:t>
      </w:r>
      <w:r>
        <w:t xml:space="preserve"> </w:t>
      </w:r>
      <w:r>
        <w:t xml:space="preserve">No — it’s a temporary work permit. It builds the Canadian work experience that can support Canadian Experience Class or certain provincial streams, but PR still requires a separate application.</w:t>
      </w:r>
    </w:p>
    <w:bookmarkEnd w:id="288"/>
    <w:bookmarkStart w:id="289" w:name="cta-block-15"/>
    <w:p>
      <w:pPr>
        <w:pStyle w:val="Heading3"/>
      </w:pPr>
      <w:r>
        <w:t xml:space="preserve">CTA block</w:t>
      </w:r>
    </w:p>
    <w:p>
      <w:pPr>
        <w:pStyle w:val="FirstParagraph"/>
      </w:pPr>
      <w:r>
        <w:t xml:space="preserve">Confirm your PGWP eligibility before your final semester.</w:t>
      </w:r>
      <w:r>
        <w:t xml:space="preserve"> </w:t>
      </w:r>
      <w:hyperlink r:id="rId65">
        <w:r>
          <w:rPr>
            <w:rStyle w:val="Hyperlink"/>
          </w:rPr>
          <w:t xml:space="preserve">Book a Consultation</w:t>
        </w:r>
      </w:hyperlink>
      <w:r>
        <w:t xml:space="preserve"> </w:t>
      </w:r>
      <w:r>
        <w:t xml:space="preserve">·</w:t>
      </w:r>
      <w:r>
        <w:t xml:space="preserve"> </w:t>
      </w:r>
      <w:hyperlink r:id="rId42">
        <w:r>
          <w:rPr>
            <w:rStyle w:val="Hyperlink"/>
          </w:rPr>
          <w:t xml:space="preserve">Document Checklist</w:t>
        </w:r>
      </w:hyperlink>
    </w:p>
    <w:p>
      <w:r>
        <w:br w:type="page"/>
      </w:r>
    </w:p>
    <w:bookmarkEnd w:id="289"/>
    <w:bookmarkEnd w:id="290"/>
    <w:bookmarkEnd w:id="291"/>
    <w:bookmarkStart w:id="292" w:name="page-immigrationvisitor-visa"/>
    <w:p>
      <w:pPr>
        <w:pStyle w:val="Heading1"/>
      </w:pPr>
      <w:r>
        <w:t xml:space="preserve">PAGE: /immigration/visitor-visa</w:t>
      </w:r>
    </w:p>
    <w:bookmarkEnd w:id="292"/>
    <w:bookmarkStart w:id="307" w:name="X87242e6c3a5330e468015c25156f15190455046"/>
    <w:p>
      <w:pPr>
        <w:pStyle w:val="Heading1"/>
      </w:pPr>
      <w:r>
        <w:t xml:space="preserve">Menu location: Work &amp; Study → Visitor Visa &amp; Super Visa</w:t>
      </w:r>
    </w:p>
    <w:p>
      <w:r>
        <w:pict>
          <v:rect style="width:0;height:1.5pt" o:hralign="center" o:hrstd="t" o:hr="t"/>
        </w:pict>
      </w:r>
    </w:p>
    <w:bookmarkStart w:id="294" w:name="meta-tags-17"/>
    <w:p>
      <w:pPr>
        <w:pStyle w:val="Heading2"/>
      </w:pPr>
      <w:r>
        <w:t xml:space="preserve">META TAGS</w:t>
      </w:r>
    </w:p>
    <w:p>
      <w:pPr>
        <w:pStyle w:val="SourceCode"/>
      </w:pPr>
      <w:r>
        <w:rPr>
          <w:rStyle w:val="VerbatimChar"/>
        </w:rPr>
        <w:t xml:space="preserve">title: Visitor Visa, eTA &amp; Super Visa Consultant Brampton | CMG</w:t>
      </w:r>
      <w:r>
        <w:br/>
      </w:r>
      <w:r>
        <w:rPr>
          <w:rStyle w:val="VerbatimChar"/>
        </w:rPr>
        <w:t xml:space="preserve">meta-description: Licensed RCIC support for TRVs, eTA, business visitors &amp; the Super Visa for parents and grandparents. Brampton office serving GTA families &amp; sponsors across Canada.</w:t>
      </w:r>
      <w:r>
        <w:br/>
      </w:r>
      <w:r>
        <w:rPr>
          <w:rStyle w:val="VerbatimChar"/>
        </w:rPr>
        <w:t xml:space="preserve">canonical: https://commonwealthmigration.ca/immigration/visitor-visa</w:t>
      </w:r>
      <w:r>
        <w:br/>
      </w:r>
      <w:r>
        <w:rPr>
          <w:rStyle w:val="VerbatimChar"/>
        </w:rPr>
        <w:t xml:space="preserve">meta-keywords: visitor visa consultant Brampton, Super Visa Ontario, eTA Canada application, parent grandparent Super Visa GTA, TRV refusal Brampton</w:t>
      </w:r>
      <w:r>
        <w:br/>
      </w:r>
      <w:r>
        <w:rPr>
          <w:rStyle w:val="VerbatimChar"/>
        </w:rPr>
        <w:t xml:space="preserve">meta-og:title: Visitor Visa, eTA &amp; Super Visa Consultant Brampton</w:t>
      </w:r>
      <w:r>
        <w:br/>
      </w:r>
      <w:r>
        <w:rPr>
          <w:rStyle w:val="VerbatimChar"/>
        </w:rPr>
        <w:t xml:space="preserve">meta-og:description: TRVs, eTA, business visitors, and the parents-and-grandparents Super Visa — licensed RCIC guidance from Brampton, serving families across Canada.</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https://commonwealthmigration.ca/immigration/visitor-visa</w:t>
      </w:r>
      <w:r>
        <w:br/>
      </w:r>
      <w:r>
        <w:rPr>
          <w:rStyle w:val="VerbatimChar"/>
        </w:rPr>
        <w:t xml:space="preserve">meta-theme-color: #C8102E</w:t>
      </w:r>
    </w:p>
    <w:bookmarkStart w:id="293" w:name="json-ld-12"/>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"What's the difference between a visitor visa (TRV) and an eTA?"</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 Temporary Resident Visa (TRV) is required for visa-required nationalities and involves a full application with supporting documents. An Electronic Travel Authorization (eTA) is a lighter online screening for visa-exempt nationalities flying to Canada, and does not require the same documentary evidence."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long can a Super Visa holder stay in Canada?"</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Super Visa allows parents and grandparents to stay in Canada for extended periods per entry — longer than a standard visitor visa — over a validity period of up to 10 years, subject to meeting the private medical insurance and other eligibility requirements."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 I need private medical insurance for a Super Visa application?"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 Super Visa applicants must show proof of Canadian private medical insurance meeting minimum coverage requirements, valid for at least one year from the date of entry, as part of the application."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93"/>
    <w:bookmarkEnd w:id="294"/>
    <w:bookmarkStart w:id="306" w:name="page-content-17"/>
    <w:p>
      <w:pPr>
        <w:pStyle w:val="Heading2"/>
      </w:pPr>
      <w:r>
        <w:t xml:space="preserve">PAGE CONTENT</w:t>
      </w:r>
    </w:p>
    <w:bookmarkStart w:id="295" w:name="h1-17"/>
    <w:p>
      <w:pPr>
        <w:pStyle w:val="Heading3"/>
      </w:pPr>
      <w:r>
        <w:t xml:space="preserve">H1</w:t>
      </w:r>
    </w:p>
    <w:p>
      <w:pPr>
        <w:pStyle w:val="FirstParagraph"/>
      </w:pPr>
      <w:r>
        <w:t xml:space="preserve">Visitor Visa, eTA &amp; Super Visa Consultant in Brampton</w:t>
      </w:r>
    </w:p>
    <w:bookmarkEnd w:id="295"/>
    <w:bookmarkStart w:id="296" w:name="X7c701efd7c810a48208018eb57844f6d5754b9d"/>
    <w:p>
      <w:pPr>
        <w:pStyle w:val="Heading3"/>
      </w:pPr>
      <w:r>
        <w:t xml:space="preserve">Intro (target:</w:t>
      </w:r>
      <w:r>
        <w:t xml:space="preserve"> </w:t>
      </w:r>
      <w:r>
        <w:t xml:space="preserve">“</w:t>
      </w:r>
      <w:r>
        <w:t xml:space="preserve">visitor visa consultant Brampton</w:t>
      </w:r>
      <w:r>
        <w:t xml:space="preserve">”</w:t>
      </w:r>
      <w:r>
        <w:t xml:space="preserve">,</w:t>
      </w:r>
      <w:r>
        <w:t xml:space="preserve"> </w:t>
      </w:r>
      <w:r>
        <w:t xml:space="preserve">“</w:t>
      </w:r>
      <w:r>
        <w:t xml:space="preserve">Super Visa Ontario</w:t>
      </w:r>
      <w:r>
        <w:t xml:space="preserve">”</w:t>
      </w:r>
      <w:r>
        <w:t xml:space="preserve">)</w:t>
      </w:r>
    </w:p>
    <w:p>
      <w:pPr>
        <w:pStyle w:val="FirstParagraph"/>
      </w:pPr>
      <w:r>
        <w:t xml:space="preserve">Temporary entry to Canada covers several distinct categories — visitor visas, eTAs, business visitor status, and the Super Visa for parents and grandparents — each with its own eligibility criteria and a different bar for what an officer needs to see. Our Brampton office regularly supports GTA families sponsoring a Super Visa for parents or grandparents, alongside standard visitor visa applications and refusal responses.</w:t>
      </w:r>
    </w:p>
    <w:bookmarkEnd w:id="296"/>
    <w:bookmarkStart w:id="297" w:name="h2-temporary-resident-visa-trv"/>
    <w:p>
      <w:pPr>
        <w:pStyle w:val="Heading3"/>
      </w:pPr>
      <w:r>
        <w:t xml:space="preserve">H2: Temporary Resident Visa (TRV)</w:t>
      </w:r>
    </w:p>
    <w:p>
      <w:pPr>
        <w:pStyle w:val="FirstParagraph"/>
      </w:pPr>
      <w:r>
        <w:t xml:space="preserve">Required for visa-required nationalities visiting Canada. Officers assess ties to the home country, purpose and duration of the visit, and sufficiency of funds — the same factors most often cited in a refusal, which is why we build the supporting evidence around exactly what the officer needs to see rather than a generic cover letter.</w:t>
      </w:r>
    </w:p>
    <w:bookmarkEnd w:id="297"/>
    <w:bookmarkStart w:id="298" w:name="h2-electronic-travel-authorization-eta"/>
    <w:p>
      <w:pPr>
        <w:pStyle w:val="Heading3"/>
      </w:pPr>
      <w:r>
        <w:t xml:space="preserve">H2: Electronic Travel Authorization (eTA)</w:t>
      </w:r>
    </w:p>
    <w:p>
      <w:pPr>
        <w:pStyle w:val="FirstParagraph"/>
      </w:pPr>
      <w:r>
        <w:t xml:space="preserve">A lighter online screening for visa-exempt nationalities flying to Canada. While most eTAs process quickly, some are flagged for additional review — we assist with resolving flagged applications and any follow-up documentation requested.</w:t>
      </w:r>
    </w:p>
    <w:bookmarkEnd w:id="298"/>
    <w:bookmarkStart w:id="299" w:name="h2-business-visitors"/>
    <w:p>
      <w:pPr>
        <w:pStyle w:val="Heading3"/>
      </w:pPr>
      <w:r>
        <w:t xml:space="preserve">H2: Business visitors</w:t>
      </w:r>
    </w:p>
    <w:p>
      <w:pPr>
        <w:pStyle w:val="FirstParagraph"/>
      </w:pPr>
      <w:r>
        <w:t xml:space="preserve">For individuals attending meetings, conferences, or short-term business activities in Canada without entering the Canadian labour market. Distinguishing genuine business visitor activity from work requiring a permit is a common area of confusion we help employers and applicants navigate correctly.</w:t>
      </w:r>
    </w:p>
    <w:bookmarkEnd w:id="299"/>
    <w:bookmarkStart w:id="300" w:name="h2-super-visa-parents-grandparents"/>
    <w:p>
      <w:pPr>
        <w:pStyle w:val="Heading3"/>
      </w:pPr>
      <w:r>
        <w:t xml:space="preserve">H2: Super Visa — parents &amp; grandparents</w:t>
      </w:r>
    </w:p>
    <w:p>
      <w:pPr>
        <w:pStyle w:val="FirstParagraph"/>
      </w:pPr>
      <w:r>
        <w:t xml:space="preserve">The Super Visa allows parents and grandparents of Canadian citizens or permanent residents to visit for extended periods over a validity of up to 10 years — a longer-stay alternative to a standard visitor visa or the Parents and Grandparents Program (PGP) sponsorship lottery. It requires proof of the relationship, a formal invitation letter, sufficient income from the host, and private Canadian medical insurance meeting minimum coverage requirements.</w:t>
      </w:r>
    </w:p>
    <w:bookmarkEnd w:id="300"/>
    <w:bookmarkStart w:id="301" w:name="Xc21ef80fce6b6dd076b7f5d125b1aeb9d271447"/>
    <w:p>
      <w:pPr>
        <w:pStyle w:val="Heading3"/>
      </w:pPr>
      <w:r>
        <w:t xml:space="preserve">H2: Why GTA families come to us for Super Visa applications</w:t>
      </w:r>
    </w:p>
    <w:p>
      <w:pPr>
        <w:pStyle w:val="FirstParagraph"/>
      </w:pPr>
      <w:r>
        <w:t xml:space="preserve">Brampton and the wider GTA have one of Canada’s largest populations of families sponsoring parents and grandparents for extended visits while awaiting a PGP invitation — or as an alternative to it. Getting the invitation letter, income documentation, and insurance proof right the first time avoids the delay of a refusal-and-reapply cycle for a visit that’s often time-sensitive.</w:t>
      </w:r>
    </w:p>
    <w:bookmarkEnd w:id="301"/>
    <w:bookmarkStart w:id="302" w:name="h2-our-temporary-entry-process"/>
    <w:p>
      <w:pPr>
        <w:pStyle w:val="Heading3"/>
      </w:pPr>
      <w:r>
        <w:t xml:space="preserve">H2: Our temporary entry process</w:t>
      </w:r>
    </w:p>
    <w:p>
      <w:pPr>
        <w:numPr>
          <w:ilvl w:val="0"/>
          <w:numId w:val="1027"/>
        </w:numPr>
        <w:pStyle w:val="Compact"/>
      </w:pPr>
      <w:r>
        <w:rPr>
          <w:bCs/>
          <w:b/>
        </w:rPr>
        <w:t xml:space="preserve">Category confirmation</w:t>
      </w:r>
      <w:r>
        <w:t xml:space="preserve"> </w:t>
      </w:r>
      <w:r>
        <w:t xml:space="preserve">— TRV, eTA, business visitor, or Super Visa eligibility review.</w:t>
      </w:r>
    </w:p>
    <w:p>
      <w:pPr>
        <w:numPr>
          <w:ilvl w:val="0"/>
          <w:numId w:val="1027"/>
        </w:numPr>
        <w:pStyle w:val="Compact"/>
      </w:pPr>
      <w:r>
        <w:rPr>
          <w:bCs/>
          <w:b/>
        </w:rPr>
        <w:t xml:space="preserve">Evidence preparation</w:t>
      </w:r>
      <w:r>
        <w:t xml:space="preserve"> </w:t>
      </w:r>
      <w:r>
        <w:t xml:space="preserve">— ties, funds, invitation letter, or insurance documentation specific to the category.</w:t>
      </w:r>
    </w:p>
    <w:p>
      <w:pPr>
        <w:numPr>
          <w:ilvl w:val="0"/>
          <w:numId w:val="1027"/>
        </w:numPr>
        <w:pStyle w:val="Compact"/>
      </w:pPr>
      <w:r>
        <w:rPr>
          <w:bCs/>
          <w:b/>
        </w:rPr>
        <w:t xml:space="preserve">Filing and monitoring</w:t>
      </w:r>
      <w:r>
        <w:t xml:space="preserve"> </w:t>
      </w:r>
      <w:r>
        <w:t xml:space="preserve">— application submitted and tracked through to decision.</w:t>
      </w:r>
    </w:p>
    <w:p>
      <w:pPr>
        <w:numPr>
          <w:ilvl w:val="0"/>
          <w:numId w:val="1027"/>
        </w:numPr>
        <w:pStyle w:val="Compact"/>
      </w:pPr>
      <w:r>
        <w:rPr>
          <w:bCs/>
          <w:b/>
        </w:rPr>
        <w:t xml:space="preserve">Refusal response</w:t>
      </w:r>
      <w:r>
        <w:t xml:space="preserve"> </w:t>
      </w:r>
      <w:r>
        <w:t xml:space="preserve">— reapplication strategy if a visitor application is refused.</w:t>
      </w:r>
    </w:p>
    <w:bookmarkEnd w:id="302"/>
    <w:bookmarkStart w:id="303" w:name="h2-related-pathways-12"/>
    <w:p>
      <w:pPr>
        <w:pStyle w:val="Heading3"/>
      </w:pPr>
      <w:r>
        <w:t xml:space="preserve">H2: Related pathways</w:t>
      </w:r>
    </w:p>
    <w:p>
      <w:pPr>
        <w:pStyle w:val="FirstParagraph"/>
      </w:pPr>
      <w:r>
        <w:t xml:space="preserve">Refused a visitor visa or Super Visa? See our</w:t>
      </w:r>
      <w:r>
        <w:t xml:space="preserve"> </w:t>
      </w:r>
      <w:hyperlink r:id="rId31">
        <w:r>
          <w:rPr>
            <w:rStyle w:val="Hyperlink"/>
          </w:rPr>
          <w:t xml:space="preserve">refusals and procedural fairness guide</w:t>
        </w:r>
      </w:hyperlink>
      <w:r>
        <w:t xml:space="preserve">. Considering PGP sponsorship instead of or alongside a Super Visa? Review</w:t>
      </w:r>
      <w:r>
        <w:t xml:space="preserve"> </w:t>
      </w:r>
      <w:hyperlink r:id="rId30">
        <w:r>
          <w:rPr>
            <w:rStyle w:val="Hyperlink"/>
          </w:rPr>
          <w:t xml:space="preserve">Family Sponsorship</w:t>
        </w:r>
      </w:hyperlink>
      <w:r>
        <w:t xml:space="preserve">.</w:t>
      </w:r>
    </w:p>
    <w:bookmarkEnd w:id="303"/>
    <w:bookmarkStart w:id="304" w:name="faq-16"/>
    <w:p>
      <w:pPr>
        <w:pStyle w:val="Heading3"/>
      </w:pPr>
      <w:r>
        <w:t xml:space="preserve">FAQ</w:t>
      </w:r>
    </w:p>
    <w:p>
      <w:pPr>
        <w:pStyle w:val="FirstParagraph"/>
      </w:pPr>
      <w:r>
        <w:rPr>
          <w:bCs/>
          <w:b/>
        </w:rPr>
        <w:t xml:space="preserve">What’s the difference between a TRV and an eTA?</w:t>
      </w:r>
      <w:r>
        <w:t xml:space="preserve"> </w:t>
      </w:r>
      <w:r>
        <w:t xml:space="preserve">A TRV is a full visa application for visa-required nationalities; an eTA is a lighter online screening for visa-exempt travelers flying to Canada.</w:t>
      </w:r>
    </w:p>
    <w:p>
      <w:pPr>
        <w:pStyle w:val="BodyText"/>
      </w:pPr>
      <w:r>
        <w:rPr>
          <w:bCs/>
          <w:b/>
        </w:rPr>
        <w:t xml:space="preserve">How long can a Super Visa holder stay?</w:t>
      </w:r>
      <w:r>
        <w:t xml:space="preserve"> </w:t>
      </w:r>
      <w:r>
        <w:t xml:space="preserve">Super Visa holders can stay for extended periods per entry over a validity of up to 10 years, subject to meeting insurance and other requirements.</w:t>
      </w:r>
    </w:p>
    <w:p>
      <w:pPr>
        <w:pStyle w:val="BodyText"/>
      </w:pPr>
      <w:r>
        <w:rPr>
          <w:bCs/>
          <w:b/>
        </w:rPr>
        <w:t xml:space="preserve">Do I need private medical insurance for a Super Visa?</w:t>
      </w:r>
      <w:r>
        <w:t xml:space="preserve"> </w:t>
      </w:r>
      <w:r>
        <w:t xml:space="preserve">Yes — proof of Canadian private medical insurance meeting minimum coverage requirements, valid for at least one year from entry, is required.</w:t>
      </w:r>
    </w:p>
    <w:bookmarkEnd w:id="304"/>
    <w:bookmarkStart w:id="305" w:name="cta-block-16"/>
    <w:p>
      <w:pPr>
        <w:pStyle w:val="Heading3"/>
      </w:pPr>
      <w:r>
        <w:t xml:space="preserve">CTA block</w:t>
      </w:r>
    </w:p>
    <w:p>
      <w:pPr>
        <w:pStyle w:val="FirstParagraph"/>
      </w:pPr>
      <w:r>
        <w:t xml:space="preserve">Get your visitor or Super Visa application reviewed before you file.</w:t>
      </w:r>
      <w:r>
        <w:t xml:space="preserve"> </w:t>
      </w:r>
      <w:hyperlink r:id="rId65">
        <w:r>
          <w:rPr>
            <w:rStyle w:val="Hyperlink"/>
          </w:rPr>
          <w:t xml:space="preserve">Book a Consultation</w:t>
        </w:r>
      </w:hyperlink>
      <w:r>
        <w:t xml:space="preserve"> </w:t>
      </w:r>
      <w:r>
        <w:t xml:space="preserve">·</w:t>
      </w:r>
      <w:r>
        <w:t xml:space="preserve"> </w:t>
      </w:r>
      <w:hyperlink r:id="rId42">
        <w:r>
          <w:rPr>
            <w:rStyle w:val="Hyperlink"/>
          </w:rPr>
          <w:t xml:space="preserve">Document Checklist</w:t>
        </w:r>
      </w:hyperlink>
    </w:p>
    <w:p>
      <w:r>
        <w:br w:type="page"/>
      </w:r>
    </w:p>
    <w:bookmarkEnd w:id="305"/>
    <w:bookmarkEnd w:id="306"/>
    <w:bookmarkEnd w:id="307"/>
    <w:bookmarkStart w:id="308" w:name="page-tools"/>
    <w:p>
      <w:pPr>
        <w:pStyle w:val="Heading1"/>
      </w:pPr>
      <w:r>
        <w:t xml:space="preserve">PAGE: /tools</w:t>
      </w:r>
    </w:p>
    <w:bookmarkEnd w:id="308"/>
    <w:bookmarkStart w:id="320" w:name="menu-location-tools-resources-hub"/>
    <w:p>
      <w:pPr>
        <w:pStyle w:val="Heading1"/>
      </w:pPr>
      <w:r>
        <w:t xml:space="preserve">Menu location: Tools &amp; Resources (hub)</w:t>
      </w:r>
    </w:p>
    <w:p>
      <w:r>
        <w:pict>
          <v:rect style="width:0;height:1.5pt" o:hralign="center" o:hrstd="t" o:hr="t"/>
        </w:pict>
      </w:r>
    </w:p>
    <w:bookmarkStart w:id="310" w:name="meta-tags-18"/>
    <w:p>
      <w:pPr>
        <w:pStyle w:val="Heading2"/>
      </w:pPr>
      <w:r>
        <w:t xml:space="preserve">META TAGS</w:t>
      </w:r>
    </w:p>
    <w:p>
      <w:pPr>
        <w:pStyle w:val="SourceCode"/>
      </w:pPr>
      <w:r>
        <w:rPr>
          <w:rStyle w:val="VerbatimChar"/>
        </w:rPr>
        <w:t xml:space="preserve">title: Free Immigration Tools &amp; Calculators | CRS, PNP, NOC | Brampton RCIC</w:t>
      </w:r>
      <w:r>
        <w:br/>
      </w:r>
      <w:r>
        <w:rPr>
          <w:rStyle w:val="VerbatimChar"/>
        </w:rPr>
        <w:t xml:space="preserve">meta-description: Free CRS calculator, PNP eligibility check, NOC finder, document checklist &amp; assessment tool — built by a licensed RCIC in Brampton for applicants across Canada.</w:t>
      </w:r>
      <w:r>
        <w:br/>
      </w:r>
      <w:r>
        <w:rPr>
          <w:rStyle w:val="VerbatimChar"/>
        </w:rPr>
        <w:t xml:space="preserve">canonical: https://commonwealthmigration.ca/tools</w:t>
      </w:r>
      <w:r>
        <w:br/>
      </w:r>
      <w:r>
        <w:rPr>
          <w:rStyle w:val="VerbatimChar"/>
        </w:rPr>
        <w:t xml:space="preserve">meta-keywords: free CRS calculator Canada, PNP eligibility tool Ontario, NOC finder Canada, immigration document checklist, free immigration assessment Brampton</w:t>
      </w:r>
      <w:r>
        <w:br/>
      </w:r>
      <w:r>
        <w:rPr>
          <w:rStyle w:val="VerbatimChar"/>
        </w:rPr>
        <w:t xml:space="preserve">meta-og:title: Free Immigration Tools &amp; Calculators | CRS, PNP, NOC</w:t>
      </w:r>
      <w:r>
        <w:br/>
      </w:r>
      <w:r>
        <w:rPr>
          <w:rStyle w:val="VerbatimChar"/>
        </w:rPr>
        <w:t xml:space="preserve">meta-og:description: Free, RCIC-built tools to check your CRS score, PNP eligibility, NOC code, and document readiness before you file or pay for help.</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https://commonwealthmigration.ca/tools</w:t>
      </w:r>
      <w:r>
        <w:br/>
      </w:r>
      <w:r>
        <w:rPr>
          <w:rStyle w:val="VerbatimChar"/>
        </w:rPr>
        <w:t xml:space="preserve">meta-theme-color: #C8102E</w:t>
      </w:r>
    </w:p>
    <w:bookmarkStart w:id="309" w:name="json-ld-13"/>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"ItemList"</w:t>
      </w:r>
      <w:r>
        <w:rPr>
          <w:rStyle w:val="FunctionTok"/>
        </w:rPr>
        <w:t xml:space="preserve">,</w:t>
      </w:r>
      <w:r>
        <w:br/>
      </w:r>
      <w:r>
        <w:rPr>
          <w:rStyle w:val="NormalTok"/>
        </w:rPr>
        <w:t xml:space="preserve">  </w:t>
      </w:r>
      <w:r>
        <w:rPr>
          <w:rStyle w:val="DataTypeTok"/>
        </w:rPr>
        <w:t xml:space="preserve">"itemListElement"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"CRS Calculator"</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"https://commonwealthmigration.ca/tools/crs-calculator"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"PNP Eligibility Check"</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"https://commonwealthmigration.ca/tools/pnp-eligibility"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"NOC / Occupation Finder"</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"https://commonwealthmigration.ca/tools/noc-finder"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"Document Checklist"</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"https://commonwealthmigration.ca/tools/document-checklist"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"Free Assessment"</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"https://commonwealthmigration.ca/tools/free-assessment"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09"/>
    <w:bookmarkEnd w:id="310"/>
    <w:bookmarkStart w:id="319" w:name="page-content-18"/>
    <w:p>
      <w:pPr>
        <w:pStyle w:val="Heading2"/>
      </w:pPr>
      <w:r>
        <w:t xml:space="preserve">PAGE CONTENT</w:t>
      </w:r>
    </w:p>
    <w:bookmarkStart w:id="311" w:name="h1-18"/>
    <w:p>
      <w:pPr>
        <w:pStyle w:val="Heading3"/>
      </w:pPr>
      <w:r>
        <w:t xml:space="preserve">H1</w:t>
      </w:r>
    </w:p>
    <w:p>
      <w:pPr>
        <w:pStyle w:val="FirstParagraph"/>
      </w:pPr>
      <w:r>
        <w:t xml:space="preserve">Free Immigration Tools — Check Your Numbers Before You Pay for Help</w:t>
      </w:r>
    </w:p>
    <w:bookmarkEnd w:id="311"/>
    <w:bookmarkStart w:id="312" w:name="X45a15a093f4f7d23246eb0d66fb65481fa67a27"/>
    <w:p>
      <w:pPr>
        <w:pStyle w:val="Heading3"/>
      </w:pPr>
      <w:r>
        <w:t xml:space="preserve">Intro (target:</w:t>
      </w:r>
      <w:r>
        <w:t xml:space="preserve"> </w:t>
      </w:r>
      <w:r>
        <w:t xml:space="preserve">“</w:t>
      </w:r>
      <w:r>
        <w:t xml:space="preserve">free CRS calculator Canada</w:t>
      </w:r>
      <w:r>
        <w:t xml:space="preserve">”</w:t>
      </w:r>
      <w:r>
        <w:t xml:space="preserve">,</w:t>
      </w:r>
      <w:r>
        <w:t xml:space="preserve"> </w:t>
      </w:r>
      <w:r>
        <w:t xml:space="preserve">“</w:t>
      </w:r>
      <w:r>
        <w:t xml:space="preserve">immigration tools Ontario</w:t>
      </w:r>
      <w:r>
        <w:t xml:space="preserve">”</w:t>
      </w:r>
      <w:r>
        <w:t xml:space="preserve">)</w:t>
      </w:r>
    </w:p>
    <w:p>
      <w:pPr>
        <w:pStyle w:val="FirstParagraph"/>
      </w:pPr>
      <w:r>
        <w:t xml:space="preserve">Before retaining a consultant or paying government filing fees, it helps to know where you actually stand. These five tools, built and maintained by our licensed RCIC team in Brampton, give applicants across Canada a free, no-obligation starting point — then point you toward the specific guide or consultation that fits your result.</w:t>
      </w:r>
    </w:p>
    <w:bookmarkEnd w:id="312"/>
    <w:bookmarkStart w:id="313" w:name="h2-whats-here"/>
    <w:p>
      <w:pPr>
        <w:pStyle w:val="Heading3"/>
      </w:pPr>
      <w:r>
        <w:t xml:space="preserve">H2: What’s here</w:t>
      </w:r>
    </w:p>
    <w:p>
      <w:pPr>
        <w:numPr>
          <w:ilvl w:val="0"/>
          <w:numId w:val="1028"/>
        </w:numPr>
        <w:pStyle w:val="Compact"/>
      </w:pPr>
      <w:hyperlink r:id="rId39">
        <w:r>
          <w:rPr>
            <w:rStyle w:val="Hyperlink"/>
            <w:bCs/>
            <w:b/>
          </w:rPr>
          <w:t xml:space="preserve">CRS Calculator</w:t>
        </w:r>
      </w:hyperlink>
      <w:r>
        <w:t xml:space="preserve"> </w:t>
      </w:r>
      <w:r>
        <w:t xml:space="preserve">— see your Express Entry Comprehensive Ranking System score in seconds.</w:t>
      </w:r>
    </w:p>
    <w:p>
      <w:pPr>
        <w:numPr>
          <w:ilvl w:val="0"/>
          <w:numId w:val="1028"/>
        </w:numPr>
        <w:pStyle w:val="Compact"/>
      </w:pPr>
      <w:hyperlink r:id="rId40">
        <w:r>
          <w:rPr>
            <w:rStyle w:val="Hyperlink"/>
            <w:bCs/>
            <w:b/>
          </w:rPr>
          <w:t xml:space="preserve">PNP Eligibility Check</w:t>
        </w:r>
      </w:hyperlink>
      <w:r>
        <w:t xml:space="preserve"> </w:t>
      </w:r>
      <w:r>
        <w:t xml:space="preserve">— surface which provincial nominee streams your profile may fit, with an Ontario-first view.</w:t>
      </w:r>
    </w:p>
    <w:p>
      <w:pPr>
        <w:numPr>
          <w:ilvl w:val="0"/>
          <w:numId w:val="1028"/>
        </w:numPr>
        <w:pStyle w:val="Compact"/>
      </w:pPr>
      <w:hyperlink r:id="rId41">
        <w:r>
          <w:rPr>
            <w:rStyle w:val="Hyperlink"/>
            <w:bCs/>
            <w:b/>
          </w:rPr>
          <w:t xml:space="preserve">NOC / Occupation Finder</w:t>
        </w:r>
      </w:hyperlink>
      <w:r>
        <w:t xml:space="preserve"> </w:t>
      </w:r>
      <w:r>
        <w:t xml:space="preserve">— find the correct National Occupational Classification code for your work experience.</w:t>
      </w:r>
    </w:p>
    <w:p>
      <w:pPr>
        <w:numPr>
          <w:ilvl w:val="0"/>
          <w:numId w:val="1028"/>
        </w:numPr>
        <w:pStyle w:val="Compact"/>
      </w:pPr>
      <w:hyperlink r:id="rId42">
        <w:r>
          <w:rPr>
            <w:rStyle w:val="Hyperlink"/>
            <w:bCs/>
            <w:b/>
          </w:rPr>
          <w:t xml:space="preserve">Document Checklist</w:t>
        </w:r>
      </w:hyperlink>
      <w:r>
        <w:t xml:space="preserve"> </w:t>
      </w:r>
      <w:r>
        <w:t xml:space="preserve">— a category-specific list of documents most applications require.</w:t>
      </w:r>
    </w:p>
    <w:p>
      <w:pPr>
        <w:numPr>
          <w:ilvl w:val="0"/>
          <w:numId w:val="1028"/>
        </w:numPr>
        <w:pStyle w:val="Compact"/>
      </w:pPr>
      <w:hyperlink r:id="rId43">
        <w:r>
          <w:rPr>
            <w:rStyle w:val="Hyperlink"/>
            <w:bCs/>
            <w:b/>
          </w:rPr>
          <w:t xml:space="preserve">Free Assessment</w:t>
        </w:r>
      </w:hyperlink>
      <w:r>
        <w:t xml:space="preserve"> </w:t>
      </w:r>
      <w:r>
        <w:t xml:space="preserve">— a broader eligibility snapshot across federal, provincial, work, study and visitor routes.</w:t>
      </w:r>
    </w:p>
    <w:bookmarkEnd w:id="313"/>
    <w:bookmarkStart w:id="314" w:name="h2-why-we-built-these-as-free-tools"/>
    <w:p>
      <w:pPr>
        <w:pStyle w:val="Heading3"/>
      </w:pPr>
      <w:r>
        <w:t xml:space="preserve">H2: Why we built these as free tools</w:t>
      </w:r>
    </w:p>
    <w:p>
      <w:pPr>
        <w:pStyle w:val="FirstParagraph"/>
      </w:pPr>
      <w:r>
        <w:t xml:space="preserve">Self-serve numbers — a CRS score, a rough PNP fit, the right NOC code — are things every applicant deserves to check before spending money on filing fees or professional help. What a free tool can’t tell you is strategy: how to raise a specific score, which stream to prioritize when you qualify for several, or how to build evidence around a prior refusal. That’s where a consultation with a licensed RCIC picks up from where the tool leaves off.</w:t>
      </w:r>
    </w:p>
    <w:bookmarkEnd w:id="314"/>
    <w:bookmarkStart w:id="315" w:name="X2cdb2a443033a9c619fcdf80185f65112506637"/>
    <w:p>
      <w:pPr>
        <w:pStyle w:val="Heading3"/>
      </w:pPr>
      <w:r>
        <w:t xml:space="preserve">H2: How Brampton &amp; GTA applicants use these tools</w:t>
      </w:r>
    </w:p>
    <w:p>
      <w:pPr>
        <w:pStyle w:val="FirstParagraph"/>
      </w:pPr>
      <w:r>
        <w:t xml:space="preserve">These calculators are aligned with the same program criteria our Brampton-based consultants use in paid strategy sessions — so your free result and a future consultation start from the same numbers, not two different assessments.</w:t>
      </w:r>
    </w:p>
    <w:bookmarkEnd w:id="315"/>
    <w:bookmarkStart w:id="316" w:name="h2-related-pages-4"/>
    <w:p>
      <w:pPr>
        <w:pStyle w:val="Heading3"/>
      </w:pPr>
      <w:r>
        <w:t xml:space="preserve">H2: Related pages</w:t>
      </w:r>
    </w:p>
    <w:p>
      <w:pPr>
        <w:pStyle w:val="FirstParagraph"/>
      </w:pPr>
      <w:r>
        <w:t xml:space="preserve">Not sure which tool applies to you? Start with the</w:t>
      </w:r>
      <w:r>
        <w:t xml:space="preserve"> </w:t>
      </w:r>
      <w:hyperlink r:id="rId43">
        <w:r>
          <w:rPr>
            <w:rStyle w:val="Hyperlink"/>
          </w:rPr>
          <w:t xml:space="preserve">Free Assessment</w:t>
        </w:r>
      </w:hyperlink>
      <w:r>
        <w:t xml:space="preserve">, or</w:t>
      </w:r>
      <w:r>
        <w:t xml:space="preserve"> </w:t>
      </w:r>
      <w:hyperlink r:id="rId65">
        <w:r>
          <w:rPr>
            <w:rStyle w:val="Hyperlink"/>
          </w:rPr>
          <w:t xml:space="preserve">book a consultation</w:t>
        </w:r>
      </w:hyperlink>
      <w:r>
        <w:t xml:space="preserve"> </w:t>
      </w:r>
      <w:r>
        <w:t xml:space="preserve">directly if your situation involves a prior refusal or an employer-sponsored file.</w:t>
      </w:r>
    </w:p>
    <w:bookmarkEnd w:id="316"/>
    <w:bookmarkStart w:id="317" w:name="faq-17"/>
    <w:p>
      <w:pPr>
        <w:pStyle w:val="Heading3"/>
      </w:pPr>
      <w:r>
        <w:t xml:space="preserve">FAQ</w:t>
      </w:r>
    </w:p>
    <w:p>
      <w:pPr>
        <w:pStyle w:val="FirstParagraph"/>
      </w:pPr>
      <w:r>
        <w:rPr>
          <w:bCs/>
          <w:b/>
        </w:rPr>
        <w:t xml:space="preserve">Are these tools really free?</w:t>
      </w:r>
      <w:r>
        <w:t xml:space="preserve"> </w:t>
      </w:r>
      <w:r>
        <w:t xml:space="preserve">Yes — no sign-up is required for the calculators, and an optional email is only needed if you want your results saved or followed up on.</w:t>
      </w:r>
    </w:p>
    <w:p>
      <w:pPr>
        <w:pStyle w:val="BodyText"/>
      </w:pPr>
      <w:r>
        <w:rPr>
          <w:bCs/>
          <w:b/>
        </w:rPr>
        <w:t xml:space="preserve">Do these tools replace a consultation with a licensed RCIC?</w:t>
      </w:r>
      <w:r>
        <w:t xml:space="preserve"> </w:t>
      </w:r>
      <w:r>
        <w:t xml:space="preserve">No — they give you a starting number or eligibility snapshot. Strategy — how to improve a score, which stream to prioritize, or how to handle a prior refusal — requires a consultation.</w:t>
      </w:r>
    </w:p>
    <w:p>
      <w:pPr>
        <w:pStyle w:val="BodyText"/>
      </w:pPr>
      <w:r>
        <w:rPr>
          <w:bCs/>
          <w:b/>
        </w:rPr>
        <w:t xml:space="preserve">Which tool should I start with?</w:t>
      </w:r>
      <w:r>
        <w:t xml:space="preserve"> </w:t>
      </w:r>
      <w:r>
        <w:t xml:space="preserve">If you’re not sure, start with the Free Assessment — it points you to the more specific calculator (CRS, PNP, or NOC) based on your situation.</w:t>
      </w:r>
    </w:p>
    <w:bookmarkEnd w:id="317"/>
    <w:bookmarkStart w:id="318" w:name="cta-block-17"/>
    <w:p>
      <w:pPr>
        <w:pStyle w:val="Heading3"/>
      </w:pPr>
      <w:r>
        <w:t xml:space="preserve">CTA block</w:t>
      </w:r>
    </w:p>
    <w:p>
      <w:pPr>
        <w:pStyle w:val="FirstParagraph"/>
      </w:pPr>
      <w:r>
        <w:t xml:space="preserve">Check your numbers, then talk strategy.</w:t>
      </w:r>
      <w:r>
        <w:t xml:space="preserve"> </w:t>
      </w:r>
      <w:hyperlink r:id="rId43">
        <w:r>
          <w:rPr>
            <w:rStyle w:val="Hyperlink"/>
          </w:rPr>
          <w:t xml:space="preserve">Free Assessment</w:t>
        </w:r>
      </w:hyperlink>
      <w:r>
        <w:t xml:space="preserve"> </w:t>
      </w:r>
      <w:r>
        <w:t xml:space="preserve">·</w:t>
      </w:r>
      <w:r>
        <w:t xml:space="preserve"> </w:t>
      </w:r>
      <w:hyperlink r:id="rId65">
        <w:r>
          <w:rPr>
            <w:rStyle w:val="Hyperlink"/>
          </w:rPr>
          <w:t xml:space="preserve">Book a Consultation</w:t>
        </w:r>
      </w:hyperlink>
    </w:p>
    <w:p>
      <w:r>
        <w:br w:type="page"/>
      </w:r>
    </w:p>
    <w:bookmarkEnd w:id="318"/>
    <w:bookmarkEnd w:id="319"/>
    <w:bookmarkEnd w:id="320"/>
    <w:bookmarkStart w:id="321" w:name="page-toolscrs-calculator"/>
    <w:p>
      <w:pPr>
        <w:pStyle w:val="Heading1"/>
      </w:pPr>
      <w:r>
        <w:t xml:space="preserve">PAGE: /tools/crs-calculator</w:t>
      </w:r>
    </w:p>
    <w:bookmarkEnd w:id="321"/>
    <w:bookmarkStart w:id="333" w:name="menu-location-tools-crs-calculator"/>
    <w:p>
      <w:pPr>
        <w:pStyle w:val="Heading1"/>
      </w:pPr>
      <w:r>
        <w:t xml:space="preserve">Menu location: Tools → CRS Calculator</w:t>
      </w:r>
    </w:p>
    <w:p>
      <w:r>
        <w:pict>
          <v:rect style="width:0;height:1.5pt" o:hralign="center" o:hrstd="t" o:hr="t"/>
        </w:pict>
      </w:r>
    </w:p>
    <w:bookmarkStart w:id="323" w:name="meta-tags-19"/>
    <w:p>
      <w:pPr>
        <w:pStyle w:val="Heading2"/>
      </w:pPr>
      <w:r>
        <w:t xml:space="preserve">META TAGS</w:t>
      </w:r>
    </w:p>
    <w:p>
      <w:pPr>
        <w:pStyle w:val="SourceCode"/>
      </w:pPr>
      <w:r>
        <w:rPr>
          <w:rStyle w:val="VerbatimChar"/>
        </w:rPr>
        <w:t xml:space="preserve">title: Free CRS Calculator 2026 | Express Entry Score | Brampton RCIC</w:t>
      </w:r>
      <w:r>
        <w:br/>
      </w:r>
      <w:r>
        <w:rPr>
          <w:rStyle w:val="VerbatimChar"/>
        </w:rPr>
        <w:t xml:space="preserve">meta-description: Calculate your Express Entry Comprehensive Ranking System (CRS) score free — built by a licensed RCIC in Brampton. No sign-up required, results in seconds.</w:t>
      </w:r>
      <w:r>
        <w:br/>
      </w:r>
      <w:r>
        <w:rPr>
          <w:rStyle w:val="VerbatimChar"/>
        </w:rPr>
        <w:t xml:space="preserve">canonical: https://commonwealthmigration.ca/tools/crs-calculator</w:t>
      </w:r>
      <w:r>
        <w:br/>
      </w:r>
      <w:r>
        <w:rPr>
          <w:rStyle w:val="VerbatimChar"/>
        </w:rPr>
        <w:t xml:space="preserve">meta-keywords: CRS calculator 2026, free CRS score Canada, Express Entry points calculator, CRS calculator Brampton, comprehensive ranking system tool</w:t>
      </w:r>
      <w:r>
        <w:br/>
      </w:r>
      <w:r>
        <w:rPr>
          <w:rStyle w:val="VerbatimChar"/>
        </w:rPr>
        <w:t xml:space="preserve">meta-og:title: Free CRS Calculator 2026 | Express Entry Score</w:t>
      </w:r>
      <w:r>
        <w:br/>
      </w:r>
      <w:r>
        <w:rPr>
          <w:rStyle w:val="VerbatimChar"/>
        </w:rPr>
        <w:t xml:space="preserve">meta-og:description: Calculate your Express Entry CRS score free — no sign-up required, built by a licensed RCIC in Brampton.</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https://commonwealthmigration.ca/tools/crs-calculator</w:t>
      </w:r>
      <w:r>
        <w:br/>
      </w:r>
      <w:r>
        <w:rPr>
          <w:rStyle w:val="VerbatimChar"/>
        </w:rPr>
        <w:t xml:space="preserve">meta-theme-color: #C8102E</w:t>
      </w:r>
    </w:p>
    <w:bookmarkStart w:id="322" w:name="json-ld-14"/>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a good CRS score for Express Entry in 2026?"</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"There's no fixed 'good' score — it depends on the draw type. General draws have historically required higher scores than category-based draws, so a competitive score changes based on which pool you're compared against."</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factors go into the CRS score?"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"Core human capital factors (age, education, official language ability, Canadian work experience), spouse or partner factors if applicable, skill transferability combinations, and additional points for a provincial nomination, a valid job offer in certain circumstances, or Canadian education credentials."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accurate is a free online CRS calculator?"</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 well-built calculator accurately applies IRCC's published CRS grid, but the result is only as accurate as the inputs — language test conversions and education comparability (via an ECA) are the two areas applicants most often misjudge on their own."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22"/>
    <w:bookmarkEnd w:id="323"/>
    <w:bookmarkStart w:id="332" w:name="page-content-19"/>
    <w:p>
      <w:pPr>
        <w:pStyle w:val="Heading2"/>
      </w:pPr>
      <w:r>
        <w:t xml:space="preserve">PAGE CONTENT</w:t>
      </w:r>
    </w:p>
    <w:bookmarkStart w:id="324" w:name="h1-19"/>
    <w:p>
      <w:pPr>
        <w:pStyle w:val="Heading3"/>
      </w:pPr>
      <w:r>
        <w:t xml:space="preserve">H1</w:t>
      </w:r>
    </w:p>
    <w:p>
      <w:pPr>
        <w:pStyle w:val="FirstParagraph"/>
      </w:pPr>
      <w:r>
        <w:t xml:space="preserve">Free CRS Calculator — Check Your Express Entry Score</w:t>
      </w:r>
    </w:p>
    <w:bookmarkEnd w:id="324"/>
    <w:bookmarkStart w:id="325" w:name="X7403b1ecd99fc3cdde82d0fc5375d8afb370840"/>
    <w:p>
      <w:pPr>
        <w:pStyle w:val="Heading3"/>
      </w:pPr>
      <w:r>
        <w:t xml:space="preserve">Intro (target:</w:t>
      </w:r>
      <w:r>
        <w:t xml:space="preserve"> </w:t>
      </w:r>
      <w:r>
        <w:t xml:space="preserve">“</w:t>
      </w:r>
      <w:r>
        <w:t xml:space="preserve">CRS calculator 2026</w:t>
      </w:r>
      <w:r>
        <w:t xml:space="preserve">”</w:t>
      </w:r>
      <w:r>
        <w:t xml:space="preserve">,</w:t>
      </w:r>
      <w:r>
        <w:t xml:space="preserve"> </w:t>
      </w:r>
      <w:r>
        <w:t xml:space="preserve">“</w:t>
      </w:r>
      <w:r>
        <w:t xml:space="preserve">free CRS score Canada</w:t>
      </w:r>
      <w:r>
        <w:t xml:space="preserve">”</w:t>
      </w:r>
      <w:r>
        <w:t xml:space="preserve">)</w:t>
      </w:r>
    </w:p>
    <w:p>
      <w:pPr>
        <w:pStyle w:val="FirstParagraph"/>
      </w:pPr>
      <w:r>
        <w:t xml:space="preserve">Your Comprehensive Ranking System (CRS) score determines whether you receive an Invitation to Apply for permanent residence through Express Entry. This calculator, maintained by our licensed RCIC team in Brampton, applies IRCC’s current CRS grid so you can see where your profile stands in under two minutes — no sign-up required.</w:t>
      </w:r>
    </w:p>
    <w:p>
      <w:pPr>
        <w:pStyle w:val="BodyText"/>
      </w:pPr>
      <w:r>
        <w:t xml:space="preserve">[Calculator widget — age, education, language test scores (all 4 abilities), Canadian &amp; foreign work experience, spouse factors, provincial nomination, valid job offer, Canadian education, sibling in Canada]</w:t>
      </w:r>
    </w:p>
    <w:bookmarkEnd w:id="325"/>
    <w:bookmarkStart w:id="326" w:name="h2-what-the-calculator-checks"/>
    <w:p>
      <w:pPr>
        <w:pStyle w:val="Heading3"/>
      </w:pPr>
      <w:r>
        <w:t xml:space="preserve">H2: What the calculator checks</w:t>
      </w:r>
    </w:p>
    <w:p>
      <w:pPr>
        <w:numPr>
          <w:ilvl w:val="0"/>
          <w:numId w:val="1029"/>
        </w:numPr>
        <w:pStyle w:val="Compact"/>
      </w:pPr>
      <w:r>
        <w:rPr>
          <w:bCs/>
          <w:b/>
        </w:rPr>
        <w:t xml:space="preserve">Core human capital factors</w:t>
      </w:r>
      <w:r>
        <w:t xml:space="preserve"> </w:t>
      </w:r>
      <w:r>
        <w:t xml:space="preserve">— age, education level, first and second official language scores, and Canadian work experience.</w:t>
      </w:r>
    </w:p>
    <w:p>
      <w:pPr>
        <w:numPr>
          <w:ilvl w:val="0"/>
          <w:numId w:val="1029"/>
        </w:numPr>
        <w:pStyle w:val="Compact"/>
      </w:pPr>
      <w:r>
        <w:rPr>
          <w:bCs/>
          <w:b/>
        </w:rPr>
        <w:t xml:space="preserve">Spouse or common-law partner factors</w:t>
      </w:r>
      <w:r>
        <w:t xml:space="preserve"> </w:t>
      </w:r>
      <w:r>
        <w:t xml:space="preserve">— their education, language ability, and Canadian work experience, if they’re accompanying you.</w:t>
      </w:r>
    </w:p>
    <w:p>
      <w:pPr>
        <w:numPr>
          <w:ilvl w:val="0"/>
          <w:numId w:val="1029"/>
        </w:numPr>
        <w:pStyle w:val="Compact"/>
      </w:pPr>
      <w:r>
        <w:rPr>
          <w:bCs/>
          <w:b/>
        </w:rPr>
        <w:t xml:space="preserve">Skill transferability</w:t>
      </w:r>
      <w:r>
        <w:t xml:space="preserve"> </w:t>
      </w:r>
      <w:r>
        <w:t xml:space="preserve">— combinations of education and language, or education and work experience, that add additional points.</w:t>
      </w:r>
    </w:p>
    <w:p>
      <w:pPr>
        <w:numPr>
          <w:ilvl w:val="0"/>
          <w:numId w:val="1029"/>
        </w:numPr>
        <w:pStyle w:val="Compact"/>
      </w:pPr>
      <w:r>
        <w:rPr>
          <w:bCs/>
          <w:b/>
        </w:rPr>
        <w:t xml:space="preserve">Additional points</w:t>
      </w:r>
      <w:r>
        <w:t xml:space="preserve"> </w:t>
      </w:r>
      <w:r>
        <w:t xml:space="preserve">— a provincial nomination (600 points), a valid job offer in specific circumstances, Canadian study credentials, French language ability, or a sibling living in Canada.</w:t>
      </w:r>
    </w:p>
    <w:bookmarkEnd w:id="326"/>
    <w:bookmarkStart w:id="327" w:name="X1e865a958fd7cf7deef4b85a3acd0c2757ea2ad"/>
    <w:p>
      <w:pPr>
        <w:pStyle w:val="Heading3"/>
      </w:pPr>
      <w:r>
        <w:t xml:space="preserve">H2: What a high CRS score doesn’t guarantee</w:t>
      </w:r>
    </w:p>
    <w:p>
      <w:pPr>
        <w:pStyle w:val="FirstParagraph"/>
      </w:pPr>
      <w:r>
        <w:t xml:space="preserve">Meeting or exceeding a recent draw’s cut-off doesn’t guarantee an invitation in the next draw — cut-offs move with pool composition and draw type. It also doesn’t confirm program eligibility itself; a strong CRS score with an eligibility gap (a missing ECA, an expired language test) can still block your invitation from converting into a completed application.</w:t>
      </w:r>
    </w:p>
    <w:bookmarkEnd w:id="327"/>
    <w:bookmarkStart w:id="328" w:name="h2-what-to-do-with-your-result"/>
    <w:p>
      <w:pPr>
        <w:pStyle w:val="Heading3"/>
      </w:pPr>
      <w:r>
        <w:t xml:space="preserve">H2: What to do with your result</w:t>
      </w:r>
    </w:p>
    <w:p>
      <w:pPr>
        <w:pStyle w:val="FirstParagraph"/>
      </w:pPr>
      <w:r>
        <w:t xml:space="preserve">A low score isn’t necessarily a dead end — a provincial nomination, a stronger language test result, or an ECA upgrade can each move the number meaningfully. Our Brampton-based team reviews results like this daily and can tell you which lever is realistic for your specific profile.</w:t>
      </w:r>
    </w:p>
    <w:bookmarkEnd w:id="328"/>
    <w:bookmarkStart w:id="329" w:name="h2-related-tools-pages"/>
    <w:p>
      <w:pPr>
        <w:pStyle w:val="Heading3"/>
      </w:pPr>
      <w:r>
        <w:t xml:space="preserve">H2: Related tools &amp; pages</w:t>
      </w:r>
    </w:p>
    <w:p>
      <w:pPr>
        <w:pStyle w:val="FirstParagraph"/>
      </w:pPr>
      <w:r>
        <w:t xml:space="preserve">See</w:t>
      </w:r>
      <w:r>
        <w:t xml:space="preserve"> </w:t>
      </w:r>
      <w:hyperlink r:id="rId26">
        <w:r>
          <w:rPr>
            <w:rStyle w:val="Hyperlink"/>
          </w:rPr>
          <w:t xml:space="preserve">Express Entry</w:t>
        </w:r>
      </w:hyperlink>
      <w:r>
        <w:t xml:space="preserve"> </w:t>
      </w:r>
      <w:r>
        <w:t xml:space="preserve">for full program details, or check</w:t>
      </w:r>
      <w:r>
        <w:t xml:space="preserve"> </w:t>
      </w:r>
      <w:hyperlink r:id="rId40">
        <w:r>
          <w:rPr>
            <w:rStyle w:val="Hyperlink"/>
          </w:rPr>
          <w:t xml:space="preserve">PNP Eligibility</w:t>
        </w:r>
      </w:hyperlink>
      <w:r>
        <w:t xml:space="preserve"> </w:t>
      </w:r>
      <w:r>
        <w:t xml:space="preserve">for the fastest way to add 600 points through a provincial nomination.</w:t>
      </w:r>
    </w:p>
    <w:bookmarkEnd w:id="329"/>
    <w:bookmarkStart w:id="330" w:name="faq-18"/>
    <w:p>
      <w:pPr>
        <w:pStyle w:val="Heading3"/>
      </w:pPr>
      <w:r>
        <w:t xml:space="preserve">FAQ</w:t>
      </w:r>
    </w:p>
    <w:p>
      <w:pPr>
        <w:pStyle w:val="FirstParagraph"/>
      </w:pPr>
      <w:r>
        <w:rPr>
          <w:bCs/>
          <w:b/>
        </w:rPr>
        <w:t xml:space="preserve">What is a good CRS score in 2026?</w:t>
      </w:r>
      <w:r>
        <w:t xml:space="preserve"> </w:t>
      </w:r>
      <w:r>
        <w:t xml:space="preserve">There’s no fixed number — it depends on the draw type, with general draws typically requiring higher scores than category-based draws.</w:t>
      </w:r>
    </w:p>
    <w:p>
      <w:pPr>
        <w:pStyle w:val="BodyText"/>
      </w:pPr>
      <w:r>
        <w:rPr>
          <w:bCs/>
          <w:b/>
        </w:rPr>
        <w:t xml:space="preserve">What factors go into the CRS score?</w:t>
      </w:r>
      <w:r>
        <w:t xml:space="preserve"> </w:t>
      </w:r>
      <w:r>
        <w:t xml:space="preserve">Age, education, language ability, Canadian work experience, spouse factors, skill transferability, and additional points such as a provincial nomination or valid job offer.</w:t>
      </w:r>
    </w:p>
    <w:p>
      <w:pPr>
        <w:pStyle w:val="BodyText"/>
      </w:pPr>
      <w:r>
        <w:rPr>
          <w:bCs/>
          <w:b/>
        </w:rPr>
        <w:t xml:space="preserve">How accurate is this calculator?</w:t>
      </w:r>
      <w:r>
        <w:t xml:space="preserve"> </w:t>
      </w:r>
      <w:r>
        <w:t xml:space="preserve">It applies IRCC’s current CRS grid accurately; results depend on accurate inputs, particularly language test conversions and education comparability.</w:t>
      </w:r>
    </w:p>
    <w:bookmarkEnd w:id="330"/>
    <w:bookmarkStart w:id="331" w:name="cta-block-18"/>
    <w:p>
      <w:pPr>
        <w:pStyle w:val="Heading3"/>
      </w:pPr>
      <w:r>
        <w:t xml:space="preserve">CTA block</w:t>
      </w:r>
    </w:p>
    <w:p>
      <w:pPr>
        <w:pStyle w:val="FirstParagraph"/>
      </w:pPr>
      <w:r>
        <w:t xml:space="preserve">See what would move your score.</w:t>
      </w:r>
      <w:r>
        <w:t xml:space="preserve"> </w:t>
      </w:r>
      <w:hyperlink r:id="rId65">
        <w:r>
          <w:rPr>
            <w:rStyle w:val="Hyperlink"/>
          </w:rPr>
          <w:t xml:space="preserve">Book a Consultation</w:t>
        </w:r>
      </w:hyperlink>
      <w:r>
        <w:t xml:space="preserve"> </w:t>
      </w:r>
      <w:r>
        <w:t xml:space="preserve">·</w:t>
      </w:r>
      <w:r>
        <w:t xml:space="preserve"> </w:t>
      </w:r>
      <w:hyperlink r:id="rId40">
        <w:r>
          <w:rPr>
            <w:rStyle w:val="Hyperlink"/>
          </w:rPr>
          <w:t xml:space="preserve">PNP Eligibility Check</w:t>
        </w:r>
      </w:hyperlink>
    </w:p>
    <w:p>
      <w:r>
        <w:br w:type="page"/>
      </w:r>
    </w:p>
    <w:bookmarkEnd w:id="331"/>
    <w:bookmarkEnd w:id="332"/>
    <w:bookmarkEnd w:id="333"/>
    <w:bookmarkStart w:id="334" w:name="page-toolspnp-eligibility"/>
    <w:p>
      <w:pPr>
        <w:pStyle w:val="Heading1"/>
      </w:pPr>
      <w:r>
        <w:t xml:space="preserve">PAGE: /tools/pnp-eligibility</w:t>
      </w:r>
    </w:p>
    <w:bookmarkEnd w:id="334"/>
    <w:bookmarkStart w:id="346" w:name="menu-location-tools-pnp-eligibility"/>
    <w:p>
      <w:pPr>
        <w:pStyle w:val="Heading1"/>
      </w:pPr>
      <w:r>
        <w:t xml:space="preserve">Menu location: Tools → PNP Eligibility</w:t>
      </w:r>
    </w:p>
    <w:p>
      <w:r>
        <w:pict>
          <v:rect style="width:0;height:1.5pt" o:hralign="center" o:hrstd="t" o:hr="t"/>
        </w:pict>
      </w:r>
    </w:p>
    <w:bookmarkStart w:id="336" w:name="meta-tags-20"/>
    <w:p>
      <w:pPr>
        <w:pStyle w:val="Heading2"/>
      </w:pPr>
      <w:r>
        <w:t xml:space="preserve">META TAGS</w:t>
      </w:r>
    </w:p>
    <w:p>
      <w:pPr>
        <w:pStyle w:val="SourceCode"/>
      </w:pPr>
      <w:r>
        <w:rPr>
          <w:rStyle w:val="VerbatimChar"/>
        </w:rPr>
        <w:t xml:space="preserve">title: Free PNP Eligibility Check 2026 | OINP &amp; All Provinces | Brampton RCIC</w:t>
      </w:r>
      <w:r>
        <w:br/>
      </w:r>
      <w:r>
        <w:rPr>
          <w:rStyle w:val="VerbatimChar"/>
        </w:rPr>
        <w:t xml:space="preserve">meta-description: Check which provincial nominee streams you may qualify for — Ontario-first, covering all Canadian provinces. Free tool built by a licensed RCIC in Brampton.</w:t>
      </w:r>
      <w:r>
        <w:br/>
      </w:r>
      <w:r>
        <w:rPr>
          <w:rStyle w:val="VerbatimChar"/>
        </w:rPr>
        <w:t xml:space="preserve">canonical: https://commonwealthmigration.ca/tools/pnp-eligibility</w:t>
      </w:r>
      <w:r>
        <w:br/>
      </w:r>
      <w:r>
        <w:rPr>
          <w:rStyle w:val="VerbatimChar"/>
        </w:rPr>
        <w:t xml:space="preserve">meta-keywords: PNP eligibility check, OINP eligibility tool, provincial nominee calculator Canada, PNP eligibility Brampton, which PNP stream qualifies me</w:t>
      </w:r>
      <w:r>
        <w:br/>
      </w:r>
      <w:r>
        <w:rPr>
          <w:rStyle w:val="VerbatimChar"/>
        </w:rPr>
        <w:t xml:space="preserve">meta-og:title: Free PNP Eligibility Check 2026 | OINP &amp; All Provinces</w:t>
      </w:r>
      <w:r>
        <w:br/>
      </w:r>
      <w:r>
        <w:rPr>
          <w:rStyle w:val="VerbatimChar"/>
        </w:rPr>
        <w:t xml:space="preserve">meta-og:description: Free tool to check which provincial nominee streams you may qualify for, Ontario-first — built by a licensed RCIC in Brampton.</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https://commonwealthmigration.ca/tools/pnp-eligibility</w:t>
      </w:r>
      <w:r>
        <w:br/>
      </w:r>
      <w:r>
        <w:rPr>
          <w:rStyle w:val="VerbatimChar"/>
        </w:rPr>
        <w:t xml:space="preserve">meta-theme-color: #C8102E</w:t>
      </w:r>
    </w:p>
    <w:bookmarkStart w:id="335" w:name="json-ld-15"/>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 I check my eligibility for more than one province's PNP at once?"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 the tool checks your profile against multiple provincial streams simultaneously so you can compare where you have the strongest fit, though you would typically apply to only one province's stream at a time."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"Does this tool tell me my chances of receiving a Notification of Interest?"</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"It shows whether your profile meets a stream's baseline eligibility criteria, not your ranking against other candidates in that province's pool, since some PNP streams use their own point systems separate from CRS."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"Is this eligibility check specific to Ontario or does it cover other provinces?"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"It covers OINP streams in depth given our Brampton base, plus British Columbia, Alberta, Saskatchewan, Manitoba, Nova Scotia and the Atlantic Immigration Program."</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35"/>
    <w:bookmarkEnd w:id="336"/>
    <w:bookmarkStart w:id="345" w:name="page-content-20"/>
    <w:p>
      <w:pPr>
        <w:pStyle w:val="Heading2"/>
      </w:pPr>
      <w:r>
        <w:t xml:space="preserve">PAGE CONTENT</w:t>
      </w:r>
    </w:p>
    <w:bookmarkStart w:id="337" w:name="h1-20"/>
    <w:p>
      <w:pPr>
        <w:pStyle w:val="Heading3"/>
      </w:pPr>
      <w:r>
        <w:t xml:space="preserve">H1</w:t>
      </w:r>
    </w:p>
    <w:p>
      <w:pPr>
        <w:pStyle w:val="FirstParagraph"/>
      </w:pPr>
      <w:r>
        <w:t xml:space="preserve">Free PNP Eligibility Check — Ontario-First, All Provinces Covered</w:t>
      </w:r>
    </w:p>
    <w:bookmarkEnd w:id="337"/>
    <w:bookmarkStart w:id="338" w:name="Xfa79b13735cc8bacc70505d011be36bac230567"/>
    <w:p>
      <w:pPr>
        <w:pStyle w:val="Heading3"/>
      </w:pPr>
      <w:r>
        <w:t xml:space="preserve">Intro (target:</w:t>
      </w:r>
      <w:r>
        <w:t xml:space="preserve"> </w:t>
      </w:r>
      <w:r>
        <w:t xml:space="preserve">“</w:t>
      </w:r>
      <w:r>
        <w:t xml:space="preserve">PNP eligibility check</w:t>
      </w:r>
      <w:r>
        <w:t xml:space="preserve">”</w:t>
      </w:r>
      <w:r>
        <w:t xml:space="preserve">,</w:t>
      </w:r>
      <w:r>
        <w:t xml:space="preserve"> </w:t>
      </w:r>
      <w:r>
        <w:t xml:space="preserve">“</w:t>
      </w:r>
      <w:r>
        <w:t xml:space="preserve">OINP eligibility tool</w:t>
      </w:r>
      <w:r>
        <w:t xml:space="preserve">”</w:t>
      </w:r>
      <w:r>
        <w:t xml:space="preserve">)</w:t>
      </w:r>
    </w:p>
    <w:p>
      <w:pPr>
        <w:pStyle w:val="FirstParagraph"/>
      </w:pPr>
      <w:r>
        <w:t xml:space="preserve">Provincial nominee eligibility criteria vary significantly by province and stream — what qualifies for Saskatchewan’s SINP won’t necessarily fit Ontario’s OINP. This free tool, built by our Brampton-based RCIC team, checks your profile against the baseline criteria for OINP streams first, then British Columbia, Alberta, Saskatchewan, Manitoba, Nova Scotia and the Atlantic Immigration Program.</w:t>
      </w:r>
    </w:p>
    <w:p>
      <w:pPr>
        <w:pStyle w:val="BodyText"/>
      </w:pPr>
      <w:r>
        <w:t xml:space="preserve">[Tool widget — occupation/NOC, education, language scores, work experience, job offer status, connection to specific province, Express Entry profile status]</w:t>
      </w:r>
    </w:p>
    <w:bookmarkEnd w:id="338"/>
    <w:bookmarkStart w:id="339" w:name="h2-what-the-tool-checks-against"/>
    <w:p>
      <w:pPr>
        <w:pStyle w:val="Heading3"/>
      </w:pPr>
      <w:r>
        <w:t xml:space="preserve">H2: What the tool checks against</w:t>
      </w:r>
    </w:p>
    <w:p>
      <w:pPr>
        <w:numPr>
          <w:ilvl w:val="0"/>
          <w:numId w:val="1030"/>
        </w:numPr>
        <w:pStyle w:val="Compact"/>
      </w:pPr>
      <w:r>
        <w:rPr>
          <w:bCs/>
          <w:b/>
        </w:rPr>
        <w:t xml:space="preserve">Ontario (OINP)</w:t>
      </w:r>
      <w:r>
        <w:t xml:space="preserve"> </w:t>
      </w:r>
      <w:r>
        <w:t xml:space="preserve">— Human Capital Priorities, Employer Job Offer, French-Speaking Skilled Worker, and international student streams.</w:t>
      </w:r>
    </w:p>
    <w:p>
      <w:pPr>
        <w:numPr>
          <w:ilvl w:val="0"/>
          <w:numId w:val="1030"/>
        </w:numPr>
        <w:pStyle w:val="Compact"/>
      </w:pPr>
      <w:r>
        <w:rPr>
          <w:bCs/>
          <w:b/>
        </w:rPr>
        <w:t xml:space="preserve">British Columbia, Alberta, Saskatchewan, Manitoba</w:t>
      </w:r>
      <w:r>
        <w:t xml:space="preserve"> </w:t>
      </w:r>
      <w:r>
        <w:t xml:space="preserve">— Express Entry-linked and base streams by occupation and connection to the province.</w:t>
      </w:r>
    </w:p>
    <w:p>
      <w:pPr>
        <w:numPr>
          <w:ilvl w:val="0"/>
          <w:numId w:val="1030"/>
        </w:numPr>
        <w:pStyle w:val="Compact"/>
      </w:pPr>
      <w:r>
        <w:rPr>
          <w:bCs/>
          <w:b/>
        </w:rPr>
        <w:t xml:space="preserve">Nova Scotia &amp; Atlantic Immigration Program</w:t>
      </w:r>
      <w:r>
        <w:t xml:space="preserve"> </w:t>
      </w:r>
      <w:r>
        <w:t xml:space="preserve">— employer-driven streams across the Atlantic provinces.</w:t>
      </w:r>
    </w:p>
    <w:bookmarkEnd w:id="339"/>
    <w:bookmarkStart w:id="340" w:name="h2-what-eligible-means-here"/>
    <w:p>
      <w:pPr>
        <w:pStyle w:val="Heading3"/>
      </w:pPr>
      <w:r>
        <w:t xml:space="preserve">H2: What</w:t>
      </w:r>
      <w:r>
        <w:t xml:space="preserve"> </w:t>
      </w:r>
      <w:r>
        <w:t xml:space="preserve">“</w:t>
      </w:r>
      <w:r>
        <w:t xml:space="preserve">eligible</w:t>
      </w:r>
      <w:r>
        <w:t xml:space="preserve">”</w:t>
      </w:r>
      <w:r>
        <w:t xml:space="preserve"> </w:t>
      </w:r>
      <w:r>
        <w:t xml:space="preserve">means here</w:t>
      </w:r>
    </w:p>
    <w:p>
      <w:pPr>
        <w:pStyle w:val="FirstParagraph"/>
      </w:pPr>
      <w:r>
        <w:t xml:space="preserve">A result showing you meet a stream’s baseline criteria means you meet the minimum published requirements — it doesn’t mean an invitation is guaranteed, since several PNP streams use Expression of Interest systems with their own ranking or draw thresholds separate from federal CRS.</w:t>
      </w:r>
    </w:p>
    <w:bookmarkEnd w:id="340"/>
    <w:bookmarkStart w:id="341" w:name="h2-what-to-do-with-an-eligible-result"/>
    <w:p>
      <w:pPr>
        <w:pStyle w:val="Heading3"/>
      </w:pPr>
      <w:r>
        <w:t xml:space="preserve">H2: What to do with an eligible result</w:t>
      </w:r>
    </w:p>
    <w:p>
      <w:pPr>
        <w:pStyle w:val="FirstParagraph"/>
      </w:pPr>
      <w:r>
        <w:t xml:space="preserve">If you show eligibility for more than one stream, the right next step depends on processing time, your connection to that province, and whether the stream requires a job offer you don’t yet have. This is where a consultation adds the most value — turning</w:t>
      </w:r>
      <w:r>
        <w:t xml:space="preserve"> </w:t>
      </w:r>
      <w:r>
        <w:t xml:space="preserve">“</w:t>
      </w:r>
      <w:r>
        <w:t xml:space="preserve">eligible for three streams</w:t>
      </w:r>
      <w:r>
        <w:t xml:space="preserve">”</w:t>
      </w:r>
      <w:r>
        <w:t xml:space="preserve"> </w:t>
      </w:r>
      <w:r>
        <w:t xml:space="preserve">into</w:t>
      </w:r>
      <w:r>
        <w:t xml:space="preserve"> </w:t>
      </w:r>
      <w:r>
        <w:t xml:space="preserve">“</w:t>
      </w:r>
      <w:r>
        <w:t xml:space="preserve">apply to this one, in this order.</w:t>
      </w:r>
      <w:r>
        <w:t xml:space="preserve">”</w:t>
      </w:r>
    </w:p>
    <w:bookmarkEnd w:id="341"/>
    <w:bookmarkStart w:id="342" w:name="h2-related-tools-pages-1"/>
    <w:p>
      <w:pPr>
        <w:pStyle w:val="Heading3"/>
      </w:pPr>
      <w:r>
        <w:t xml:space="preserve">H2: Related tools &amp; pages</w:t>
      </w:r>
    </w:p>
    <w:p>
      <w:pPr>
        <w:pStyle w:val="FirstParagraph"/>
      </w:pPr>
      <w:r>
        <w:t xml:space="preserve">See</w:t>
      </w:r>
      <w:r>
        <w:t xml:space="preserve"> </w:t>
      </w:r>
      <w:hyperlink r:id="rId27">
        <w:r>
          <w:rPr>
            <w:rStyle w:val="Hyperlink"/>
          </w:rPr>
          <w:t xml:space="preserve">Provincial Nominee Programs</w:t>
        </w:r>
      </w:hyperlink>
      <w:r>
        <w:t xml:space="preserve"> </w:t>
      </w:r>
      <w:r>
        <w:t xml:space="preserve">for full program details, or check your</w:t>
      </w:r>
      <w:r>
        <w:t xml:space="preserve"> </w:t>
      </w:r>
      <w:hyperlink r:id="rId39">
        <w:r>
          <w:rPr>
            <w:rStyle w:val="Hyperlink"/>
          </w:rPr>
          <w:t xml:space="preserve">CRS Calculator</w:t>
        </w:r>
      </w:hyperlink>
      <w:r>
        <w:t xml:space="preserve"> </w:t>
      </w:r>
      <w:r>
        <w:t xml:space="preserve">score to see how a nomination would change your Express Entry ranking.</w:t>
      </w:r>
    </w:p>
    <w:bookmarkEnd w:id="342"/>
    <w:bookmarkStart w:id="343" w:name="faq-19"/>
    <w:p>
      <w:pPr>
        <w:pStyle w:val="Heading3"/>
      </w:pPr>
      <w:r>
        <w:t xml:space="preserve">FAQ</w:t>
      </w:r>
    </w:p>
    <w:p>
      <w:pPr>
        <w:pStyle w:val="FirstParagraph"/>
      </w:pPr>
      <w:r>
        <w:rPr>
          <w:bCs/>
          <w:b/>
        </w:rPr>
        <w:t xml:space="preserve">Can I check multiple provinces at once?</w:t>
      </w:r>
      <w:r>
        <w:t xml:space="preserve"> </w:t>
      </w:r>
      <w:r>
        <w:t xml:space="preserve">Yes — the tool checks your profile against several provincial streams simultaneously, though you’d typically apply to one province’s stream at a time.</w:t>
      </w:r>
    </w:p>
    <w:p>
      <w:pPr>
        <w:pStyle w:val="BodyText"/>
      </w:pPr>
      <w:r>
        <w:rPr>
          <w:bCs/>
          <w:b/>
        </w:rPr>
        <w:t xml:space="preserve">Does this show my chances of an actual nomination?</w:t>
      </w:r>
      <w:r>
        <w:t xml:space="preserve"> </w:t>
      </w:r>
      <w:r>
        <w:t xml:space="preserve">It shows baseline eligibility, not your ranking within that province’s pool, since some PNP streams run their own point or draw systems.</w:t>
      </w:r>
    </w:p>
    <w:p>
      <w:pPr>
        <w:pStyle w:val="BodyText"/>
      </w:pPr>
      <w:r>
        <w:rPr>
          <w:bCs/>
          <w:b/>
        </w:rPr>
        <w:t xml:space="preserve">Does this cover provinces outside Ontario?</w:t>
      </w:r>
      <w:r>
        <w:t xml:space="preserve"> </w:t>
      </w:r>
      <w:r>
        <w:t xml:space="preserve">Yes — OINP is covered in depth, alongside British Columbia, Alberta, Saskatchewan, Manitoba, Nova Scotia and the Atlantic Immigration Program.</w:t>
      </w:r>
    </w:p>
    <w:bookmarkEnd w:id="343"/>
    <w:bookmarkStart w:id="344" w:name="cta-block-19"/>
    <w:p>
      <w:pPr>
        <w:pStyle w:val="Heading3"/>
      </w:pPr>
      <w:r>
        <w:t xml:space="preserve">CTA block</w:t>
      </w:r>
    </w:p>
    <w:p>
      <w:pPr>
        <w:pStyle w:val="FirstParagraph"/>
      </w:pPr>
      <w:r>
        <w:t xml:space="preserve">See where you’re eligible, then plan the order to apply.</w:t>
      </w:r>
      <w:r>
        <w:t xml:space="preserve"> </w:t>
      </w:r>
      <w:hyperlink r:id="rId65">
        <w:r>
          <w:rPr>
            <w:rStyle w:val="Hyperlink"/>
          </w:rPr>
          <w:t xml:space="preserve">Book a Consultation</w:t>
        </w:r>
      </w:hyperlink>
      <w:r>
        <w:t xml:space="preserve"> </w:t>
      </w:r>
      <w:r>
        <w:t xml:space="preserve">·</w:t>
      </w:r>
      <w:r>
        <w:t xml:space="preserve"> </w:t>
      </w:r>
      <w:hyperlink r:id="rId39">
        <w:r>
          <w:rPr>
            <w:rStyle w:val="Hyperlink"/>
          </w:rPr>
          <w:t xml:space="preserve">CRS Calculator</w:t>
        </w:r>
      </w:hyperlink>
    </w:p>
    <w:p>
      <w:r>
        <w:br w:type="page"/>
      </w:r>
    </w:p>
    <w:bookmarkEnd w:id="344"/>
    <w:bookmarkEnd w:id="345"/>
    <w:bookmarkEnd w:id="346"/>
    <w:bookmarkStart w:id="347" w:name="page-toolsnoc-finder"/>
    <w:p>
      <w:pPr>
        <w:pStyle w:val="Heading1"/>
      </w:pPr>
      <w:r>
        <w:t xml:space="preserve">PAGE: /tools/noc-finder</w:t>
      </w:r>
    </w:p>
    <w:bookmarkEnd w:id="347"/>
    <w:bookmarkStart w:id="359" w:name="menu-location-tools-noc-finder"/>
    <w:p>
      <w:pPr>
        <w:pStyle w:val="Heading1"/>
      </w:pPr>
      <w:r>
        <w:t xml:space="preserve">Menu location: Tools → NOC Finder</w:t>
      </w:r>
    </w:p>
    <w:p>
      <w:r>
        <w:pict>
          <v:rect style="width:0;height:1.5pt" o:hralign="center" o:hrstd="t" o:hr="t"/>
        </w:pict>
      </w:r>
    </w:p>
    <w:bookmarkStart w:id="349" w:name="meta-tags-21"/>
    <w:p>
      <w:pPr>
        <w:pStyle w:val="Heading2"/>
      </w:pPr>
      <w:r>
        <w:t xml:space="preserve">META TAGS</w:t>
      </w:r>
    </w:p>
    <w:p>
      <w:pPr>
        <w:pStyle w:val="SourceCode"/>
      </w:pPr>
      <w:r>
        <w:rPr>
          <w:rStyle w:val="VerbatimChar"/>
        </w:rPr>
        <w:t xml:space="preserve">title: Free NOC Finder 2026 | Find Your Occupation Code | Brampton RCIC</w:t>
      </w:r>
      <w:r>
        <w:br/>
      </w:r>
      <w:r>
        <w:rPr>
          <w:rStyle w:val="VerbatimChar"/>
        </w:rPr>
        <w:t xml:space="preserve">meta-description: Find the correct National Occupational Classification (NOC) code for your job title and duties — free tool built by a licensed RCIC in Brampton for Express Entry &amp; PNP.</w:t>
      </w:r>
      <w:r>
        <w:br/>
      </w:r>
      <w:r>
        <w:rPr>
          <w:rStyle w:val="VerbatimChar"/>
        </w:rPr>
        <w:t xml:space="preserve">canonical: https://commonwealthmigration.ca/tools/noc-finder</w:t>
      </w:r>
      <w:r>
        <w:br/>
      </w:r>
      <w:r>
        <w:rPr>
          <w:rStyle w:val="VerbatimChar"/>
        </w:rPr>
        <w:t xml:space="preserve">meta-keywords: NOC finder Canada, NOC code lookup, National Occupational Classification tool, NOC 2026, occupation code Express Entry</w:t>
      </w:r>
      <w:r>
        <w:br/>
      </w:r>
      <w:r>
        <w:rPr>
          <w:rStyle w:val="VerbatimChar"/>
        </w:rPr>
        <w:t xml:space="preserve">meta-og:title: Free NOC Finder 2026 | Find Your Occupation Code</w:t>
      </w:r>
      <w:r>
        <w:br/>
      </w:r>
      <w:r>
        <w:rPr>
          <w:rStyle w:val="VerbatimChar"/>
        </w:rPr>
        <w:t xml:space="preserve">meta-og:description: Find the correct NOC code for your job title and duties — free tool built by a licensed RCIC in Brampton.</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https://commonwealthmigration.ca/tools/noc-finder</w:t>
      </w:r>
      <w:r>
        <w:br/>
      </w:r>
      <w:r>
        <w:rPr>
          <w:rStyle w:val="VerbatimChar"/>
        </w:rPr>
        <w:t xml:space="preserve">meta-theme-color: #C8102E</w:t>
      </w:r>
    </w:p>
    <w:bookmarkStart w:id="348" w:name="json-ld-16"/>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"Why does my NOC code matter for immigration?"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"Your National Occupational Classification code determines which federal and provincial immigration programs your work experience qualifies for, what skill type or level it's assessed at, and whether it appears on any in-demand occupation lists relevant to category-based draws or PNP streams."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happens if I choose the wrong NOC code on my application?"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"An inaccurate NOC code can result in an application being found ineligible at review, or in more serious cases, raise misrepresentation concerns if the duties described don't match the code claimed — so matching your actual job duties to the correct code matters more than picking the highest-scoring option."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"Is the NOC system the same as it was a few years ago?"</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"No — Canada moved to the NOC 2021 structure with TEER categories (Training, Education, Experience and Responsibilities) replacing the older skill type/level system, and further updates have followed, so confirming your code against the current version matters."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48"/>
    <w:bookmarkEnd w:id="349"/>
    <w:bookmarkStart w:id="358" w:name="page-content-21"/>
    <w:p>
      <w:pPr>
        <w:pStyle w:val="Heading2"/>
      </w:pPr>
      <w:r>
        <w:t xml:space="preserve">PAGE CONTENT</w:t>
      </w:r>
    </w:p>
    <w:bookmarkStart w:id="350" w:name="h1-21"/>
    <w:p>
      <w:pPr>
        <w:pStyle w:val="Heading3"/>
      </w:pPr>
      <w:r>
        <w:t xml:space="preserve">H1</w:t>
      </w:r>
    </w:p>
    <w:p>
      <w:pPr>
        <w:pStyle w:val="FirstParagraph"/>
      </w:pPr>
      <w:r>
        <w:t xml:space="preserve">Free NOC Finder — Match Your Job Title to the Correct Occupation Code</w:t>
      </w:r>
    </w:p>
    <w:bookmarkEnd w:id="350"/>
    <w:bookmarkStart w:id="351" w:name="Xbbe42a4f05705b1105ab317de319677f26209f5"/>
    <w:p>
      <w:pPr>
        <w:pStyle w:val="Heading3"/>
      </w:pPr>
      <w:r>
        <w:t xml:space="preserve">Intro (target:</w:t>
      </w:r>
      <w:r>
        <w:t xml:space="preserve"> </w:t>
      </w:r>
      <w:r>
        <w:t xml:space="preserve">“</w:t>
      </w:r>
      <w:r>
        <w:t xml:space="preserve">NOC finder Canada</w:t>
      </w:r>
      <w:r>
        <w:t xml:space="preserve">”</w:t>
      </w:r>
      <w:r>
        <w:t xml:space="preserve">,</w:t>
      </w:r>
      <w:r>
        <w:t xml:space="preserve"> </w:t>
      </w:r>
      <w:r>
        <w:t xml:space="preserve">“</w:t>
      </w:r>
      <w:r>
        <w:t xml:space="preserve">NOC code lookup</w:t>
      </w:r>
      <w:r>
        <w:t xml:space="preserve">”</w:t>
      </w:r>
      <w:r>
        <w:t xml:space="preserve">)</w:t>
      </w:r>
    </w:p>
    <w:p>
      <w:pPr>
        <w:pStyle w:val="FirstParagraph"/>
      </w:pPr>
      <w:r>
        <w:t xml:space="preserve">Nearly every Canadian immigration program — Express Entry, PNP streams, and LMIA-supported work permits — is built around National Occupational Classification (NOC) codes, not job titles. Two people with the same job title can have different duties that place them in different NOC codes with different immigration outcomes. This tool, maintained by our Brampton-based RCIC team, helps you find the code that actually matches your day-to-day duties.</w:t>
      </w:r>
    </w:p>
    <w:p>
      <w:pPr>
        <w:pStyle w:val="BodyText"/>
      </w:pPr>
      <w:r>
        <w:t xml:space="preserve">[Tool widget — job title search, duties checklist, TEER category result, matching NOC code(s)]</w:t>
      </w:r>
    </w:p>
    <w:bookmarkEnd w:id="351"/>
    <w:bookmarkStart w:id="352" w:name="X7ececb3434c0ef49f4744021b7bf7e8fe74587b"/>
    <w:p>
      <w:pPr>
        <w:pStyle w:val="Heading3"/>
      </w:pPr>
      <w:r>
        <w:t xml:space="preserve">H2: Why NOC codes decide more than you’d expect</w:t>
      </w:r>
    </w:p>
    <w:p>
      <w:pPr>
        <w:pStyle w:val="FirstParagraph"/>
      </w:pPr>
      <w:r>
        <w:t xml:space="preserve">Your NOC’s TEER category (Training, Education, Experience and Responsibilities) determines eligibility for Federal Skilled Worker, whether your experience qualifies under Canadian Experience Class, whether an LMIA-supported job offer meets Federal Skilled Trades criteria, and whether your occupation appears on a province’s in-demand list or a federal category-based draw.</w:t>
      </w:r>
    </w:p>
    <w:bookmarkEnd w:id="352"/>
    <w:bookmarkStart w:id="353" w:name="h2-the-most-common-noc-mistake-we-see"/>
    <w:p>
      <w:pPr>
        <w:pStyle w:val="Heading3"/>
      </w:pPr>
      <w:r>
        <w:t xml:space="preserve">H2: The most common NOC mistake we see</w:t>
      </w:r>
    </w:p>
    <w:p>
      <w:pPr>
        <w:pStyle w:val="FirstParagraph"/>
      </w:pPr>
      <w:r>
        <w:t xml:space="preserve">Applicants often search for the NOC code with the best-sounding title rather than the one matching their actual duties as performed — a mismatch that can flag an application for review or, in serious cases, raise a misrepresentation concern. We match code selection to your actual reference letters and job description, not the reverse.</w:t>
      </w:r>
    </w:p>
    <w:bookmarkEnd w:id="353"/>
    <w:bookmarkStart w:id="354" w:name="h2-noc-2021-and-teer-categories"/>
    <w:p>
      <w:pPr>
        <w:pStyle w:val="Heading3"/>
      </w:pPr>
      <w:r>
        <w:t xml:space="preserve">H2: NOC 2021 and TEER categories</w:t>
      </w:r>
    </w:p>
    <w:p>
      <w:pPr>
        <w:pStyle w:val="FirstParagraph"/>
      </w:pPr>
      <w:r>
        <w:t xml:space="preserve">Canada’s occupational classification system moved to a TEER structure (0 through 5, reflecting Training, Education, Experience and Responsibilities), replacing the older Skill Type/Level system. If you’re working from an older resource or reference letter written under the previous system, your code may need to be reconfirmed under the current structure.</w:t>
      </w:r>
    </w:p>
    <w:bookmarkEnd w:id="354"/>
    <w:bookmarkStart w:id="355" w:name="h2-related-tools-pages-2"/>
    <w:p>
      <w:pPr>
        <w:pStyle w:val="Heading3"/>
      </w:pPr>
      <w:r>
        <w:t xml:space="preserve">H2: Related tools &amp; pages</w:t>
      </w:r>
    </w:p>
    <w:p>
      <w:pPr>
        <w:pStyle w:val="FirstParagraph"/>
      </w:pPr>
      <w:r>
        <w:t xml:space="preserve">Once you have your NOC, check your</w:t>
      </w:r>
      <w:r>
        <w:t xml:space="preserve"> </w:t>
      </w:r>
      <w:hyperlink r:id="rId39">
        <w:r>
          <w:rPr>
            <w:rStyle w:val="Hyperlink"/>
          </w:rPr>
          <w:t xml:space="preserve">CRS Calculator</w:t>
        </w:r>
      </w:hyperlink>
      <w:r>
        <w:t xml:space="preserve"> </w:t>
      </w:r>
      <w:r>
        <w:t xml:space="preserve">score or see if your occupation appears on a current</w:t>
      </w:r>
      <w:r>
        <w:t xml:space="preserve"> </w:t>
      </w:r>
      <w:hyperlink r:id="rId40">
        <w:r>
          <w:rPr>
            <w:rStyle w:val="Hyperlink"/>
          </w:rPr>
          <w:t xml:space="preserve">PNP Eligibility</w:t>
        </w:r>
      </w:hyperlink>
      <w:r>
        <w:t xml:space="preserve"> </w:t>
      </w:r>
      <w:r>
        <w:t xml:space="preserve">in-demand list.</w:t>
      </w:r>
    </w:p>
    <w:bookmarkEnd w:id="355"/>
    <w:bookmarkStart w:id="356" w:name="faq-20"/>
    <w:p>
      <w:pPr>
        <w:pStyle w:val="Heading3"/>
      </w:pPr>
      <w:r>
        <w:t xml:space="preserve">FAQ</w:t>
      </w:r>
    </w:p>
    <w:p>
      <w:pPr>
        <w:pStyle w:val="FirstParagraph"/>
      </w:pPr>
      <w:r>
        <w:rPr>
          <w:bCs/>
          <w:b/>
        </w:rPr>
        <w:t xml:space="preserve">Why does my NOC code matter?</w:t>
      </w:r>
      <w:r>
        <w:t xml:space="preserve"> </w:t>
      </w:r>
      <w:r>
        <w:t xml:space="preserve">It determines which programs your experience qualifies for, its assessed skill level, and whether it appears on in-demand or category-draw lists.</w:t>
      </w:r>
    </w:p>
    <w:p>
      <w:pPr>
        <w:pStyle w:val="BodyText"/>
      </w:pPr>
      <w:r>
        <w:rPr>
          <w:bCs/>
          <w:b/>
        </w:rPr>
        <w:t xml:space="preserve">What happens if I choose the wrong code?</w:t>
      </w:r>
      <w:r>
        <w:t xml:space="preserve"> </w:t>
      </w:r>
      <w:r>
        <w:t xml:space="preserve">It can result in an ineligible application or, if duties don’t match the code claimed, raise misrepresentation concerns — accuracy matters more than picking the highest-scoring option.</w:t>
      </w:r>
    </w:p>
    <w:p>
      <w:pPr>
        <w:pStyle w:val="BodyText"/>
      </w:pPr>
      <w:r>
        <w:rPr>
          <w:bCs/>
          <w:b/>
        </w:rPr>
        <w:t xml:space="preserve">Is the NOC system the same as a few years ago?</w:t>
      </w:r>
      <w:r>
        <w:t xml:space="preserve"> </w:t>
      </w:r>
      <w:r>
        <w:t xml:space="preserve">No — Canada uses the NOC 2021 TEER structure, replacing the older skill type/level system, with further updates since. Confirm your code against the current version.</w:t>
      </w:r>
    </w:p>
    <w:bookmarkEnd w:id="356"/>
    <w:bookmarkStart w:id="357" w:name="cta-block-20"/>
    <w:p>
      <w:pPr>
        <w:pStyle w:val="Heading3"/>
      </w:pPr>
      <w:r>
        <w:t xml:space="preserve">CTA block</w:t>
      </w:r>
    </w:p>
    <w:p>
      <w:pPr>
        <w:pStyle w:val="FirstParagraph"/>
      </w:pPr>
      <w:r>
        <w:t xml:space="preserve">Get your reference letters matched to the right NOC code.</w:t>
      </w:r>
      <w:r>
        <w:t xml:space="preserve"> </w:t>
      </w:r>
      <w:hyperlink r:id="rId65">
        <w:r>
          <w:rPr>
            <w:rStyle w:val="Hyperlink"/>
          </w:rPr>
          <w:t xml:space="preserve">Book a Consultation</w:t>
        </w:r>
      </w:hyperlink>
      <w:r>
        <w:t xml:space="preserve"> </w:t>
      </w:r>
      <w:r>
        <w:t xml:space="preserve">·</w:t>
      </w:r>
      <w:r>
        <w:t xml:space="preserve"> </w:t>
      </w:r>
      <w:hyperlink r:id="rId42">
        <w:r>
          <w:rPr>
            <w:rStyle w:val="Hyperlink"/>
          </w:rPr>
          <w:t xml:space="preserve">Document Checklist</w:t>
        </w:r>
      </w:hyperlink>
    </w:p>
    <w:p>
      <w:r>
        <w:br w:type="page"/>
      </w:r>
    </w:p>
    <w:bookmarkEnd w:id="357"/>
    <w:bookmarkEnd w:id="358"/>
    <w:bookmarkEnd w:id="359"/>
    <w:bookmarkStart w:id="360" w:name="page-toolsdocument-checklist"/>
    <w:p>
      <w:pPr>
        <w:pStyle w:val="Heading1"/>
      </w:pPr>
      <w:r>
        <w:t xml:space="preserve">PAGE: /tools/document-checklist</w:t>
      </w:r>
    </w:p>
    <w:bookmarkEnd w:id="360"/>
    <w:bookmarkStart w:id="372" w:name="menu-location-tools-document-checklist"/>
    <w:p>
      <w:pPr>
        <w:pStyle w:val="Heading1"/>
      </w:pPr>
      <w:r>
        <w:t xml:space="preserve">Menu location: Tools → Document Checklist</w:t>
      </w:r>
    </w:p>
    <w:p>
      <w:r>
        <w:pict>
          <v:rect style="width:0;height:1.5pt" o:hralign="center" o:hrstd="t" o:hr="t"/>
        </w:pict>
      </w:r>
    </w:p>
    <w:bookmarkStart w:id="362" w:name="meta-tags-22"/>
    <w:p>
      <w:pPr>
        <w:pStyle w:val="Heading2"/>
      </w:pPr>
      <w:r>
        <w:t xml:space="preserve">META TAGS</w:t>
      </w:r>
    </w:p>
    <w:p>
      <w:pPr>
        <w:pStyle w:val="SourceCode"/>
      </w:pPr>
      <w:r>
        <w:rPr>
          <w:rStyle w:val="VerbatimChar"/>
        </w:rPr>
        <w:t xml:space="preserve">title: Free Immigration Document Checklist 2026 | Canada | Brampton RCIC</w:t>
      </w:r>
      <w:r>
        <w:br/>
      </w:r>
      <w:r>
        <w:rPr>
          <w:rStyle w:val="VerbatimChar"/>
        </w:rPr>
        <w:t xml:space="preserve">meta-description: Free, category-specific document checklists for Express Entry, PNP, work permits, study permits &amp; sponsorship — built by a licensed RCIC in Brampton.</w:t>
      </w:r>
      <w:r>
        <w:br/>
      </w:r>
      <w:r>
        <w:rPr>
          <w:rStyle w:val="VerbatimChar"/>
        </w:rPr>
        <w:t xml:space="preserve">canonical: https://commonwealthmigration.ca/tools/document-checklist</w:t>
      </w:r>
      <w:r>
        <w:br/>
      </w:r>
      <w:r>
        <w:rPr>
          <w:rStyle w:val="VerbatimChar"/>
        </w:rPr>
        <w:t xml:space="preserve">meta-keywords: immigration document checklist Canada, Express Entry documents list, work permit documents Ontario, sponsorship document checklist, study permit checklist</w:t>
      </w:r>
      <w:r>
        <w:br/>
      </w:r>
      <w:r>
        <w:rPr>
          <w:rStyle w:val="VerbatimChar"/>
        </w:rPr>
        <w:t xml:space="preserve">meta-og:title: Free Immigration Document Checklist 2026 | Canada</w:t>
      </w:r>
      <w:r>
        <w:br/>
      </w:r>
      <w:r>
        <w:rPr>
          <w:rStyle w:val="VerbatimChar"/>
        </w:rPr>
        <w:t xml:space="preserve">meta-og:description: Free, category-specific document checklists for Express Entry, PNP, work permits, study permits and sponsorship — built by a licensed RCIC in Brampton.</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https://commonwealthmigration.ca/tools/document-checklist</w:t>
      </w:r>
      <w:r>
        <w:br/>
      </w:r>
      <w:r>
        <w:rPr>
          <w:rStyle w:val="VerbatimChar"/>
        </w:rPr>
        <w:t xml:space="preserve">meta-theme-color: #C8102E</w:t>
      </w:r>
    </w:p>
    <w:bookmarkStart w:id="361" w:name="json-ld-17"/>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"Is a generic document checklist enough for my application?"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 generic checklist covers baseline requirements but rarely accounts for individual circumstances — a prior refusal, a non-standard employment history, or a complex family situation often require additional or different supporting evidence than a standard checklist lists."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 documents in a language other than English or French need translation?"</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 documents not in English or French generally require a certified translation, along with a copy of the original document and, in some cases, an affidavit from the translator, depending on the specific application type."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far in advance should I start gathering documents?"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"As early as possible — some documents, like a police certificate or an Educational Credential Assessment, can take weeks or months to obtain, and starting early avoids delaying an otherwise complete application."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61"/>
    <w:bookmarkEnd w:id="362"/>
    <w:bookmarkStart w:id="371" w:name="page-content-22"/>
    <w:p>
      <w:pPr>
        <w:pStyle w:val="Heading2"/>
      </w:pPr>
      <w:r>
        <w:t xml:space="preserve">PAGE CONTENT</w:t>
      </w:r>
    </w:p>
    <w:bookmarkStart w:id="363" w:name="h1-22"/>
    <w:p>
      <w:pPr>
        <w:pStyle w:val="Heading3"/>
      </w:pPr>
      <w:r>
        <w:t xml:space="preserve">H1</w:t>
      </w:r>
    </w:p>
    <w:p>
      <w:pPr>
        <w:pStyle w:val="FirstParagraph"/>
      </w:pPr>
      <w:r>
        <w:t xml:space="preserve">Free Immigration Document Checklist — By Category</w:t>
      </w:r>
    </w:p>
    <w:bookmarkEnd w:id="363"/>
    <w:bookmarkStart w:id="364" w:name="Xa052573c5b42392772bc9700e5700465a132012"/>
    <w:p>
      <w:pPr>
        <w:pStyle w:val="Heading3"/>
      </w:pPr>
      <w:r>
        <w:t xml:space="preserve">Intro (target:</w:t>
      </w:r>
      <w:r>
        <w:t xml:space="preserve"> </w:t>
      </w:r>
      <w:r>
        <w:t xml:space="preserve">“</w:t>
      </w:r>
      <w:r>
        <w:t xml:space="preserve">immigration document checklist Canada</w:t>
      </w:r>
      <w:r>
        <w:t xml:space="preserve">”</w:t>
      </w:r>
      <w:r>
        <w:t xml:space="preserve">,</w:t>
      </w:r>
      <w:r>
        <w:t xml:space="preserve"> </w:t>
      </w:r>
      <w:r>
        <w:t xml:space="preserve">“</w:t>
      </w:r>
      <w:r>
        <w:t xml:space="preserve">Express Entry documents list</w:t>
      </w:r>
      <w:r>
        <w:t xml:space="preserve">”</w:t>
      </w:r>
      <w:r>
        <w:t xml:space="preserve">)</w:t>
      </w:r>
    </w:p>
    <w:p>
      <w:pPr>
        <w:pStyle w:val="FirstParagraph"/>
      </w:pPr>
      <w:r>
        <w:t xml:space="preserve">Missing or inconsistent documentation is one of the most common reasons an otherwise eligible application is delayed or refused. This checklist tool, maintained by our Brampton-based RCIC team, breaks down document requirements by application category, so you know what to start gathering before you’re under deadline pressure.</w:t>
      </w:r>
    </w:p>
    <w:p>
      <w:pPr>
        <w:pStyle w:val="BodyText"/>
      </w:pPr>
      <w:r>
        <w:t xml:space="preserve">[Tool widget — category selector: Express Entry / PNP / Work Permit / Study Permit / Family Sponsorship / Refusal Response, generating a category-specific checklist]</w:t>
      </w:r>
    </w:p>
    <w:bookmarkEnd w:id="364"/>
    <w:bookmarkStart w:id="365" w:name="h2-categories-covered"/>
    <w:p>
      <w:pPr>
        <w:pStyle w:val="Heading3"/>
      </w:pPr>
      <w:r>
        <w:t xml:space="preserve">H2: Categories covered</w:t>
      </w:r>
    </w:p>
    <w:p>
      <w:pPr>
        <w:numPr>
          <w:ilvl w:val="0"/>
          <w:numId w:val="1031"/>
        </w:numPr>
        <w:pStyle w:val="Compact"/>
      </w:pPr>
      <w:r>
        <w:rPr>
          <w:bCs/>
          <w:b/>
        </w:rPr>
        <w:t xml:space="preserve">Express Entry &amp; PR</w:t>
      </w:r>
      <w:r>
        <w:t xml:space="preserve"> </w:t>
      </w:r>
      <w:r>
        <w:t xml:space="preserve">— identity documents, language test results, Educational Credential Assessment, proof of funds, police certificates, medical exam confirmation.</w:t>
      </w:r>
    </w:p>
    <w:p>
      <w:pPr>
        <w:numPr>
          <w:ilvl w:val="0"/>
          <w:numId w:val="1031"/>
        </w:numPr>
        <w:pStyle w:val="Compact"/>
      </w:pPr>
      <w:r>
        <w:rPr>
          <w:bCs/>
          <w:b/>
        </w:rPr>
        <w:t xml:space="preserve">PNP applications</w:t>
      </w:r>
      <w:r>
        <w:t xml:space="preserve"> </w:t>
      </w:r>
      <w:r>
        <w:t xml:space="preserve">— province-specific forms, proof of connection to the province, job offer documentation where required.</w:t>
      </w:r>
    </w:p>
    <w:p>
      <w:pPr>
        <w:numPr>
          <w:ilvl w:val="0"/>
          <w:numId w:val="1031"/>
        </w:numPr>
        <w:pStyle w:val="Compact"/>
      </w:pPr>
      <w:r>
        <w:rPr>
          <w:bCs/>
          <w:b/>
        </w:rPr>
        <w:t xml:space="preserve">Work permits</w:t>
      </w:r>
      <w:r>
        <w:t xml:space="preserve"> </w:t>
      </w:r>
      <w:r>
        <w:t xml:space="preserve">— job offer letter, LMIA (where applicable) or exemption code documentation, proof of qualifications.</w:t>
      </w:r>
    </w:p>
    <w:p>
      <w:pPr>
        <w:numPr>
          <w:ilvl w:val="0"/>
          <w:numId w:val="1031"/>
        </w:numPr>
        <w:pStyle w:val="Compact"/>
      </w:pPr>
      <w:r>
        <w:rPr>
          <w:bCs/>
          <w:b/>
        </w:rPr>
        <w:t xml:space="preserve">Study permits</w:t>
      </w:r>
      <w:r>
        <w:t xml:space="preserve"> </w:t>
      </w:r>
      <w:r>
        <w:t xml:space="preserve">— letter of acceptance, Provincial Attestation Letter, proof of funds, study plan.</w:t>
      </w:r>
    </w:p>
    <w:p>
      <w:pPr>
        <w:numPr>
          <w:ilvl w:val="0"/>
          <w:numId w:val="1031"/>
        </w:numPr>
        <w:pStyle w:val="Compact"/>
      </w:pPr>
      <w:r>
        <w:rPr>
          <w:bCs/>
          <w:b/>
        </w:rPr>
        <w:t xml:space="preserve">Family sponsorship</w:t>
      </w:r>
      <w:r>
        <w:t xml:space="preserve"> </w:t>
      </w:r>
      <w:r>
        <w:t xml:space="preserve">— relationship evidence, sponsor income documentation, forms specific to spousal, PGP, or dependent-child categories.</w:t>
      </w:r>
    </w:p>
    <w:p>
      <w:pPr>
        <w:numPr>
          <w:ilvl w:val="0"/>
          <w:numId w:val="1031"/>
        </w:numPr>
        <w:pStyle w:val="Compact"/>
      </w:pPr>
      <w:r>
        <w:rPr>
          <w:bCs/>
          <w:b/>
        </w:rPr>
        <w:t xml:space="preserve">Refusal response</w:t>
      </w:r>
      <w:r>
        <w:t xml:space="preserve"> </w:t>
      </w:r>
      <w:r>
        <w:t xml:space="preserve">— GCMS notes request, evidence addressing the specific refusal reasons cited.</w:t>
      </w:r>
    </w:p>
    <w:bookmarkEnd w:id="365"/>
    <w:bookmarkStart w:id="366" w:name="h2-what-a-checklist-cant-tell-you"/>
    <w:p>
      <w:pPr>
        <w:pStyle w:val="Heading3"/>
      </w:pPr>
      <w:r>
        <w:t xml:space="preserve">H2: What a checklist can’t tell you</w:t>
      </w:r>
    </w:p>
    <w:p>
      <w:pPr>
        <w:pStyle w:val="FirstParagraph"/>
      </w:pPr>
      <w:r>
        <w:t xml:space="preserve">A checklist tells you what document type is generally required — it can’t tell you whether your specific police certificate covers every country you’ve lived in for the required period, whether your proof of funds shows the necessary continuity, or how to present a complex relationship or employment history. That review is where a consultation with a licensed RCIC matters most.</w:t>
      </w:r>
    </w:p>
    <w:bookmarkEnd w:id="366"/>
    <w:bookmarkStart w:id="367" w:name="X6ee239c744418fd270b3838082f224ff4c907f0"/>
    <w:p>
      <w:pPr>
        <w:pStyle w:val="Heading3"/>
      </w:pPr>
      <w:r>
        <w:t xml:space="preserve">H2: Translation &amp; certification requirements</w:t>
      </w:r>
    </w:p>
    <w:p>
      <w:pPr>
        <w:pStyle w:val="FirstParagraph"/>
      </w:pPr>
      <w:r>
        <w:t xml:space="preserve">Documents not in English or French generally require certified translation alongside the original, and some categories require additional certification or affidavits — a detail generic checklists often omit and that can delay a submission if caught late.</w:t>
      </w:r>
    </w:p>
    <w:bookmarkEnd w:id="367"/>
    <w:bookmarkStart w:id="368" w:name="h2-related-tools-pages-3"/>
    <w:p>
      <w:pPr>
        <w:pStyle w:val="Heading3"/>
      </w:pPr>
      <w:r>
        <w:t xml:space="preserve">H2: Related tools &amp; pages</w:t>
      </w:r>
    </w:p>
    <w:p>
      <w:pPr>
        <w:pStyle w:val="FirstParagraph"/>
      </w:pPr>
      <w:r>
        <w:t xml:space="preserve">Not sure which category applies to you? Start with the</w:t>
      </w:r>
      <w:r>
        <w:t xml:space="preserve"> </w:t>
      </w:r>
      <w:hyperlink r:id="rId43">
        <w:r>
          <w:rPr>
            <w:rStyle w:val="Hyperlink"/>
          </w:rPr>
          <w:t xml:space="preserve">Free Assessment</w:t>
        </w:r>
      </w:hyperlink>
      <w:r>
        <w:t xml:space="preserve">. Preparing an Express Entry file? Check your</w:t>
      </w:r>
      <w:r>
        <w:t xml:space="preserve"> </w:t>
      </w:r>
      <w:hyperlink r:id="rId39">
        <w:r>
          <w:rPr>
            <w:rStyle w:val="Hyperlink"/>
          </w:rPr>
          <w:t xml:space="preserve">CRS Calculator</w:t>
        </w:r>
      </w:hyperlink>
      <w:r>
        <w:t xml:space="preserve"> </w:t>
      </w:r>
      <w:r>
        <w:t xml:space="preserve">score alongside your document list.</w:t>
      </w:r>
    </w:p>
    <w:bookmarkEnd w:id="368"/>
    <w:bookmarkStart w:id="369" w:name="faq-21"/>
    <w:p>
      <w:pPr>
        <w:pStyle w:val="Heading3"/>
      </w:pPr>
      <w:r>
        <w:t xml:space="preserve">FAQ</w:t>
      </w:r>
    </w:p>
    <w:p>
      <w:pPr>
        <w:pStyle w:val="FirstParagraph"/>
      </w:pPr>
      <w:r>
        <w:rPr>
          <w:bCs/>
          <w:b/>
        </w:rPr>
        <w:t xml:space="preserve">Is a generic checklist enough for my application?</w:t>
      </w:r>
      <w:r>
        <w:t xml:space="preserve"> </w:t>
      </w:r>
      <w:r>
        <w:t xml:space="preserve">It covers baseline requirements, but individual circumstances — prior refusals, non-standard work history, complex family situations — often need additional or different evidence.</w:t>
      </w:r>
    </w:p>
    <w:p>
      <w:pPr>
        <w:pStyle w:val="BodyText"/>
      </w:pPr>
      <w:r>
        <w:rPr>
          <w:bCs/>
          <w:b/>
        </w:rPr>
        <w:t xml:space="preserve">Do non-English or non-French documents need translation?</w:t>
      </w:r>
      <w:r>
        <w:t xml:space="preserve"> </w:t>
      </w:r>
      <w:r>
        <w:t xml:space="preserve">Yes — certified translation is generally required alongside the original document, with additional certification in some cases.</w:t>
      </w:r>
    </w:p>
    <w:p>
      <w:pPr>
        <w:pStyle w:val="BodyText"/>
      </w:pPr>
      <w:r>
        <w:rPr>
          <w:bCs/>
          <w:b/>
        </w:rPr>
        <w:t xml:space="preserve">How early should I start gathering documents?</w:t>
      </w:r>
      <w:r>
        <w:t xml:space="preserve"> </w:t>
      </w:r>
      <w:r>
        <w:t xml:space="preserve">As early as possible — items like police certificates or an ECA can take weeks or months, and starting early prevents delaying an otherwise complete file.</w:t>
      </w:r>
    </w:p>
    <w:bookmarkEnd w:id="369"/>
    <w:bookmarkStart w:id="370" w:name="cta-block-21"/>
    <w:p>
      <w:pPr>
        <w:pStyle w:val="Heading3"/>
      </w:pPr>
      <w:r>
        <w:t xml:space="preserve">CTA block</w:t>
      </w:r>
    </w:p>
    <w:p>
      <w:pPr>
        <w:pStyle w:val="FirstParagraph"/>
      </w:pPr>
      <w:r>
        <w:t xml:space="preserve">Get your specific document list reviewed before you file.</w:t>
      </w:r>
      <w:r>
        <w:t xml:space="preserve"> </w:t>
      </w:r>
      <w:hyperlink r:id="rId65">
        <w:r>
          <w:rPr>
            <w:rStyle w:val="Hyperlink"/>
          </w:rPr>
          <w:t xml:space="preserve">Book a Consultation</w:t>
        </w:r>
      </w:hyperlink>
      <w:r>
        <w:t xml:space="preserve"> </w:t>
      </w:r>
      <w:r>
        <w:t xml:space="preserve">·</w:t>
      </w:r>
      <w:r>
        <w:t xml:space="preserve"> </w:t>
      </w:r>
      <w:hyperlink r:id="rId43">
        <w:r>
          <w:rPr>
            <w:rStyle w:val="Hyperlink"/>
          </w:rPr>
          <w:t xml:space="preserve">Free Assessment</w:t>
        </w:r>
      </w:hyperlink>
    </w:p>
    <w:p>
      <w:r>
        <w:br w:type="page"/>
      </w:r>
    </w:p>
    <w:bookmarkEnd w:id="370"/>
    <w:bookmarkEnd w:id="371"/>
    <w:bookmarkEnd w:id="372"/>
    <w:bookmarkStart w:id="373" w:name="page-toolsfree-assessment"/>
    <w:p>
      <w:pPr>
        <w:pStyle w:val="Heading1"/>
      </w:pPr>
      <w:r>
        <w:t xml:space="preserve">PAGE: /tools/free-assessment</w:t>
      </w:r>
    </w:p>
    <w:bookmarkEnd w:id="373"/>
    <w:bookmarkStart w:id="385" w:name="menu-location-tools-free-assessment"/>
    <w:p>
      <w:pPr>
        <w:pStyle w:val="Heading1"/>
      </w:pPr>
      <w:r>
        <w:t xml:space="preserve">Menu location: Tools → Free Assessment</w:t>
      </w:r>
    </w:p>
    <w:p>
      <w:r>
        <w:pict>
          <v:rect style="width:0;height:1.5pt" o:hralign="center" o:hrstd="t" o:hr="t"/>
        </w:pict>
      </w:r>
    </w:p>
    <w:bookmarkStart w:id="375" w:name="meta-tags-23"/>
    <w:p>
      <w:pPr>
        <w:pStyle w:val="Heading2"/>
      </w:pPr>
      <w:r>
        <w:t xml:space="preserve">META TAGS</w:t>
      </w:r>
    </w:p>
    <w:p>
      <w:pPr>
        <w:pStyle w:val="SourceCode"/>
      </w:pPr>
      <w:r>
        <w:rPr>
          <w:rStyle w:val="VerbatimChar"/>
        </w:rPr>
        <w:t xml:space="preserve">title: Free Immigration Assessment | Licensed RCIC | Brampton &amp; Canada-Wide</w:t>
      </w:r>
      <w:r>
        <w:br/>
      </w:r>
      <w:r>
        <w:rPr>
          <w:rStyle w:val="VerbatimChar"/>
        </w:rPr>
        <w:t xml:space="preserve">meta-description: Get a free, no-obligation eligibility assessment across Express Entry, PNP, work &amp; study permits, sponsorship and visitor routes from a licensed RCIC in Brampton.</w:t>
      </w:r>
      <w:r>
        <w:br/>
      </w:r>
      <w:r>
        <w:rPr>
          <w:rStyle w:val="VerbatimChar"/>
        </w:rPr>
        <w:t xml:space="preserve">canonical: https://commonwealthmigration.ca/tools/free-assessment</w:t>
      </w:r>
      <w:r>
        <w:br/>
      </w:r>
      <w:r>
        <w:rPr>
          <w:rStyle w:val="VerbatimChar"/>
        </w:rPr>
        <w:t xml:space="preserve">meta-keywords: free immigration assessment Brampton, free eligibility check Canada, immigration consultation Brampton, free RCIC assessment Ontario</w:t>
      </w:r>
      <w:r>
        <w:br/>
      </w:r>
      <w:r>
        <w:rPr>
          <w:rStyle w:val="VerbatimChar"/>
        </w:rPr>
        <w:t xml:space="preserve">meta-og:title: Free Immigration Assessment | Licensed RCIC | Brampton &amp; Canada-Wide</w:t>
      </w:r>
      <w:r>
        <w:br/>
      </w:r>
      <w:r>
        <w:rPr>
          <w:rStyle w:val="VerbatimChar"/>
        </w:rPr>
        <w:t xml:space="preserve">meta-og:description: A free, no-obligation eligibility assessment across every major Canadian immigration pathway, from a licensed RCIC based in Brampton.</w:t>
      </w:r>
      <w:r>
        <w:br/>
      </w:r>
      <w:r>
        <w:rPr>
          <w:rStyle w:val="VerbatimChar"/>
        </w:rPr>
        <w:t xml:space="preserve">meta-og:type: website</w:t>
      </w:r>
      <w:r>
        <w:br/>
      </w:r>
      <w:r>
        <w:rPr>
          <w:rStyle w:val="VerbatimChar"/>
        </w:rPr>
        <w:t xml:space="preserve">meta-og:locale: en_CA</w:t>
      </w:r>
      <w:r>
        <w:br/>
      </w:r>
      <w:r>
        <w:rPr>
          <w:rStyle w:val="VerbatimChar"/>
        </w:rPr>
        <w:t xml:space="preserve">meta-og:url: https://commonwealthmigration.ca/tools/free-assessment</w:t>
      </w:r>
      <w:r>
        <w:br/>
      </w:r>
      <w:r>
        <w:rPr>
          <w:rStyle w:val="VerbatimChar"/>
        </w:rPr>
        <w:t xml:space="preserve">meta-theme-color: #C8102E</w:t>
      </w:r>
    </w:p>
    <w:bookmarkStart w:id="374" w:name="json-ld-18"/>
    <w:p>
      <w:pPr>
        <w:pStyle w:val="Heading3"/>
      </w:pPr>
      <w:r>
        <w:t xml:space="preserve">JSON-LD</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"Is the free assessment reviewed by an actual licensed consultant?"</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 your submission is reviewed against current program criteria by our licensed RCIC team, not generated entirely automatically, though initial eligibility screening may use the same logic as our free calculators."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 I obligated to hire the firm after a free assessment?"</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"No — the free assessment carries no obligation. You receive an eligibility snapshot and recommended next steps, and can choose whether to proceed with a paid strategy consultation."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long does a free assessment take?"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initial submission takes a few minutes; a written or verbal response typically follows within one to two business days, depending on submission volume."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74"/>
    <w:bookmarkEnd w:id="375"/>
    <w:bookmarkStart w:id="384" w:name="page-content-23"/>
    <w:p>
      <w:pPr>
        <w:pStyle w:val="Heading2"/>
      </w:pPr>
      <w:r>
        <w:t xml:space="preserve">PAGE CONTENT</w:t>
      </w:r>
    </w:p>
    <w:bookmarkStart w:id="376" w:name="h1-23"/>
    <w:p>
      <w:pPr>
        <w:pStyle w:val="Heading3"/>
      </w:pPr>
      <w:r>
        <w:t xml:space="preserve">H1</w:t>
      </w:r>
    </w:p>
    <w:p>
      <w:pPr>
        <w:pStyle w:val="FirstParagraph"/>
      </w:pPr>
      <w:r>
        <w:t xml:space="preserve">Free Immigration Assessment — Licensed RCIC Review, No Obligation</w:t>
      </w:r>
    </w:p>
    <w:bookmarkEnd w:id="376"/>
    <w:bookmarkStart w:id="377" w:name="Xc71522e0861e6640958c60753633d5b4801a89e"/>
    <w:p>
      <w:pPr>
        <w:pStyle w:val="Heading3"/>
      </w:pPr>
      <w:r>
        <w:t xml:space="preserve">Intro (target:</w:t>
      </w:r>
      <w:r>
        <w:t xml:space="preserve"> </w:t>
      </w:r>
      <w:r>
        <w:t xml:space="preserve">“</w:t>
      </w:r>
      <w:r>
        <w:t xml:space="preserve">free immigration assessment Brampton</w:t>
      </w:r>
      <w:r>
        <w:t xml:space="preserve">”</w:t>
      </w:r>
      <w:r>
        <w:t xml:space="preserve">,</w:t>
      </w:r>
      <w:r>
        <w:t xml:space="preserve"> </w:t>
      </w:r>
      <w:r>
        <w:t xml:space="preserve">“</w:t>
      </w:r>
      <w:r>
        <w:t xml:space="preserve">free eligibility check Canada</w:t>
      </w:r>
      <w:r>
        <w:t xml:space="preserve">”</w:t>
      </w:r>
      <w:r>
        <w:t xml:space="preserve">)</w:t>
      </w:r>
    </w:p>
    <w:p>
      <w:pPr>
        <w:pStyle w:val="FirstParagraph"/>
      </w:pPr>
      <w:r>
        <w:t xml:space="preserve">Before you spend money on a consultation or a government filing fee, it helps to know which pathway actually fits your situation. This free assessment is reviewed by our licensed RCIC team in Brampton against current Express Entry, PNP, work permit, study permit, family sponsorship, and visitor visa criteria — with no obligation to proceed further.</w:t>
      </w:r>
    </w:p>
    <w:p>
      <w:pPr>
        <w:pStyle w:val="BodyText"/>
      </w:pPr>
      <w:r>
        <w:t xml:space="preserve">[Form widget — background, current status/location, immigration goal, prior refusals (yes/no), optional email for results]</w:t>
      </w:r>
    </w:p>
    <w:bookmarkEnd w:id="377"/>
    <w:bookmarkStart w:id="378" w:name="h2-what-the-assessment-covers"/>
    <w:p>
      <w:pPr>
        <w:pStyle w:val="Heading3"/>
      </w:pPr>
      <w:r>
        <w:t xml:space="preserve">H2: What the assessment covers</w:t>
      </w:r>
    </w:p>
    <w:p>
      <w:pPr>
        <w:numPr>
          <w:ilvl w:val="0"/>
          <w:numId w:val="1032"/>
        </w:numPr>
        <w:pStyle w:val="Compact"/>
      </w:pPr>
      <w:r>
        <w:rPr>
          <w:bCs/>
          <w:b/>
        </w:rPr>
        <w:t xml:space="preserve">Permanent residence routes</w:t>
      </w:r>
      <w:r>
        <w:t xml:space="preserve"> </w:t>
      </w:r>
      <w:r>
        <w:t xml:space="preserve">— Express Entry program fit and a rough CRS snapshot, plus provincial nominee eligibility.</w:t>
      </w:r>
    </w:p>
    <w:p>
      <w:pPr>
        <w:numPr>
          <w:ilvl w:val="0"/>
          <w:numId w:val="1032"/>
        </w:numPr>
        <w:pStyle w:val="Compact"/>
      </w:pPr>
      <w:r>
        <w:rPr>
          <w:bCs/>
          <w:b/>
        </w:rPr>
        <w:t xml:space="preserve">Temporary status</w:t>
      </w:r>
      <w:r>
        <w:t xml:space="preserve"> </w:t>
      </w:r>
      <w:r>
        <w:t xml:space="preserve">— work permit and study permit category fit based on your current situation.</w:t>
      </w:r>
    </w:p>
    <w:p>
      <w:pPr>
        <w:numPr>
          <w:ilvl w:val="0"/>
          <w:numId w:val="1032"/>
        </w:numPr>
        <w:pStyle w:val="Compact"/>
      </w:pPr>
      <w:r>
        <w:rPr>
          <w:bCs/>
          <w:b/>
        </w:rPr>
        <w:t xml:space="preserve">Family-based routes</w:t>
      </w:r>
      <w:r>
        <w:t xml:space="preserve"> </w:t>
      </w:r>
      <w:r>
        <w:t xml:space="preserve">— spousal, partner, PGP, or dependent-child sponsorship eligibility.</w:t>
      </w:r>
    </w:p>
    <w:p>
      <w:pPr>
        <w:numPr>
          <w:ilvl w:val="0"/>
          <w:numId w:val="1032"/>
        </w:numPr>
        <w:pStyle w:val="Compact"/>
      </w:pPr>
      <w:r>
        <w:rPr>
          <w:bCs/>
          <w:b/>
        </w:rPr>
        <w:t xml:space="preserve">Prior refusals</w:t>
      </w:r>
      <w:r>
        <w:t xml:space="preserve"> </w:t>
      </w:r>
      <w:r>
        <w:t xml:space="preserve">— flagged for review by our refusals team rather than treated as a standard new application.</w:t>
      </w:r>
    </w:p>
    <w:bookmarkEnd w:id="378"/>
    <w:bookmarkStart w:id="379" w:name="h2-what-you-get-back"/>
    <w:p>
      <w:pPr>
        <w:pStyle w:val="Heading3"/>
      </w:pPr>
      <w:r>
        <w:t xml:space="preserve">H2: What you get back</w:t>
      </w:r>
    </w:p>
    <w:p>
      <w:pPr>
        <w:pStyle w:val="FirstParagraph"/>
      </w:pPr>
      <w:r>
        <w:t xml:space="preserve">A summary of which pathways you appear eligible for, any obvious gaps worth addressing before applying, and a recommendation on whether a paid strategy consultation would meaningfully change your outcome — or whether one of our free calculators and guides is enough for your next step.</w:t>
      </w:r>
    </w:p>
    <w:bookmarkEnd w:id="379"/>
    <w:bookmarkStart w:id="380" w:name="Xdf9f3d4433a47f34d18b8b983971c217d40a08a"/>
    <w:p>
      <w:pPr>
        <w:pStyle w:val="Heading3"/>
      </w:pPr>
      <w:r>
        <w:t xml:space="preserve">H2: Why start here instead of booking directly</w:t>
      </w:r>
    </w:p>
    <w:p>
      <w:pPr>
        <w:pStyle w:val="FirstParagraph"/>
      </w:pPr>
      <w:r>
        <w:t xml:space="preserve">Not every situation needs a paid consultation immediately — some are straightforward enough that our free tools and guides answer the immediate question. The free assessment exists so you’re not paying for a consultation to find out something a five-minute review could tell you.</w:t>
      </w:r>
    </w:p>
    <w:bookmarkEnd w:id="380"/>
    <w:bookmarkStart w:id="381" w:name="h2-related-tools-pages-4"/>
    <w:p>
      <w:pPr>
        <w:pStyle w:val="Heading3"/>
      </w:pPr>
      <w:r>
        <w:t xml:space="preserve">H2: Related tools &amp; pages</w:t>
      </w:r>
    </w:p>
    <w:p>
      <w:pPr>
        <w:pStyle w:val="FirstParagraph"/>
      </w:pPr>
      <w:r>
        <w:t xml:space="preserve">Want to check a specific number first? Try the</w:t>
      </w:r>
      <w:r>
        <w:t xml:space="preserve"> </w:t>
      </w:r>
      <w:hyperlink r:id="rId39">
        <w:r>
          <w:rPr>
            <w:rStyle w:val="Hyperlink"/>
          </w:rPr>
          <w:t xml:space="preserve">CRS Calculator</w:t>
        </w:r>
      </w:hyperlink>
      <w:r>
        <w:t xml:space="preserve"> </w:t>
      </w:r>
      <w:r>
        <w:t xml:space="preserve">or</w:t>
      </w:r>
      <w:r>
        <w:t xml:space="preserve"> </w:t>
      </w:r>
      <w:hyperlink r:id="rId40">
        <w:r>
          <w:rPr>
            <w:rStyle w:val="Hyperlink"/>
          </w:rPr>
          <w:t xml:space="preserve">PNP Eligibility Check</w:t>
        </w:r>
      </w:hyperlink>
      <w:r>
        <w:t xml:space="preserve">. Ready to move straight to strategy?</w:t>
      </w:r>
      <w:r>
        <w:t xml:space="preserve"> </w:t>
      </w:r>
      <w:hyperlink r:id="rId65">
        <w:r>
          <w:rPr>
            <w:rStyle w:val="Hyperlink"/>
          </w:rPr>
          <w:t xml:space="preserve">Book a Consultation</w:t>
        </w:r>
      </w:hyperlink>
      <w:r>
        <w:t xml:space="preserve">.</w:t>
      </w:r>
    </w:p>
    <w:bookmarkEnd w:id="381"/>
    <w:bookmarkStart w:id="382" w:name="faq-22"/>
    <w:p>
      <w:pPr>
        <w:pStyle w:val="Heading3"/>
      </w:pPr>
      <w:r>
        <w:t xml:space="preserve">FAQ</w:t>
      </w:r>
    </w:p>
    <w:p>
      <w:pPr>
        <w:pStyle w:val="FirstParagraph"/>
      </w:pPr>
      <w:r>
        <w:rPr>
          <w:bCs/>
          <w:b/>
        </w:rPr>
        <w:t xml:space="preserve">Is this reviewed by an actual licensed consultant?</w:t>
      </w:r>
      <w:r>
        <w:t xml:space="preserve"> </w:t>
      </w:r>
      <w:r>
        <w:t xml:space="preserve">Yes — your submission is reviewed against current program criteria by our licensed RCIC team.</w:t>
      </w:r>
    </w:p>
    <w:p>
      <w:pPr>
        <w:pStyle w:val="BodyText"/>
      </w:pPr>
      <w:r>
        <w:rPr>
          <w:bCs/>
          <w:b/>
        </w:rPr>
        <w:t xml:space="preserve">Am I obligated to hire the firm afterward?</w:t>
      </w:r>
      <w:r>
        <w:t xml:space="preserve"> </w:t>
      </w:r>
      <w:r>
        <w:t xml:space="preserve">No — the assessment is free and carries no obligation; you decide whether to book a paid consultation.</w:t>
      </w:r>
    </w:p>
    <w:p>
      <w:pPr>
        <w:pStyle w:val="BodyText"/>
      </w:pPr>
      <w:r>
        <w:rPr>
          <w:bCs/>
          <w:b/>
        </w:rPr>
        <w:t xml:space="preserve">How long does it take to hear back?</w:t>
      </w:r>
      <w:r>
        <w:t xml:space="preserve"> </w:t>
      </w:r>
      <w:r>
        <w:t xml:space="preserve">The submission takes a few minutes; a response typically follows within one to two business days.</w:t>
      </w:r>
    </w:p>
    <w:bookmarkEnd w:id="382"/>
    <w:bookmarkStart w:id="383" w:name="cta-block-22"/>
    <w:p>
      <w:pPr>
        <w:pStyle w:val="Heading3"/>
      </w:pPr>
      <w:r>
        <w:t xml:space="preserve">CTA block</w:t>
      </w:r>
    </w:p>
    <w:p>
      <w:pPr>
        <w:pStyle w:val="FirstParagraph"/>
      </w:pPr>
      <w:r>
        <w:t xml:space="preserve">Start with a free, no-obligation assessment. [Free Assessment Form] ·</w:t>
      </w:r>
      <w:r>
        <w:t xml:space="preserve"> </w:t>
      </w:r>
      <w:hyperlink r:id="rId65">
        <w:r>
          <w:rPr>
            <w:rStyle w:val="Hyperlink"/>
          </w:rPr>
          <w:t xml:space="preserve">Book a Consultation</w:t>
        </w:r>
      </w:hyperlink>
    </w:p>
    <w:p>
      <w:r>
        <w:br w:type="page"/>
      </w:r>
    </w:p>
    <w:bookmarkEnd w:id="383"/>
    <w:bookmarkEnd w:id="384"/>
    <w:bookmarkEnd w:id="385"/>
    <w:bookmarkStart w:id="395" w:name="Xe5945f6ef86705a1e93802a2bae5a43548ca9ea"/>
    <w:p>
      <w:pPr>
        <w:pStyle w:val="Heading1"/>
      </w:pPr>
      <w:r>
        <w:t xml:space="preserve">Publishing Checklist — SEO/AEO Content Rollout</w:t>
      </w:r>
    </w:p>
    <w:p>
      <w:pPr>
        <w:pStyle w:val="FirstParagraph"/>
      </w:pPr>
      <w:r>
        <w:t xml:space="preserve">For whoever implements the 23 content docs into the Next.js site (cmg-canada-dark → commonwealthmigration.ca)</w:t>
      </w:r>
    </w:p>
    <w:p>
      <w:r>
        <w:pict>
          <v:rect style="width:0;height:1.5pt" o:hralign="center" o:hrstd="t" o:hr="t"/>
        </w:pict>
      </w:r>
    </w:p>
    <w:bookmarkStart w:id="386" w:name="Xf6f4103a7957bc58abea65ea96f23e0eac005c4"/>
    <w:p>
      <w:pPr>
        <w:pStyle w:val="Heading2"/>
      </w:pPr>
      <w:r>
        <w:t xml:space="preserve">1. Before you touch code — fix the placeholders</w:t>
      </w:r>
    </w:p>
    <w:p>
      <w:pPr>
        <w:pStyle w:val="FirstParagraph"/>
      </w:pPr>
      <w:r>
        <w:t xml:space="preserve">These appear across every page’s schema and are currently fake site-wide. Fix once, they’ll cascade: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Placeholder</w:t>
            </w:r>
          </w:p>
        </w:tc>
        <w:tc>
          <w:tcPr/>
          <w:p>
            <w:pPr>
              <w:pStyle w:val="Compact"/>
              <w:jc w:val="left"/>
            </w:pPr>
            <w:r>
              <w:t xml:space="preserve">Where it lives</w:t>
            </w:r>
          </w:p>
        </w:tc>
        <w:tc>
          <w:tcPr/>
          <w:p>
            <w:pPr>
              <w:pStyle w:val="Compact"/>
              <w:jc w:val="left"/>
            </w:pPr>
            <w:r>
              <w:t xml:space="preserve">Fix with</w:t>
            </w:r>
          </w:p>
        </w:tc>
      </w:tr>
      <w:tr>
        <w:tc>
          <w:tcPr/>
          <w:p>
            <w:pPr>
              <w:pStyle w:val="Compact"/>
              <w:jc w:val="left"/>
            </w:pPr>
            <w:r>
              <w:rPr>
                <w:rStyle w:val="VerbatimChar"/>
              </w:rPr>
              <w:t xml:space="preserve">(555) 012-3456</w:t>
            </w:r>
          </w:p>
        </w:tc>
        <w:tc>
          <w:tcPr/>
          <w:p>
            <w:pPr>
              <w:pStyle w:val="Compact"/>
              <w:jc w:val="left"/>
            </w:pPr>
            <w:r>
              <w:t xml:space="preserve">Header, footer, every CTA block, Contact page schema</w:t>
            </w:r>
          </w:p>
        </w:tc>
        <w:tc>
          <w:tcPr/>
          <w:p>
            <w:pPr>
              <w:pStyle w:val="Compact"/>
              <w:jc w:val="left"/>
            </w:pPr>
            <w:r>
              <w:t xml:space="preserve">Real business line</w:t>
            </w:r>
          </w:p>
        </w:tc>
      </w:tr>
      <w:tr>
        <w:tc>
          <w:tcPr/>
          <w:p>
            <w:pPr>
              <w:pStyle w:val="Compact"/>
              <w:jc w:val="left"/>
            </w:pPr>
            <w:r>
              <w:rPr>
                <w:rStyle w:val="VerbatimChar"/>
              </w:rPr>
              <w:t xml:space="preserve">support@example.com</w:t>
            </w:r>
          </w:p>
        </w:tc>
        <w:tc>
          <w:tcPr/>
          <w:p>
            <w:pPr>
              <w:pStyle w:val="Compact"/>
              <w:jc w:val="left"/>
            </w:pPr>
            <w:r>
              <w:t xml:space="preserve">Footer, every schema block</w:t>
            </w:r>
          </w:p>
        </w:tc>
        <w:tc>
          <w:tcPr/>
          <w:p>
            <w:pPr>
              <w:pStyle w:val="Compact"/>
              <w:jc w:val="left"/>
            </w:pPr>
            <w:r>
              <w:t xml:space="preserve">Real support inbox</w:t>
            </w:r>
          </w:p>
        </w:tc>
      </w:tr>
      <w:tr>
        <w:tc>
          <w:tcPr/>
          <w:p>
            <w:pPr>
              <w:pStyle w:val="Compact"/>
              <w:jc w:val="left"/>
            </w:pPr>
            <w:r>
              <w:t xml:space="preserve">Business hours (Mon–Fri 9–5)</w:t>
            </w:r>
          </w:p>
        </w:tc>
        <w:tc>
          <w:tcPr/>
          <w:p>
            <w:pPr>
              <w:pStyle w:val="Compact"/>
              <w:jc w:val="left"/>
            </w:pPr>
            <w:r>
              <w:t xml:space="preserve">Contact page — flagged as unconfirmed</w:t>
            </w:r>
          </w:p>
        </w:tc>
        <w:tc>
          <w:tcPr/>
          <w:p>
            <w:pPr>
              <w:pStyle w:val="Compact"/>
              <w:jc w:val="left"/>
            </w:pPr>
            <w:r>
              <w:t xml:space="preserve">Confirm actual hours</w:t>
            </w:r>
          </w:p>
        </w:tc>
      </w:tr>
      <w:tr>
        <w:tc>
          <w:tcPr/>
          <w:p>
            <w:pPr>
              <w:pStyle w:val="Compact"/>
              <w:jc w:val="left"/>
            </w:pPr>
            <w:r>
              <w:rPr>
                <w:rStyle w:val="VerbatimChar"/>
              </w:rPr>
              <w:t xml:space="preserve">og-default.png</w:t>
            </w:r>
          </w:p>
        </w:tc>
        <w:tc>
          <w:tcPr/>
          <w:p>
            <w:pPr>
              <w:pStyle w:val="Compact"/>
              <w:jc w:val="left"/>
            </w:pPr>
            <w:r>
              <w:t xml:space="preserve">Every</w:t>
            </w:r>
            <w:r>
              <w:t xml:space="preserve"> </w:t>
            </w:r>
            <w:r>
              <w:rPr>
                <w:rStyle w:val="VerbatimChar"/>
              </w:rPr>
              <w:t xml:space="preserve">og:image</w:t>
            </w:r>
            <w:r>
              <w:t xml:space="preserve"> </w:t>
            </w:r>
            <w:r>
              <w:t xml:space="preserve">reference</w:t>
            </w:r>
          </w:p>
        </w:tc>
        <w:tc>
          <w:tcPr/>
          <w:p>
            <w:pPr>
              <w:pStyle w:val="Compact"/>
              <w:jc w:val="left"/>
            </w:pPr>
            <w:r>
              <w:t xml:space="preserve">Confirm this image exists at 1200×630, or swap in a page-specific image</w:t>
            </w:r>
          </w:p>
        </w:tc>
      </w:tr>
    </w:tbl>
    <w:p>
      <w:pPr>
        <w:pStyle w:val="BodyText"/>
      </w:pPr>
      <w:r>
        <w:rPr>
          <w:bCs/>
          <w:b/>
        </w:rPr>
        <w:t xml:space="preserve">Do this first.</w:t>
      </w:r>
      <w:r>
        <w:t xml:space="preserve"> </w:t>
      </w:r>
      <w:r>
        <w:t xml:space="preserve">Every page’s JSON-LD references these — fixing them once in a shared config (e.g. </w:t>
      </w:r>
      <w:r>
        <w:rPr>
          <w:rStyle w:val="VerbatimChar"/>
        </w:rPr>
        <w:t xml:space="preserve">siteConfig.ts</w:t>
      </w:r>
      <w:r>
        <w:t xml:space="preserve">) is far less error-prone than fixing 23 files individually.</w:t>
      </w:r>
    </w:p>
    <w:p>
      <w:r>
        <w:pict>
          <v:rect style="width:0;height:1.5pt" o:hralign="center" o:hrstd="t" o:hr="t"/>
        </w:pict>
      </w:r>
    </w:p>
    <w:bookmarkEnd w:id="386"/>
    <w:bookmarkStart w:id="387" w:name="per-page-implementation-checklist"/>
    <w:p>
      <w:pPr>
        <w:pStyle w:val="Heading2"/>
      </w:pPr>
      <w:r>
        <w:t xml:space="preserve">2. Per-page implementation checklist</w:t>
      </w:r>
    </w:p>
    <w:p>
      <w:pPr>
        <w:pStyle w:val="FirstParagraph"/>
      </w:pPr>
      <w:r>
        <w:t xml:space="preserve">For each of the 23 pages:</w:t>
      </w:r>
    </w:p>
    <w:p>
      <w:pPr>
        <w:numPr>
          <w:ilvl w:val="0"/>
          <w:numId w:val="1033"/>
        </w:numPr>
        <w:pStyle w:val="Compact"/>
      </w:pPr>
      <w:r>
        <w:t xml:space="preserve">☐</w:t>
      </w:r>
      <w:r>
        <w:t xml:space="preserve"> </w:t>
      </w:r>
      <w:r>
        <w:rPr>
          <w:bCs/>
          <w:b/>
        </w:rPr>
        <w:t xml:space="preserve">Title tag</w:t>
      </w:r>
      <w:r>
        <w:t xml:space="preserve"> </w:t>
      </w:r>
      <w:r>
        <w:t xml:space="preserve">— copy exactly as written (all are 50–60 characters, front-loaded with the primary keyword +</w:t>
      </w:r>
      <w:r>
        <w:t xml:space="preserve"> </w:t>
      </w:r>
      <w:r>
        <w:t xml:space="preserve">“</w:t>
      </w:r>
      <w:r>
        <w:t xml:space="preserve">Brampton</w:t>
      </w:r>
      <w:r>
        <w:t xml:space="preserve">”</w:t>
      </w:r>
      <w:r>
        <w:t xml:space="preserve">)</w:t>
      </w:r>
    </w:p>
    <w:p>
      <w:pPr>
        <w:numPr>
          <w:ilvl w:val="0"/>
          <w:numId w:val="1033"/>
        </w:numPr>
        <w:pStyle w:val="Compact"/>
      </w:pPr>
      <w:r>
        <w:t xml:space="preserve">☐</w:t>
      </w:r>
      <w:r>
        <w:t xml:space="preserve"> </w:t>
      </w:r>
      <w:r>
        <w:rPr>
          <w:bCs/>
          <w:b/>
        </w:rPr>
        <w:t xml:space="preserve">Meta description</w:t>
      </w:r>
      <w:r>
        <w:t xml:space="preserve"> </w:t>
      </w:r>
      <w:r>
        <w:t xml:space="preserve">— copy exactly (all are 150–160 characters — don’t let a CMS truncate mid-word)</w:t>
      </w:r>
    </w:p>
    <w:p>
      <w:pPr>
        <w:numPr>
          <w:ilvl w:val="0"/>
          <w:numId w:val="1033"/>
        </w:numPr>
        <w:pStyle w:val="Compact"/>
      </w:pPr>
      <w:r>
        <w:t xml:space="preserve">☐</w:t>
      </w:r>
      <w:r>
        <w:t xml:space="preserve"> </w:t>
      </w:r>
      <w:r>
        <w:rPr>
          <w:bCs/>
          <w:b/>
        </w:rPr>
        <w:t xml:space="preserve">Canonical URL</w:t>
      </w:r>
      <w:r>
        <w:t xml:space="preserve"> </w:t>
      </w:r>
      <w:r>
        <w:t xml:space="preserve">— must be self-referencing and use the production domain (</w:t>
      </w:r>
      <w:r>
        <w:rPr>
          <w:rStyle w:val="VerbatimChar"/>
        </w:rPr>
        <w:t xml:space="preserve">commonwealthmigration.ca</w:t>
      </w:r>
      <w:r>
        <w:t xml:space="preserve">), not the Vercel preview domain</w:t>
      </w:r>
    </w:p>
    <w:p>
      <w:pPr>
        <w:numPr>
          <w:ilvl w:val="0"/>
          <w:numId w:val="1033"/>
        </w:numPr>
        <w:pStyle w:val="Compact"/>
      </w:pPr>
      <w:r>
        <w:t xml:space="preserve">☐</w:t>
      </w:r>
      <w:r>
        <w:t xml:space="preserve"> </w:t>
      </w:r>
      <w:r>
        <w:rPr>
          <w:bCs/>
          <w:b/>
        </w:rPr>
        <w:t xml:space="preserve">OG/Twitter tags</w:t>
      </w:r>
      <w:r>
        <w:t xml:space="preserve"> </w:t>
      </w:r>
      <w:r>
        <w:t xml:space="preserve">— map as given; confirm</w:t>
      </w:r>
      <w:r>
        <w:t xml:space="preserve"> </w:t>
      </w:r>
      <w:r>
        <w:rPr>
          <w:rStyle w:val="VerbatimChar"/>
        </w:rPr>
        <w:t xml:space="preserve">og:image</w:t>
      </w:r>
      <w:r>
        <w:t xml:space="preserve"> </w:t>
      </w:r>
      <w:r>
        <w:t xml:space="preserve">resolves to a real, existing asset before launch (a broken OG image kills link-preview credibility on social/WhatsApp shares, which matters given the WhatsApp CTA already on the site)</w:t>
      </w:r>
    </w:p>
    <w:p>
      <w:pPr>
        <w:numPr>
          <w:ilvl w:val="0"/>
          <w:numId w:val="1033"/>
        </w:numPr>
        <w:pStyle w:val="Compact"/>
      </w:pPr>
      <w:r>
        <w:t xml:space="preserve">☐</w:t>
      </w:r>
      <w:r>
        <w:t xml:space="preserve"> </w:t>
      </w:r>
      <w:r>
        <w:rPr>
          <w:bCs/>
          <w:b/>
        </w:rPr>
        <w:t xml:space="preserve">JSON-LD block</w:t>
      </w:r>
      <w:r>
        <w:t xml:space="preserve"> </w:t>
      </w:r>
      <w:r>
        <w:t xml:space="preserve">— paste as</w:t>
      </w:r>
      <w:r>
        <w:t xml:space="preserve"> </w:t>
      </w:r>
      <w:r>
        <w:rPr>
          <w:rStyle w:val="VerbatimChar"/>
        </w:rPr>
        <w:t xml:space="preserve">&lt;script type="application/ld+json"&gt;</w:t>
      </w:r>
      <w:r>
        <w:t xml:space="preserve"> </w:t>
      </w:r>
      <w:r>
        <w:t xml:space="preserve">in the page</w:t>
      </w:r>
      <w:r>
        <w:t xml:space="preserve"> </w:t>
      </w:r>
      <w:r>
        <w:rPr>
          <w:rStyle w:val="VerbatimChar"/>
        </w:rPr>
        <w:t xml:space="preserve">&lt;head&gt;</w:t>
      </w:r>
      <w:r>
        <w:t xml:space="preserve"> </w:t>
      </w:r>
      <w:r>
        <w:t xml:space="preserve">(Next.js: via</w:t>
      </w:r>
      <w:r>
        <w:t xml:space="preserve"> </w:t>
      </w:r>
      <w:r>
        <w:rPr>
          <w:rStyle w:val="VerbatimChar"/>
        </w:rPr>
        <w:t xml:space="preserve">generateMetadata</w:t>
      </w:r>
      <w:r>
        <w:t xml:space="preserve"> </w:t>
      </w:r>
      <w:r>
        <w:t xml:space="preserve">or a</w:t>
      </w:r>
      <w:r>
        <w:t xml:space="preserve"> </w:t>
      </w:r>
      <w:r>
        <w:rPr>
          <w:rStyle w:val="VerbatimChar"/>
        </w:rPr>
        <w:t xml:space="preserve">&lt;Script&gt;</w:t>
      </w:r>
      <w:r>
        <w:t xml:space="preserve"> </w:t>
      </w:r>
      <w:r>
        <w:t xml:space="preserve">component with</w:t>
      </w:r>
      <w:r>
        <w:t xml:space="preserve"> </w:t>
      </w:r>
      <w:r>
        <w:rPr>
          <w:rStyle w:val="VerbatimChar"/>
        </w:rPr>
        <w:t xml:space="preserve">strategy="beforeInteractive"</w:t>
      </w:r>
      <w:r>
        <w:t xml:space="preserve"> </w:t>
      </w:r>
      <w:r>
        <w:t xml:space="preserve">or inline in the server component)</w:t>
      </w:r>
    </w:p>
    <w:p>
      <w:pPr>
        <w:numPr>
          <w:ilvl w:val="0"/>
          <w:numId w:val="1033"/>
        </w:numPr>
        <w:pStyle w:val="Compact"/>
      </w:pPr>
      <w:r>
        <w:t xml:space="preserve">☐</w:t>
      </w:r>
      <w:r>
        <w:t xml:space="preserve"> </w:t>
      </w:r>
      <w:r>
        <w:rPr>
          <w:bCs/>
          <w:b/>
        </w:rPr>
        <w:t xml:space="preserve">H1</w:t>
      </w:r>
      <w:r>
        <w:t xml:space="preserve"> </w:t>
      </w:r>
      <w:r>
        <w:t xml:space="preserve">— exactly one per page, matches the doc</w:t>
      </w:r>
    </w:p>
    <w:p>
      <w:pPr>
        <w:numPr>
          <w:ilvl w:val="0"/>
          <w:numId w:val="1033"/>
        </w:numPr>
        <w:pStyle w:val="Compact"/>
      </w:pPr>
      <w:r>
        <w:t xml:space="preserve">☐</w:t>
      </w:r>
      <w:r>
        <w:t xml:space="preserve"> </w:t>
      </w:r>
      <w:r>
        <w:rPr>
          <w:bCs/>
          <w:b/>
        </w:rPr>
        <w:t xml:space="preserve">Heading hierarchy</w:t>
      </w:r>
      <w:r>
        <w:t xml:space="preserve"> </w:t>
      </w:r>
      <w:r>
        <w:t xml:space="preserve">— H2s and H3s in the order given; don’t skip levels (no H2 → H4)</w:t>
      </w:r>
    </w:p>
    <w:p>
      <w:pPr>
        <w:numPr>
          <w:ilvl w:val="0"/>
          <w:numId w:val="1033"/>
        </w:numPr>
        <w:pStyle w:val="Compact"/>
      </w:pPr>
      <w:r>
        <w:t xml:space="preserve">☐</w:t>
      </w:r>
      <w:r>
        <w:t xml:space="preserve"> </w:t>
      </w:r>
      <w:r>
        <w:rPr>
          <w:bCs/>
          <w:b/>
        </w:rPr>
        <w:t xml:space="preserve">Internal links</w:t>
      </w:r>
      <w:r>
        <w:t xml:space="preserve"> </w:t>
      </w:r>
      <w:r>
        <w:t xml:space="preserve">— implement every</w:t>
      </w:r>
      <w:r>
        <w:t xml:space="preserve"> </w:t>
      </w:r>
      <w:r>
        <w:t xml:space="preserve">“</w:t>
      </w:r>
      <w:r>
        <w:t xml:space="preserve">Related pathways</w:t>
      </w:r>
      <w:r>
        <w:t xml:space="preserve">”</w:t>
      </w:r>
      <w:r>
        <w:t xml:space="preserve"> </w:t>
      </w:r>
      <w:r>
        <w:t xml:space="preserve">link; these build the topical cluster Google and AI crawlers use to understand site structure</w:t>
      </w:r>
    </w:p>
    <w:p>
      <w:pPr>
        <w:numPr>
          <w:ilvl w:val="0"/>
          <w:numId w:val="1033"/>
        </w:numPr>
        <w:pStyle w:val="Compact"/>
      </w:pPr>
      <w:r>
        <w:t xml:space="preserve">☐</w:t>
      </w:r>
      <w:r>
        <w:t xml:space="preserve"> </w:t>
      </w:r>
      <w:r>
        <w:rPr>
          <w:bCs/>
          <w:b/>
        </w:rPr>
        <w:t xml:space="preserve">FAQ section</w:t>
      </w:r>
      <w:r>
        <w:t xml:space="preserve"> </w:t>
      </w:r>
      <w:r>
        <w:t xml:space="preserve">— render as visible on-page content (not hidden in a collapsed accordion that’s empty in the DOM until clicked — use</w:t>
      </w:r>
      <w:r>
        <w:t xml:space="preserve"> </w:t>
      </w:r>
      <w:r>
        <w:rPr>
          <w:rStyle w:val="VerbatimChar"/>
        </w:rPr>
        <w:t xml:space="preserve">&lt;details&gt;/&lt;summary&gt;</w:t>
      </w:r>
      <w:r>
        <w:t xml:space="preserve"> </w:t>
      </w:r>
      <w:r>
        <w:t xml:space="preserve">or ensure accordion content is server-rendered, not client-only-on-click, so crawlers see the answer text)</w:t>
      </w:r>
    </w:p>
    <w:p>
      <w:pPr>
        <w:numPr>
          <w:ilvl w:val="0"/>
          <w:numId w:val="1033"/>
        </w:numPr>
        <w:pStyle w:val="Compact"/>
      </w:pPr>
      <w:r>
        <w:t xml:space="preserve">☐</w:t>
      </w:r>
      <w:r>
        <w:t xml:space="preserve"> </w:t>
      </w:r>
      <w:r>
        <w:rPr>
          <w:bCs/>
          <w:b/>
        </w:rPr>
        <w:t xml:space="preserve">CTA buttons</w:t>
      </w:r>
      <w:r>
        <w:t xml:space="preserve"> </w:t>
      </w:r>
      <w:r>
        <w:t xml:space="preserve">— link to real, working</w:t>
      </w:r>
      <w:r>
        <w:t xml:space="preserve"> </w:t>
      </w:r>
      <w:r>
        <w:rPr>
          <w:rStyle w:val="VerbatimChar"/>
        </w:rPr>
        <w:t xml:space="preserve">/book</w:t>
      </w:r>
      <w:r>
        <w:t xml:space="preserve"> </w:t>
      </w:r>
      <w:r>
        <w:t xml:space="preserve">and</w:t>
      </w:r>
      <w:r>
        <w:t xml:space="preserve"> </w:t>
      </w:r>
      <w:r>
        <w:rPr>
          <w:rStyle w:val="VerbatimChar"/>
        </w:rPr>
        <w:t xml:space="preserve">/tools/*</w:t>
      </w:r>
      <w:r>
        <w:t xml:space="preserve"> </w:t>
      </w:r>
      <w:r>
        <w:t xml:space="preserve">routes</w:t>
      </w:r>
    </w:p>
    <w:p>
      <w:r>
        <w:pict>
          <v:rect style="width:0;height:1.5pt" o:hralign="center" o:hrstd="t" o:hr="t"/>
        </w:pict>
      </w:r>
    </w:p>
    <w:bookmarkEnd w:id="387"/>
    <w:bookmarkStart w:id="390" w:name="Xd89990d6a17c1a59996c0fc85f82a283ee30687"/>
    <w:p>
      <w:pPr>
        <w:pStyle w:val="Heading2"/>
      </w:pPr>
      <w:r>
        <w:t xml:space="preserve">3. Schema validation (do this before every deploy, not just once)</w:t>
      </w:r>
    </w:p>
    <w:p>
      <w:pPr>
        <w:numPr>
          <w:ilvl w:val="0"/>
          <w:numId w:val="1034"/>
        </w:numPr>
        <w:pStyle w:val="Compact"/>
      </w:pPr>
      <w:r>
        <w:t xml:space="preserve">☐ Run every page through</w:t>
      </w:r>
      <w:r>
        <w:t xml:space="preserve"> </w:t>
      </w:r>
      <w:hyperlink r:id="rId388">
        <w:r>
          <w:rPr>
            <w:rStyle w:val="Hyperlink"/>
          </w:rPr>
          <w:t xml:space="preserve">Google’s Rich Results Test</w:t>
        </w:r>
      </w:hyperlink>
      <w:r>
        <w:t xml:space="preserve"> </w:t>
      </w:r>
      <w:r>
        <w:t xml:space="preserve">— confirm FAQPage, Service, LocalBusiness, Person, and HowTo schema all validate with zero errors</w:t>
      </w:r>
    </w:p>
    <w:p>
      <w:pPr>
        <w:numPr>
          <w:ilvl w:val="0"/>
          <w:numId w:val="1034"/>
        </w:numPr>
        <w:pStyle w:val="Compact"/>
      </w:pPr>
      <w:r>
        <w:t xml:space="preserve">☐ Run the</w:t>
      </w:r>
      <w:r>
        <w:t xml:space="preserve"> </w:t>
      </w:r>
      <w:r>
        <w:rPr>
          <w:bCs/>
          <w:b/>
        </w:rPr>
        <w:t xml:space="preserve">Contact page</w:t>
      </w:r>
      <w:r>
        <w:t xml:space="preserve"> </w:t>
      </w:r>
      <w:r>
        <w:t xml:space="preserve">specifically through</w:t>
      </w:r>
      <w:r>
        <w:t xml:space="preserve"> </w:t>
      </w:r>
      <w:hyperlink r:id="rId389">
        <w:r>
          <w:rPr>
            <w:rStyle w:val="Hyperlink"/>
          </w:rPr>
          <w:t xml:space="preserve">Schema.org Validator</w:t>
        </w:r>
      </w:hyperlink>
      <w:r>
        <w:t xml:space="preserve"> </w:t>
      </w:r>
      <w:r>
        <w:t xml:space="preserve">— this is the LocalBusiness block carrying NAP data; errors here hurt local pack ranking the most</w:t>
      </w:r>
    </w:p>
    <w:p>
      <w:pPr>
        <w:numPr>
          <w:ilvl w:val="0"/>
          <w:numId w:val="1034"/>
        </w:numPr>
        <w:pStyle w:val="Compact"/>
      </w:pPr>
      <w:r>
        <w:t xml:space="preserve">☐ Confirm NAP (Name, Address, Phone) is</w:t>
      </w:r>
      <w:r>
        <w:t xml:space="preserve"> </w:t>
      </w:r>
      <w:r>
        <w:rPr>
          <w:bCs/>
          <w:b/>
        </w:rPr>
        <w:t xml:space="preserve">byte-for-byte identical</w:t>
      </w:r>
      <w:r>
        <w:t xml:space="preserve"> </w:t>
      </w:r>
      <w:r>
        <w:t xml:space="preserve">across: homepage footer, Contact page, schema JSON-LD, and any Google Business Profile listing. Inconsistent NAP is one of the most common reasons local sites don’t rank in the map pack.</w:t>
      </w:r>
    </w:p>
    <w:p>
      <w:r>
        <w:pict>
          <v:rect style="width:0;height:1.5pt" o:hralign="center" o:hrstd="t" o:hr="t"/>
        </w:pict>
      </w:r>
    </w:p>
    <w:bookmarkEnd w:id="390"/>
    <w:bookmarkStart w:id="391" w:name="images"/>
    <w:p>
      <w:pPr>
        <w:pStyle w:val="Heading2"/>
      </w:pPr>
      <w:r>
        <w:t xml:space="preserve">4. Images</w:t>
      </w:r>
    </w:p>
    <w:p>
      <w:pPr>
        <w:numPr>
          <w:ilvl w:val="0"/>
          <w:numId w:val="1035"/>
        </w:numPr>
        <w:pStyle w:val="Compact"/>
      </w:pPr>
      <w:r>
        <w:t xml:space="preserve">☐ Every image referenced needs real</w:t>
      </w:r>
      <w:r>
        <w:t xml:space="preserve"> </w:t>
      </w:r>
      <w:r>
        <w:rPr>
          <w:rStyle w:val="VerbatimChar"/>
        </w:rPr>
        <w:t xml:space="preserve">alt</w:t>
      </w:r>
      <w:r>
        <w:t xml:space="preserve"> </w:t>
      </w:r>
      <w:r>
        <w:t xml:space="preserve">text — use the alt text suggested in each doc’s meta table, written for the actual image, not generic (</w:t>
      </w:r>
      <w:r>
        <w:t xml:space="preserve">“</w:t>
      </w:r>
      <w:r>
        <w:t xml:space="preserve">RCIC reviewing an Express Entry profile with a client in Brampton office</w:t>
      </w:r>
      <w:r>
        <w:t xml:space="preserve">”</w:t>
      </w:r>
      <w:r>
        <w:t xml:space="preserve"> </w:t>
      </w:r>
      <w:r>
        <w:t xml:space="preserve">— not</w:t>
      </w:r>
      <w:r>
        <w:t xml:space="preserve"> </w:t>
      </w:r>
      <w:r>
        <w:t xml:space="preserve">“</w:t>
      </w:r>
      <w:r>
        <w:t xml:space="preserve">immigration image 1</w:t>
      </w:r>
      <w:r>
        <w:t xml:space="preserve">”</w:t>
      </w:r>
      <w:r>
        <w:t xml:space="preserve">)</w:t>
      </w:r>
    </w:p>
    <w:p>
      <w:pPr>
        <w:numPr>
          <w:ilvl w:val="0"/>
          <w:numId w:val="1035"/>
        </w:numPr>
        <w:pStyle w:val="Compact"/>
      </w:pPr>
      <w:r>
        <w:t xml:space="preserve">☐ Compress/serve via Next.js</w:t>
      </w:r>
      <w:r>
        <w:t xml:space="preserve"> </w:t>
      </w:r>
      <w:r>
        <w:rPr>
          <w:rStyle w:val="VerbatimChar"/>
        </w:rPr>
        <w:t xml:space="preserve">&lt;Image&gt;</w:t>
      </w:r>
      <w:r>
        <w:t xml:space="preserve"> </w:t>
      </w:r>
      <w:r>
        <w:t xml:space="preserve">— the homepage already uses</w:t>
      </w:r>
      <w:r>
        <w:t xml:space="preserve"> </w:t>
      </w:r>
      <w:r>
        <w:rPr>
          <w:rStyle w:val="VerbatimChar"/>
        </w:rPr>
        <w:t xml:space="preserve">_next/image</w:t>
      </w:r>
      <w:r>
        <w:t xml:space="preserve"> </w:t>
      </w:r>
      <w:r>
        <w:t xml:space="preserve">with</w:t>
      </w:r>
      <w:r>
        <w:t xml:space="preserve"> </w:t>
      </w:r>
      <w:r>
        <w:rPr>
          <w:rStyle w:val="VerbatimChar"/>
        </w:rPr>
        <w:t xml:space="preserve">w=3840&amp;q=75</w:t>
      </w:r>
      <w:r>
        <w:t xml:space="preserve">; keep consistent</w:t>
      </w:r>
    </w:p>
    <w:p>
      <w:pPr>
        <w:numPr>
          <w:ilvl w:val="0"/>
          <w:numId w:val="1035"/>
        </w:numPr>
        <w:pStyle w:val="Compact"/>
      </w:pPr>
      <w:r>
        <w:t xml:space="preserve">☐ Add location-relevant images where possible (Brampton/Peel Region specific, not generic stock Toronto skyline on every page — vary imagery per page topic)</w:t>
      </w:r>
    </w:p>
    <w:p>
      <w:r>
        <w:pict>
          <v:rect style="width:0;height:1.5pt" o:hralign="center" o:hrstd="t" o:hr="t"/>
        </w:pict>
      </w:r>
    </w:p>
    <w:bookmarkEnd w:id="391"/>
    <w:bookmarkStart w:id="392" w:name="sitemap-robots.txt"/>
    <w:p>
      <w:pPr>
        <w:pStyle w:val="Heading2"/>
      </w:pPr>
      <w:r>
        <w:t xml:space="preserve">5. Sitemap &amp; robots.txt</w:t>
      </w:r>
    </w:p>
    <w:p>
      <w:pPr>
        <w:pStyle w:val="FirstParagraph"/>
      </w:pPr>
      <w:r>
        <w:t xml:space="preserve">Two files delivered alongside this checklist:</w:t>
      </w:r>
      <w:r>
        <w:t xml:space="preserve"> </w:t>
      </w:r>
      <w:r>
        <w:rPr>
          <w:rStyle w:val="VerbatimChar"/>
        </w:rPr>
        <w:t xml:space="preserve">sitemap.xml</w:t>
      </w:r>
      <w:r>
        <w:t xml:space="preserve"> </w:t>
      </w:r>
      <w:r>
        <w:t xml:space="preserve">and</w:t>
      </w:r>
      <w:r>
        <w:t xml:space="preserve"> </w:t>
      </w:r>
      <w:r>
        <w:rPr>
          <w:rStyle w:val="VerbatimChar"/>
        </w:rPr>
        <w:t xml:space="preserve">robots.txt</w:t>
      </w:r>
      <w:r>
        <w:t xml:space="preserve">.</w:t>
      </w:r>
    </w:p>
    <w:p>
      <w:pPr>
        <w:numPr>
          <w:ilvl w:val="0"/>
          <w:numId w:val="1036"/>
        </w:numPr>
        <w:pStyle w:val="Compact"/>
      </w:pPr>
      <w:r>
        <w:t xml:space="preserve">☐ Deploy</w:t>
      </w:r>
      <w:r>
        <w:t xml:space="preserve"> </w:t>
      </w:r>
      <w:r>
        <w:rPr>
          <w:rStyle w:val="VerbatimChar"/>
        </w:rPr>
        <w:t xml:space="preserve">sitemap.xml</w:t>
      </w:r>
      <w:r>
        <w:t xml:space="preserve"> </w:t>
      </w:r>
      <w:r>
        <w:t xml:space="preserve">at the domain root, list it in</w:t>
      </w:r>
      <w:r>
        <w:t xml:space="preserve"> </w:t>
      </w:r>
      <w:r>
        <w:rPr>
          <w:rStyle w:val="VerbatimChar"/>
        </w:rPr>
        <w:t xml:space="preserve">robots.txt</w:t>
      </w:r>
      <w:r>
        <w:t xml:space="preserve"> </w:t>
      </w:r>
      <w:r>
        <w:t xml:space="preserve">(already done in the file)</w:t>
      </w:r>
    </w:p>
    <w:p>
      <w:pPr>
        <w:numPr>
          <w:ilvl w:val="0"/>
          <w:numId w:val="1036"/>
        </w:numPr>
        <w:pStyle w:val="Compact"/>
      </w:pPr>
      <w:r>
        <w:t xml:space="preserve">☐ Submit sitemap in Google Search Console after deploy</w:t>
      </w:r>
    </w:p>
    <w:p>
      <w:pPr>
        <w:numPr>
          <w:ilvl w:val="0"/>
          <w:numId w:val="1036"/>
        </w:numPr>
        <w:pStyle w:val="Compact"/>
      </w:pPr>
      <w:r>
        <w:t xml:space="preserve">☐ Submit sitemap in Bing Webmaster Tools too — underrated for AI answer engines that partially rely on Bing’s index (Copilot, some Perplexity sourcing)</w:t>
      </w:r>
    </w:p>
    <w:p>
      <w:pPr>
        <w:numPr>
          <w:ilvl w:val="0"/>
          <w:numId w:val="1036"/>
        </w:numPr>
        <w:pStyle w:val="Compact"/>
      </w:pPr>
      <w:r>
        <w:t xml:space="preserve">☐</w:t>
      </w:r>
      <w:r>
        <w:t xml:space="preserve"> </w:t>
      </w:r>
      <w:r>
        <w:rPr>
          <w:rStyle w:val="VerbatimChar"/>
        </w:rPr>
        <w:t xml:space="preserve">robots.txt</w:t>
      </w:r>
      <w:r>
        <w:t xml:space="preserve"> </w:t>
      </w:r>
      <w:r>
        <w:t xml:space="preserve">explicitly allows GPTBot, ChatGPT-User, Google-Extended, PerplexityBot, ClaudeBot, anthropic-ai, and CCBot — confirm none of these are blocked elsewhere (e.g. Cloudflare bot-fight mode, which can silently block them even if robots.txt allows them)</w:t>
      </w:r>
    </w:p>
    <w:p>
      <w:r>
        <w:pict>
          <v:rect style="width:0;height:1.5pt" o:hralign="center" o:hrstd="t" o:hr="t"/>
        </w:pict>
      </w:r>
    </w:p>
    <w:bookmarkEnd w:id="392"/>
    <w:bookmarkStart w:id="393" w:name="post-launch-first-2-weeks"/>
    <w:p>
      <w:pPr>
        <w:pStyle w:val="Heading2"/>
      </w:pPr>
      <w:r>
        <w:t xml:space="preserve">6. Post-launch (first 2 weeks)</w:t>
      </w:r>
    </w:p>
    <w:p>
      <w:pPr>
        <w:numPr>
          <w:ilvl w:val="0"/>
          <w:numId w:val="1037"/>
        </w:numPr>
        <w:pStyle w:val="Compact"/>
      </w:pPr>
      <w:r>
        <w:t xml:space="preserve">☐ Verify Google Business Profile address/phone/hours match the Contact page exactly</w:t>
      </w:r>
    </w:p>
    <w:p>
      <w:pPr>
        <w:numPr>
          <w:ilvl w:val="0"/>
          <w:numId w:val="1037"/>
        </w:numPr>
        <w:pStyle w:val="Compact"/>
      </w:pPr>
      <w:r>
        <w:t xml:space="preserve">☐ Request indexing for all 23 URLs individually in Search Console (don’t just wait for the sitemap crawl)</w:t>
      </w:r>
    </w:p>
    <w:p>
      <w:pPr>
        <w:numPr>
          <w:ilvl w:val="0"/>
          <w:numId w:val="1037"/>
        </w:numPr>
        <w:pStyle w:val="Compact"/>
      </w:pPr>
      <w:r>
        <w:t xml:space="preserve">☐ Check Core Web Vitals on the 5 highest-priority pages (Express Entry, PNP, Work Permit, Study Permit, Contact) — content additions shouldn’t regress load speed</w:t>
      </w:r>
    </w:p>
    <w:p>
      <w:pPr>
        <w:numPr>
          <w:ilvl w:val="0"/>
          <w:numId w:val="1037"/>
        </w:numPr>
        <w:pStyle w:val="Compact"/>
      </w:pPr>
      <w:r>
        <w:t xml:space="preserve">☐ Spot-check 3–4 target keywords in an incognito search from a Brampton/GTA IP or with location set to Brampton, ON, to confirm local relevance signals are firing</w:t>
      </w:r>
    </w:p>
    <w:p>
      <w:r>
        <w:pict>
          <v:rect style="width:0;height:1.5pt" o:hralign="center" o:hrstd="t" o:hr="t"/>
        </w:pict>
      </w:r>
    </w:p>
    <w:bookmarkEnd w:id="393"/>
    <w:bookmarkStart w:id="394" w:name="X43c10c8e721cddaa4217ba11487d323fbb3b7ab"/>
    <w:p>
      <w:pPr>
        <w:pStyle w:val="Heading2"/>
      </w:pPr>
      <w:r>
        <w:t xml:space="preserve">7. What’s intentionally NOT in the content docs (your call, not mine)</w:t>
      </w:r>
    </w:p>
    <w:p>
      <w:pPr>
        <w:numPr>
          <w:ilvl w:val="0"/>
          <w:numId w:val="1038"/>
        </w:numPr>
        <w:pStyle w:val="Compact"/>
      </w:pPr>
      <w:r>
        <w:t xml:space="preserve">Actual phone number, email, and hours — flagged above, needs real data</w:t>
      </w:r>
    </w:p>
    <w:p>
      <w:pPr>
        <w:numPr>
          <w:ilvl w:val="0"/>
          <w:numId w:val="1038"/>
        </w:numPr>
        <w:pStyle w:val="Compact"/>
      </w:pPr>
      <w:r>
        <w:t xml:space="preserve">Final image selection/sourcing</w:t>
      </w:r>
    </w:p>
    <w:p>
      <w:pPr>
        <w:numPr>
          <w:ilvl w:val="0"/>
          <w:numId w:val="1038"/>
        </w:numPr>
        <w:pStyle w:val="Compact"/>
      </w:pPr>
      <w:r>
        <w:t xml:space="preserve">Pricing (none of the pages mention fees — confirm that’s intentional per your compliance posture)</w:t>
      </w:r>
    </w:p>
    <w:p>
      <w:pPr>
        <w:numPr>
          <w:ilvl w:val="0"/>
          <w:numId w:val="1038"/>
        </w:numPr>
        <w:pStyle w:val="Compact"/>
      </w:pPr>
      <w:r>
        <w:t xml:space="preserve">French-language versions (Ontario doesn’t require bilingual by law outside federal services, but if there’s future demand from Francophone clients, that’s a separate content project, not a translation of these)</w:t>
      </w:r>
    </w:p>
    <w:p>
      <w:r>
        <w:br w:type="page"/>
      </w:r>
    </w:p>
    <w:bookmarkEnd w:id="394"/>
    <w:bookmarkEnd w:id="3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about-us" TargetMode="External" /><Relationship Type="http://schemas.openxmlformats.org/officeDocument/2006/relationships/hyperlink" Id="rId65" Target="/book" TargetMode="External" /><Relationship Type="http://schemas.openxmlformats.org/officeDocument/2006/relationships/hyperlink" Id="rId46" Target="/contact-us" TargetMode="External" /><Relationship Type="http://schemas.openxmlformats.org/officeDocument/2006/relationships/hyperlink" Id="rId36" Target="/for-employers" TargetMode="External" /><Relationship Type="http://schemas.openxmlformats.org/officeDocument/2006/relationships/hyperlink" Id="rId154" Target="/for-employers/employer-compliance" TargetMode="External" /><Relationship Type="http://schemas.openxmlformats.org/officeDocument/2006/relationships/hyperlink" Id="rId149" Target="/for-employers/global-talent-stream" TargetMode="External" /><Relationship Type="http://schemas.openxmlformats.org/officeDocument/2006/relationships/hyperlink" Id="rId89" Target="/for-employers/lmia" TargetMode="External" /><Relationship Type="http://schemas.openxmlformats.org/officeDocument/2006/relationships/hyperlink" Id="rId212" Target="/how-it-works" TargetMode="External" /><Relationship Type="http://schemas.openxmlformats.org/officeDocument/2006/relationships/hyperlink" Id="rId26" Target="/immigration/express-entry" TargetMode="External" /><Relationship Type="http://schemas.openxmlformats.org/officeDocument/2006/relationships/hyperlink" Id="rId30" Target="/immigration/family-sponsorship" TargetMode="External" /><Relationship Type="http://schemas.openxmlformats.org/officeDocument/2006/relationships/hyperlink" Id="rId94" Target="/immigration/pgwp" TargetMode="External" /><Relationship Type="http://schemas.openxmlformats.org/officeDocument/2006/relationships/hyperlink" Id="rId27" Target="/immigration/pnp" TargetMode="External" /><Relationship Type="http://schemas.openxmlformats.org/officeDocument/2006/relationships/hyperlink" Id="rId29" Target="/immigration/study-permit" TargetMode="External" /><Relationship Type="http://schemas.openxmlformats.org/officeDocument/2006/relationships/hyperlink" Id="rId28" Target="/immigration/work-permit" TargetMode="External" /><Relationship Type="http://schemas.openxmlformats.org/officeDocument/2006/relationships/hyperlink" Id="rId31" Target="/refusals" TargetMode="External" /><Relationship Type="http://schemas.openxmlformats.org/officeDocument/2006/relationships/hyperlink" Id="rId34" Target="/team" TargetMode="External" /><Relationship Type="http://schemas.openxmlformats.org/officeDocument/2006/relationships/hyperlink" Id="rId39" Target="/tools/crs-calculator" TargetMode="External" /><Relationship Type="http://schemas.openxmlformats.org/officeDocument/2006/relationships/hyperlink" Id="rId42" Target="/tools/document-checklist" TargetMode="External" /><Relationship Type="http://schemas.openxmlformats.org/officeDocument/2006/relationships/hyperlink" Id="rId43" Target="/tools/free-assessment" TargetMode="External" /><Relationship Type="http://schemas.openxmlformats.org/officeDocument/2006/relationships/hyperlink" Id="rId41" Target="/tools/noc-finder" TargetMode="External" /><Relationship Type="http://schemas.openxmlformats.org/officeDocument/2006/relationships/hyperlink" Id="rId40" Target="/tools/pnp-eligibility" TargetMode="External" /><Relationship Type="http://schemas.openxmlformats.org/officeDocument/2006/relationships/hyperlink" Id="rId388" Target="https://search.google.com/test/rich-results" TargetMode="External" /><Relationship Type="http://schemas.openxmlformats.org/officeDocument/2006/relationships/hyperlink" Id="rId389" Target="https://validator.schema.org/" TargetMode="External" /><Relationship Type="http://schemas.openxmlformats.org/officeDocument/2006/relationships/hyperlink" Id="rId258" Target="tel:5550123456" TargetMode="External" /></Relationships>
</file>

<file path=word/_rels/footnotes.xml.rels><?xml version="1.0" encoding="UTF-8"?><Relationships xmlns="http://schemas.openxmlformats.org/package/2006/relationships"><Relationship Type="http://schemas.openxmlformats.org/officeDocument/2006/relationships/hyperlink" Id="rId33" Target="/about-us" TargetMode="External" /><Relationship Type="http://schemas.openxmlformats.org/officeDocument/2006/relationships/hyperlink" Id="rId65" Target="/book" TargetMode="External" /><Relationship Type="http://schemas.openxmlformats.org/officeDocument/2006/relationships/hyperlink" Id="rId46" Target="/contact-us" TargetMode="External" /><Relationship Type="http://schemas.openxmlformats.org/officeDocument/2006/relationships/hyperlink" Id="rId36" Target="/for-employers" TargetMode="External" /><Relationship Type="http://schemas.openxmlformats.org/officeDocument/2006/relationships/hyperlink" Id="rId154" Target="/for-employers/employer-compliance" TargetMode="External" /><Relationship Type="http://schemas.openxmlformats.org/officeDocument/2006/relationships/hyperlink" Id="rId149" Target="/for-employers/global-talent-stream" TargetMode="External" /><Relationship Type="http://schemas.openxmlformats.org/officeDocument/2006/relationships/hyperlink" Id="rId89" Target="/for-employers/lmia" TargetMode="External" /><Relationship Type="http://schemas.openxmlformats.org/officeDocument/2006/relationships/hyperlink" Id="rId212" Target="/how-it-works" TargetMode="External" /><Relationship Type="http://schemas.openxmlformats.org/officeDocument/2006/relationships/hyperlink" Id="rId26" Target="/immigration/express-entry" TargetMode="External" /><Relationship Type="http://schemas.openxmlformats.org/officeDocument/2006/relationships/hyperlink" Id="rId30" Target="/immigration/family-sponsorship" TargetMode="External" /><Relationship Type="http://schemas.openxmlformats.org/officeDocument/2006/relationships/hyperlink" Id="rId94" Target="/immigration/pgwp" TargetMode="External" /><Relationship Type="http://schemas.openxmlformats.org/officeDocument/2006/relationships/hyperlink" Id="rId27" Target="/immigration/pnp" TargetMode="External" /><Relationship Type="http://schemas.openxmlformats.org/officeDocument/2006/relationships/hyperlink" Id="rId29" Target="/immigration/study-permit" TargetMode="External" /><Relationship Type="http://schemas.openxmlformats.org/officeDocument/2006/relationships/hyperlink" Id="rId28" Target="/immigration/work-permit" TargetMode="External" /><Relationship Type="http://schemas.openxmlformats.org/officeDocument/2006/relationships/hyperlink" Id="rId31" Target="/refusals" TargetMode="External" /><Relationship Type="http://schemas.openxmlformats.org/officeDocument/2006/relationships/hyperlink" Id="rId34" Target="/team" TargetMode="External" /><Relationship Type="http://schemas.openxmlformats.org/officeDocument/2006/relationships/hyperlink" Id="rId39" Target="/tools/crs-calculator" TargetMode="External" /><Relationship Type="http://schemas.openxmlformats.org/officeDocument/2006/relationships/hyperlink" Id="rId42" Target="/tools/document-checklist" TargetMode="External" /><Relationship Type="http://schemas.openxmlformats.org/officeDocument/2006/relationships/hyperlink" Id="rId43" Target="/tools/free-assessment" TargetMode="External" /><Relationship Type="http://schemas.openxmlformats.org/officeDocument/2006/relationships/hyperlink" Id="rId41" Target="/tools/noc-finder" TargetMode="External" /><Relationship Type="http://schemas.openxmlformats.org/officeDocument/2006/relationships/hyperlink" Id="rId40" Target="/tools/pnp-eligibility" TargetMode="External" /><Relationship Type="http://schemas.openxmlformats.org/officeDocument/2006/relationships/hyperlink" Id="rId388" Target="https://search.google.com/test/rich-results" TargetMode="External" /><Relationship Type="http://schemas.openxmlformats.org/officeDocument/2006/relationships/hyperlink" Id="rId389" Target="https://validator.schema.org/" TargetMode="External" /><Relationship Type="http://schemas.openxmlformats.org/officeDocument/2006/relationships/hyperlink" Id="rId258" Target="tel:55501234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Commonwealth Migration Canada - SEO/AEO Website Content</dc:title>
  <dc:creator/>
  <cp:keywords/>
  <dcterms:created xsi:type="dcterms:W3CDTF">2026-08-17T21:26:09Z</dcterms:created>
  <dcterms:modified xsi:type="dcterms:W3CDTF">2026-08-17T21:26:09Z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Full Page Set - Prepared for Internal Record</vt:lpwstr>
  </property>
</Properties>
</file>