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0"/>
        <w:jc w:val="center"/>
      </w:pPr>
      <w:r>
        <w:rPr>
          <w:b/>
          <w:sz w:val="40"/>
        </w:rPr>
        <w:t>Security Requirements Specification</w:t>
      </w:r>
    </w:p>
    <w:p>
      <w:pPr>
        <w:spacing w:after="40"/>
        <w:jc w:val="center"/>
      </w:pPr>
      <w:r>
        <w:rPr>
          <w:b/>
          <w:sz w:val="32"/>
        </w:rPr>
        <w:t>Online Bookstore</w:t>
      </w:r>
    </w:p>
    <w:p>
      <w:pPr>
        <w:spacing w:after="120"/>
        <w:jc w:val="center"/>
      </w:pPr>
      <w:r>
        <w:rPr>
          <w:i/>
          <w:sz w:val="22"/>
        </w:rPr>
        <w:t>Security requirements for the online book buying and selling platform</w:t>
      </w:r>
    </w:p>
    <w:p>
      <w:pPr>
        <w:pStyle w:val="Heading1"/>
        <w:spacing w:before="360" w:after="160"/>
      </w:pPr>
      <w:r>
        <w:rPr>
          <w:b/>
          <w:sz w:val="28"/>
        </w:rPr>
        <w:t>1. Introduction</w:t>
      </w:r>
    </w:p>
    <w:p>
      <w:pPr>
        <w:spacing w:after="160"/>
      </w:pPr>
      <w:r>
        <w:rPr>
          <w:sz w:val="22"/>
        </w:rPr>
        <w:t>This document lists the security requirements for the Online Bookstore system. It adds detail to the security, legal and interoperability requirements already in the Software Requirements Specification (NFR-6, NFR-10 and NFR-11) and applies them to the buyer, seller and admin features described in FR-1 to FR-15.</w:t>
      </w:r>
    </w:p>
    <w:p>
      <w:pPr>
        <w:spacing w:after="160"/>
      </w:pPr>
      <w:r>
        <w:rPr>
          <w:sz w:val="22"/>
        </w:rPr>
        <w:t>Each requirement has an ID in the form SEC-n. The last column shows the functional requirement (FR), non-functional requirement (NFR) or use case (UC) it comes from, so that it can be traced back to the SRS and the Use Case Flow document.</w:t>
      </w:r>
    </w:p>
    <w:p>
      <w:pPr>
        <w:pStyle w:val="Heading1"/>
        <w:spacing w:before="360" w:after="160"/>
      </w:pPr>
      <w:r>
        <w:rPr>
          <w:b/>
          <w:sz w:val="28"/>
        </w:rPr>
        <w:t>2. Assets to Protect</w:t>
      </w:r>
    </w:p>
    <w:p>
      <w:pPr>
        <w:spacing w:after="160"/>
      </w:pPr>
      <w:r>
        <w:rPr>
          <w:sz w:val="22"/>
        </w:rPr>
        <w:t>The requirements in section 3 are aimed at protecting the following.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00"/>
        <w:gridCol w:w="7680"/>
      </w:tblGrid>
      <w:tr>
        <w:trPr>
          <w:cantSplit/>
          <w:tblHeader/>
        </w:trPr>
        <w:tc>
          <w:tcPr>
            <w:tcW w:w="24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Asset</w:t>
            </w:r>
          </w:p>
        </w:tc>
        <w:tc>
          <w:tcPr>
            <w:tcW w:w="76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What needs protecting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User accounts</w:t>
            </w:r>
          </w:p>
        </w:tc>
        <w:tc>
          <w:tcPr>
            <w:tcW w:w="768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Email, phone number, password hashes, session tokens and reset OTPs of buyers, sellers and admins.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Personal data</w:t>
            </w:r>
          </w:p>
        </w:tc>
        <w:tc>
          <w:tcPr>
            <w:tcW w:w="768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Names, shipping addresses and contact details held for orders and notifications.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Payment information</w:t>
            </w:r>
          </w:p>
        </w:tc>
        <w:tc>
          <w:tcPr>
            <w:tcW w:w="768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Card and payment details handled by the payment gateway, and the transaction reference the system stores.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Orders and invoices</w:t>
            </w:r>
          </w:p>
        </w:tc>
        <w:tc>
          <w:tcPr>
            <w:tcW w:w="768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Order contents, status history, totals, discounts and generated invoices.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Listings and reviews</w:t>
            </w:r>
          </w:p>
        </w:tc>
        <w:tc>
          <w:tcPr>
            <w:tcW w:w="768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Book listings, stock levels, prices and buyer reviews, which must not be changed by the wrong person.</w:t>
            </w:r>
          </w:p>
        </w:tc>
      </w:tr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Admin functions</w:t>
            </w:r>
          </w:p>
        </w:tc>
        <w:tc>
          <w:tcPr>
            <w:tcW w:w="768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Moderation tools that can approve, suspend or remove listings and accounts.</w:t>
            </w:r>
          </w:p>
        </w:tc>
      </w:tr>
    </w:tbl>
    <w:p>
      <w:pPr>
        <w:spacing w:after="200"/>
      </w:pPr>
      <w:r>
        <w:rPr>
          <w:sz w:val="22"/>
        </w:rPr>
      </w:r>
    </w:p>
    <w:p>
      <w:pPr>
        <w:pStyle w:val="Heading1"/>
        <w:spacing w:before="360" w:after="160"/>
      </w:pPr>
      <w:r>
        <w:rPr>
          <w:b/>
          <w:sz w:val="28"/>
        </w:rPr>
        <w:t>3. Security Requirements</w:t>
      </w:r>
    </w:p>
    <w:p>
      <w:pPr>
        <w:spacing w:after="160"/>
      </w:pPr>
      <w:r>
        <w:rPr>
          <w:sz w:val="22"/>
        </w:rPr>
        <w:t>Requirements are grouped by area. Where a value such as a time limit is given, it is a proposed value and is also listed in section 4 so that the team can confirm it.</w:t>
      </w:r>
    </w:p>
    <w:p>
      <w:pPr>
        <w:pStyle w:val="Heading2"/>
        <w:spacing w:before="240" w:after="120"/>
      </w:pPr>
      <w:r>
        <w:rPr>
          <w:b/>
          <w:sz w:val="24"/>
        </w:rPr>
        <w:t>3.1 Authentication and Account Security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Passwords shall be at least 8 characters long and contain at least one letter and one digit. Weaker passwords shall be rejected at registration and when a password is changed or reset.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FR-14, UC1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Passwords shall be stored only as salted hashes made with a slow, adaptive algorithm (for example bcrypt or Argon2). Plain-text or reversibly encrypted passwords shall never be stored.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NFR-6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After 3 consecutive failed login attempts the system shall show a lockout warning and lock the account temporarily (see section 4 for the lockout time).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UC1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SEC-4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Login and password reset messages shall be generic and shall not reveal whether an email address or phone number belongs to an account.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FR-14, UC2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SEC-5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Password reset links and OTPs shall be single use and shall expire after a short fixed time. An expired or already used code shall be rejected.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FR-14, UC2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SEC-6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The number of OTP or reset requests per account shall be limited, to stop the reset feature being used to flood a user with messages.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FR-14, UC2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3.2 Session Management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SEC-7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 random, unguessable session token shall be issued at login. It shall only be sent over TLS and, if stored in a cookie, the cookie shall be marked Secure and HttpOnly.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UC1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SEC-8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 session shall expire after a period of inactivity, and logging out shall invalidate the token on the server.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SEC-9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All active sessions of a user shall be ended when that user's password is changed or reset.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FR-14, UC2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3.3 Access Control and Authorisation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SEC-10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Access shall be role based (Buyer, Seller, Admin). Permissions shall be checked on the server for every request; hiding a button or page in the interface does not count as access control.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FR-7, FR-8, FR-12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SEC-11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Buyers shall only be able to see their own orders, order status, cart and wishlist. A request for anyone else's data shall return an authorisation error.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FR-4, FR-9, FR-15, UC12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SEC-12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Sellers shall only be able to add, edit or remove their own listings and manage orders that contain their own listings.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FR-7, FR-8, UC14, UC15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SEC-13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Approving, suspending or removing listings and accounts shall be limited to Admin accounts. Each action shall record who did it, what it was applied to, the reason and the time.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FR-12, UC16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SEC-14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Admin accounts shall need a second authentication step (for example an OTP sent through the Email / Notification Service) in addition to the password.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FR-12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SEC-15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 review shall only be accepted from a buyer who has a delivered order containing that book.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FR-10, UC13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3.4 Data Protection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SEC-16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All traffic between the browser and the server shall use TLS 1.2 or higher. Plain HTTP requests shall be redirected to HTTPS.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SEC-17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Personal data such as phone numbers and shipping addresses shall be protected at rest by encryption, and passwords as described in SEC-2.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NFR-6, NFR-10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SEC-18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Passwords, OTPs, session tokens and payment details shall never be written to logs, URLs or error messages.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SEC-19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Error messages shown to users shall be generic. Technical details such as stack traces and database errors shall only go to protected server logs.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SEC-20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Database backups shall be encrypted, and access to them shall be limited to authorised staff.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NFR-2, NFR-6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3.5 Payment Security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SEC-21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The system shall not store card numbers, CVV codes or other card details. These go directly to the payment gateway, and the system keeps only the transaction reference.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FR-5, UC9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SEC-22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Item prices, shipping, tax, discounts and the order total shall be calculated on the server. Amounts sent from the browser shall not be trusted.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FR-5, FR-11, UC8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SEC-23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An order shall only be created after a successful result from the payment gateway has been verified on the server. A timeout or unknown result shall not create an order.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FR-5, UC9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SEC-24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Discount codes shall be validated on the server, shall respect per-buyer usage limits, and attempts to guess codes shall be rate limited.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FR-11, UC7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3.6 Input Handling and Application Security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SEC-25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All user input (forms, search terms, filters and URL parameters) shall be validated on the server for type, length and format.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FR-2, FR-7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SEC-26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Database queries shall use parameterised statements so that user input cannot change the query (SQL injection).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NFR-8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SEC-27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User-written content such as reviews and listing descriptions shall be encoded when displayed, so that scripts cannot be injected into pages (XSS).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FR-7, FR-10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SEC-28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Requests that change data, such as placing an order, editing a listing or updating an order status, shall be protected against cross-site request forgery (CSRF).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FR-5, FR-7, FR-8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SEC-29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Reviews flagged by the content filter shall be held for moderation and not published until an Admin approves them.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FR-10, FR-12, UC13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SEC-30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Login, registration, password reset and search shall be rate limited to slow down automated abuse.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FR-2, NFR-2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3.7 Logging and Monitoring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SEC-31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The system shall log security events: successful and failed logins, lockouts, password resets, admin actions, authorisation failures and failed payments. Each entry shall have a time and, where known, the user ID.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FR-12, NFR-6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SEC-32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Logs shall be protected from changes, readable only by authorised staff, and kept for a fixed retention period (see section 4).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NFR-6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3.8 Privacy and Compliance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SEC-33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The system shall collect only the data needed to run the store, namely account, delivery and order details.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NFR-10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SEC-34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The registration page shall link to a privacy notice that explains what data is collected and why.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FR-1, NFR-10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SEC-35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Users shall be able to ask for their personal data to be corrected or deleted, except for order and invoice records that must be kept for legal or accounting reasons.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NFR-10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2"/>
        <w:spacing w:before="240" w:after="120"/>
      </w:pPr>
      <w:r>
        <w:rPr>
          <w:b/>
          <w:sz w:val="24"/>
        </w:rPr>
        <w:t>3.9 Third-party Integrations and Development Practice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0"/>
        <w:gridCol w:w="7000"/>
        <w:gridCol w:w="2080"/>
      </w:tblGrid>
      <w:tr>
        <w:trPr>
          <w:cantSplit/>
          <w:tblHeader/>
        </w:trPr>
        <w:tc>
          <w:tcPr>
            <w:tcW w:w="1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Req ID</w:t>
            </w:r>
          </w:p>
        </w:tc>
        <w:tc>
          <w:tcPr>
            <w:tcW w:w="7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Security Requirement Description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Related To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SEC-36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Payment, shipping and notification integrations shall use authenticated, documented APIs over TLS.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NFR-11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SEC-37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API keys, database passwords and other secrets shall be kept in environment configuration or a secrets store, never in the source code or the repository.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NFR-8, NFR-11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SEC-38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Third-party libraries shall be checked for known vulnerabilities and updated regularly.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NFR-7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SEC-39</w:t>
            </w:r>
          </w:p>
        </w:tc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Code review before merge shall include a security check, and unit tests shall cover the security rules above, such as lockout, input validation and access control.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NFR-7, NFR-9</w:t>
            </w:r>
          </w:p>
        </w:tc>
      </w:tr>
    </w:tbl>
    <w:p>
      <w:pPr>
        <w:spacing w:after="160"/>
      </w:pPr>
      <w:r>
        <w:rPr>
          <w:sz w:val="22"/>
        </w:rPr>
      </w:r>
    </w:p>
    <w:p>
      <w:pPr>
        <w:pStyle w:val="Heading1"/>
        <w:spacing w:before="360" w:after="160"/>
      </w:pPr>
      <w:r>
        <w:rPr>
          <w:b/>
          <w:sz w:val="28"/>
        </w:rPr>
        <w:t>4. Values to Confirm</w:t>
      </w:r>
    </w:p>
    <w:p>
      <w:pPr>
        <w:spacing w:after="160"/>
      </w:pPr>
      <w:r>
        <w:rPr>
          <w:sz w:val="22"/>
        </w:rPr>
        <w:t>The values below are proposals made while writing this document. The SRS and Use Case Flow do not fix them, so the team should confirm or change them.</w:t>
      </w:r>
    </w:p>
    <w:tbl>
      <w:tblPr>
        <w:tblStyle w:val="TableGrid"/>
        <w:tblW w:w="100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000"/>
        <w:gridCol w:w="3000"/>
        <w:gridCol w:w="2080"/>
      </w:tblGrid>
      <w:tr>
        <w:trPr>
          <w:cantSplit/>
          <w:tblHeader/>
        </w:trPr>
        <w:tc>
          <w:tcPr>
            <w:tcW w:w="5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Proposed value</w:t>
            </w:r>
          </w:p>
        </w:tc>
        <w:tc>
          <w:tcPr>
            <w:tcW w:w="208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</w:rPr>
              <w:t>Used in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Account lockout time after 3 failed logins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15 minutes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SEC-3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Password reset OTP / link validity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10 minutes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SEC-5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OTP / reset requests per account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5 per hour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SEC-6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Session inactivity timeout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30 minutes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SEC-8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>Security log retention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90 days</w:t>
            </w:r>
          </w:p>
        </w:tc>
        <w:tc>
          <w:tcPr>
            <w:tcW w:w="20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  <w:t>SEC-32</w:t>
            </w:r>
          </w:p>
        </w:tc>
      </w:tr>
    </w:tbl>
    <w:p>
      <w:pPr>
        <w:spacing w:after="0"/>
      </w:pPr>
      <w:r>
        <w:rPr>
          <w:sz w:val="22"/>
        </w:rPr>
      </w:r>
    </w:p>
    <w:sectPr w:rsidR="00110C2F" w:rsidRPr="002428A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261A6" w14:textId="77777777" w:rsidR="00110C2F" w:rsidRDefault="00110C2F">
      <w:r>
        <w:separator/>
      </w:r>
    </w:p>
  </w:endnote>
  <w:endnote w:type="continuationSeparator" w:id="0">
    <w:p w14:paraId="5A4CD8E3" w14:textId="77777777" w:rsidR="00110C2F" w:rsidRDefault="00110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781D" w14:textId="77777777" w:rsidR="00CB70F1" w:rsidRDefault="00110C2F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428A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42C66" w14:textId="77777777" w:rsidR="00110C2F" w:rsidRDefault="00110C2F">
      <w:r>
        <w:separator/>
      </w:r>
    </w:p>
  </w:footnote>
  <w:footnote w:type="continuationSeparator" w:id="0">
    <w:p w14:paraId="465D6F67" w14:textId="77777777" w:rsidR="00110C2F" w:rsidRDefault="00110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28C7" w14:textId="77777777" w:rsidR="00CB70F1" w:rsidRDefault="00110C2F">
    <w:pPr>
      <w:jc w:val="right"/>
    </w:pPr>
    <w:r>
      <w:rPr>
        <w:color w:val="595959"/>
        <w:sz w:val="16"/>
        <w:szCs w:val="16"/>
      </w:rPr>
      <w:t>Online Bookstore — Security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2696E"/>
    <w:multiLevelType w:val="hybridMultilevel"/>
    <w:tmpl w:val="A46E9568"/>
    <w:lvl w:ilvl="0" w:tplc="298662D0">
      <w:start w:val="1"/>
      <w:numFmt w:val="bullet"/>
      <w:lvlText w:val="●"/>
      <w:lvlJc w:val="left"/>
      <w:pPr>
        <w:ind w:left="720" w:hanging="360"/>
      </w:pPr>
    </w:lvl>
    <w:lvl w:ilvl="1" w:tplc="4B6270E2">
      <w:start w:val="1"/>
      <w:numFmt w:val="bullet"/>
      <w:lvlText w:val="○"/>
      <w:lvlJc w:val="left"/>
      <w:pPr>
        <w:ind w:left="1440" w:hanging="360"/>
      </w:pPr>
    </w:lvl>
    <w:lvl w:ilvl="2" w:tplc="2B3A9894">
      <w:start w:val="1"/>
      <w:numFmt w:val="bullet"/>
      <w:lvlText w:val="■"/>
      <w:lvlJc w:val="left"/>
      <w:pPr>
        <w:ind w:left="2160" w:hanging="360"/>
      </w:pPr>
    </w:lvl>
    <w:lvl w:ilvl="3" w:tplc="D548E79A">
      <w:start w:val="1"/>
      <w:numFmt w:val="bullet"/>
      <w:lvlText w:val="●"/>
      <w:lvlJc w:val="left"/>
      <w:pPr>
        <w:ind w:left="2880" w:hanging="360"/>
      </w:pPr>
    </w:lvl>
    <w:lvl w:ilvl="4" w:tplc="95067F82">
      <w:start w:val="1"/>
      <w:numFmt w:val="bullet"/>
      <w:lvlText w:val="○"/>
      <w:lvlJc w:val="left"/>
      <w:pPr>
        <w:ind w:left="3600" w:hanging="360"/>
      </w:pPr>
    </w:lvl>
    <w:lvl w:ilvl="5" w:tplc="22A46408">
      <w:start w:val="1"/>
      <w:numFmt w:val="bullet"/>
      <w:lvlText w:val="■"/>
      <w:lvlJc w:val="left"/>
      <w:pPr>
        <w:ind w:left="4320" w:hanging="360"/>
      </w:pPr>
    </w:lvl>
    <w:lvl w:ilvl="6" w:tplc="EFE00956">
      <w:start w:val="1"/>
      <w:numFmt w:val="bullet"/>
      <w:lvlText w:val="●"/>
      <w:lvlJc w:val="left"/>
      <w:pPr>
        <w:ind w:left="5040" w:hanging="360"/>
      </w:pPr>
    </w:lvl>
    <w:lvl w:ilvl="7" w:tplc="9AD443B8">
      <w:start w:val="1"/>
      <w:numFmt w:val="bullet"/>
      <w:lvlText w:val="●"/>
      <w:lvlJc w:val="left"/>
      <w:pPr>
        <w:ind w:left="5760" w:hanging="360"/>
      </w:pPr>
    </w:lvl>
    <w:lvl w:ilvl="8" w:tplc="8086FD30">
      <w:start w:val="1"/>
      <w:numFmt w:val="bullet"/>
      <w:lvlText w:val="●"/>
      <w:lvlJc w:val="left"/>
      <w:pPr>
        <w:ind w:left="6480" w:hanging="360"/>
      </w:pPr>
    </w:lvl>
  </w:abstractNum>
  <w:num w:numId="1" w16cid:durableId="1854223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0F1"/>
    <w:rsid w:val="00110C2F"/>
    <w:rsid w:val="002428A6"/>
    <w:rsid w:val="002D72A0"/>
    <w:rsid w:val="00B31557"/>
    <w:rsid w:val="00CB70F1"/>
    <w:rsid w:val="00F9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CA2E"/>
  <w15:docId w15:val="{ACAECB4D-987B-4ED0-AB8E-5BCEC1CD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Times New Roman" w:hAnsi="Times New Roman" w:cs="Times New Roman" w:eastAsia="Times New Roman"/>
      <w:b/>
      <w:i w:val="0"/>
      <w:color w:val="000000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2026-10-12T03:23:32Z</dcterms:created>
  <dcterms:modified xsi:type="dcterms:W3CDTF">2026-10-12T03:23:32Z</dcterms:modified>
  <dc:description/>
  <dc:title>Security Requirements Specification</dc:title>
</cp:coreProperties>
</file>