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44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title="CargoPilot logo" descr="CargoPilot wing and upward-arrow brand symb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opilot-logo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64" w:lineRule="auto"/>
        <w:jc w:val="center"/>
      </w:pPr>
      <w:r>
        <w:rPr>
          <w:rFonts w:ascii="Aptos" w:hAnsi="Aptos"/>
          <w:b/>
          <w:i w:val="0"/>
          <w:color w:val="00A99D"/>
          <w:sz w:val="26"/>
        </w:rPr>
        <w:t>CARGOPILOT</w:t>
      </w:r>
    </w:p>
    <w:p>
      <w:pPr>
        <w:keepNext w:val="0"/>
        <w:spacing w:before="0" w:after="60" w:line="240" w:lineRule="auto"/>
        <w:jc w:val="center"/>
      </w:pPr>
      <w:r>
        <w:rPr>
          <w:rFonts w:ascii="Aptos" w:hAnsi="Aptos"/>
          <w:b/>
          <w:i w:val="0"/>
          <w:color w:val="0B2545"/>
          <w:sz w:val="62"/>
        </w:rPr>
        <w:t>Finance Architecture</w:t>
      </w:r>
    </w:p>
    <w:p>
      <w:pPr>
        <w:keepNext w:val="0"/>
        <w:spacing w:before="0" w:after="480" w:line="264" w:lineRule="auto"/>
        <w:jc w:val="center"/>
      </w:pPr>
      <w:r>
        <w:rPr>
          <w:rFonts w:ascii="Aptos" w:hAnsi="Aptos"/>
          <w:b w:val="0"/>
          <w:i w:val="0"/>
          <w:color w:val="5D6878"/>
          <w:sz w:val="34"/>
        </w:rPr>
        <w:t>Operating Model and Product Blueprint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0A99D"/>
              <w:left w:val="single" w:sz="10" w:color="00A99D"/>
              <w:bottom w:val="single" w:sz="10" w:color="00A99D"/>
              <w:right w:val="single" w:sz="10" w:color="00A99D"/>
              <w:insideH w:val="single" w:sz="10" w:color="00A99D"/>
              <w:insideV w:val="single" w:sz="10" w:color="00A99D"/>
            </w:tcBorders>
            <w:shd w:fill="EAF9F7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00A99D"/>
                <w:sz w:val="22"/>
              </w:rPr>
              <w:t>Purpose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A customer- and developer-facing blueprint for enterprise financial control across shipment revenue, carrier cost, cash custody, payment providers, reconciliation, accounting close and reporting.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keepNext w:val="0"/>
        <w:spacing w:before="280" w:after="120" w:line="264" w:lineRule="auto"/>
        <w:jc w:val="center"/>
      </w:pPr>
      <w:r>
        <w:rPr>
          <w:rFonts w:ascii="Aptos" w:hAnsi="Aptos"/>
          <w:b/>
          <w:i w:val="0"/>
          <w:color w:val="0B2545"/>
          <w:sz w:val="21"/>
        </w:rPr>
        <w:t>Target architecture  |  Version 1.0  |  2 August 2026</w:t>
      </w:r>
    </w:p>
    <w:p>
      <w:pPr>
        <w:keepNext w:val="0"/>
        <w:spacing w:before="0" w:after="360" w:line="264" w:lineRule="auto"/>
        <w:jc w:val="center"/>
      </w:pPr>
      <w:r>
        <w:rPr>
          <w:rFonts w:ascii="Aptos" w:hAnsi="Aptos"/>
          <w:b w:val="0"/>
          <w:i/>
          <w:color w:val="5D6878"/>
          <w:sz w:val="19"/>
        </w:rPr>
        <w:t>Status: Product and engineering design - not a statement that every capability is already released</w:t>
      </w:r>
    </w:p>
    <w:p>
      <w:pPr>
        <w:keepNext w:val="0"/>
        <w:spacing w:before="200" w:after="0" w:line="264" w:lineRule="auto"/>
        <w:jc w:val="center"/>
      </w:pPr>
      <w:r>
        <w:rPr>
          <w:rFonts w:ascii="Aptos" w:hAnsi="Aptos"/>
          <w:b w:val="0"/>
          <w:i w:val="0"/>
          <w:color w:val="172033"/>
          <w:sz w:val="21"/>
        </w:rPr>
        <w:t>Prepared for CargoPilot customers, finance leaders, operations teams, implementation partners and software engineers.</w:t>
      </w:r>
    </w:p>
    <w:p>
      <w:r>
        <w:br w:type="page"/>
      </w:r>
    </w:p>
    <w:p>
      <w:pPr>
        <w:pStyle w:val="Heading1"/>
        <w:keepNext/>
      </w:pPr>
      <w:r>
        <w:t>Document guide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This document presents the target finance operating model for CargoPilot. It is deliberately readable by business stakeholders while preserving enough technical precision for implementation and integration planning.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Audience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this document answers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Customers and executives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What financial control CargoPilot will provide and how it improves transparency, compliance and profitability.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Finance teams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How receivables, payables, cash, providers, currencies, reconciliations and close will work.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Operations teams</w:t>
            </w:r>
          </w:p>
        </w:tc>
        <w:tc>
          <w:tcPr>
            <w:tcW w:type="dxa" w:w="71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How shipment, carrier and cash events become accountable financial records without duplicating operational work.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Developers and integrators</w:t>
            </w:r>
          </w:p>
        </w:tc>
        <w:tc>
          <w:tcPr>
            <w:tcW w:type="dxa" w:w="71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Where financial boundaries sit, which events create postings, and what data and security invariants must be preserved.</w:t>
            </w:r>
          </w:p>
        </w:tc>
      </w:tr>
    </w:tbl>
    <w:p>
      <w:pPr>
        <w:pStyle w:val="Heading1"/>
        <w:keepNext/>
      </w:pPr>
      <w:r>
        <w:t>Executive summary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CargoPilot Finance is designed as the financial control layer for a logistics ERP. It does not replace shipment execution, pricing or payment-provider integrations. Instead, it converts verified commercial and operational events into controlled receivables, payables, cash movements and immutable accounting entries.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0A99D"/>
              <w:left w:val="single" w:sz="10" w:color="00A99D"/>
              <w:bottom w:val="single" w:sz="10" w:color="00A99D"/>
              <w:right w:val="single" w:sz="10" w:color="00A99D"/>
              <w:insideH w:val="single" w:sz="10" w:color="00A99D"/>
              <w:insideV w:val="single" w:sz="10" w:color="00A99D"/>
            </w:tcBorders>
            <w:shd w:fill="EAF9F7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00A99D"/>
                <w:sz w:val="22"/>
              </w:rPr>
              <w:t>Design principle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Operational systems explain what happened. Finance explains its economic effect, who owes whom, where the money is, which period it belongs to and whether the books can be closed.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The target model uses double-entry accounting, independent subledgers, multi-currency snapshots, company-scoped controls, segregation of duties, idempotent posting and complete auditability. It is inspired by enterprise ERP discipline but tailored to CargoPilot's order-leg, carrier, warehouse, payment and COD workflows.</w:t>
      </w:r>
    </w:p>
    <w:p>
      <w:pPr>
        <w:pStyle w:val="Heading2"/>
        <w:keepNext/>
      </w:pPr>
      <w:r>
        <w:t>Current state and target state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50"/>
        <w:gridCol w:w="441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3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Current CargoPilot capability</w:t>
            </w:r>
          </w:p>
        </w:tc>
        <w:tc>
          <w:tcPr>
            <w:tcW w:type="dxa" w:w="44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Target finance capability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Online payments</w:t>
            </w:r>
          </w:p>
        </w:tc>
        <w:tc>
          <w:tcPr>
            <w:tcW w:type="dxa" w:w="3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Provider configuration, payment intents, attempts, webhooks and payment event records.</w:t>
            </w:r>
          </w:p>
        </w:tc>
        <w:tc>
          <w:tcPr>
            <w:tcW w:type="dxa" w:w="44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Provider clearing, fee recognition, settlement matching, payment allocation and exception reconciliation.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Cash operations</w:t>
            </w:r>
          </w:p>
        </w:tc>
        <w:tc>
          <w:tcPr>
            <w:tcW w:type="dxa" w:w="3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Expected, held and settled cash with driver, warehouse, pickup-point and finance custody.</w:t>
            </w:r>
          </w:p>
        </w:tc>
        <w:tc>
          <w:tcPr>
            <w:tcW w:type="dxa" w:w="44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Cash subledger, custody accounts, handoff controls, variance handling, deposits and reconciliation.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Customer billing</w:t>
            </w:r>
          </w:p>
        </w:tc>
        <w:tc>
          <w:tcPr>
            <w:tcW w:type="dxa" w:w="3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Simple order invoice state.</w:t>
            </w:r>
          </w:p>
        </w:tc>
        <w:tc>
          <w:tcPr>
            <w:tcW w:type="dxa" w:w="44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Accounts receivable, invoice lines, taxes, credit notes, allocations, statements and aging.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costs</w:t>
            </w:r>
          </w:p>
        </w:tc>
        <w:tc>
          <w:tcPr>
            <w:tcW w:type="dxa" w:w="3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Operational carriers and order-leg bookings.</w:t>
            </w:r>
          </w:p>
        </w:tc>
        <w:tc>
          <w:tcPr>
            <w:tcW w:type="dxa" w:w="44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Per-leg cost accruals, carrier bills, invoice verification, disputes and accounts payable.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Ledger</w:t>
            </w:r>
          </w:p>
        </w:tc>
        <w:tc>
          <w:tcPr>
            <w:tcW w:type="dxa" w:w="3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Operational payment ledger events.</w:t>
            </w:r>
          </w:p>
        </w:tc>
        <w:tc>
          <w:tcPr>
            <w:tcW w:type="dxa" w:w="44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Immutable double-entry general ledger with posting rules, periods, reversals and trial balance.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Reporting</w:t>
            </w:r>
          </w:p>
        </w:tc>
        <w:tc>
          <w:tcPr>
            <w:tcW w:type="dxa" w:w="3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Operational analytics and finance exposure projections.</w:t>
            </w:r>
          </w:p>
        </w:tc>
        <w:tc>
          <w:tcPr>
            <w:tcW w:type="dxa" w:w="44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P&amp;L, balance sheet, cash flow, aging, route margin and auditable drill-down to source documents.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Product vision and boundaries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01493"/>
            <wp:docPr id="2" name="Picture 2" title="CargoPilot finance architecture" descr="Commercial, operations and external money events flow through a finance posting engine into subledgers, general ledger, reconciliation, close and repor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64" w:lineRule="auto"/>
        <w:jc w:val="center"/>
      </w:pPr>
      <w:r>
        <w:rPr>
          <w:rFonts w:ascii="Aptos" w:hAnsi="Aptos"/>
          <w:b w:val="0"/>
          <w:i/>
          <w:color w:val="5D6878"/>
          <w:sz w:val="18"/>
        </w:rPr>
        <w:t>Figure 1. Finance receives canonical business events and becomes the source of truth for posted accounting.</w:t>
      </w:r>
    </w:p>
    <w:p>
      <w:pPr>
        <w:pStyle w:val="Heading2"/>
        <w:keepNext/>
      </w:pPr>
      <w:r>
        <w:t>1.1 System ownership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480"/>
        <w:gridCol w:w="413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System area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Source of truth</w:t>
            </w:r>
          </w:p>
        </w:tc>
        <w:tc>
          <w:tcPr>
            <w:tcW w:type="dxa" w:w="413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Finance interaction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Pricing</w:t>
            </w:r>
          </w:p>
        </w:tc>
        <w:tc>
          <w:tcPr>
            <w:tcW w:type="dxa" w:w="34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Tariffs, service components, route/leg pricing and FX quote snapshots.</w:t>
            </w:r>
          </w:p>
        </w:tc>
        <w:tc>
          <w:tcPr>
            <w:tcW w:type="dxa" w:w="413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Supplies billable components; finance does not recalculate a commercial quote.</w:t>
            </w:r>
          </w:p>
        </w:tc>
      </w:tr>
      <w:tr>
        <w:tc>
          <w:tcPr>
            <w:tcW w:type="dxa" w:w="17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Orders and legs</w:t>
            </w:r>
          </w:p>
        </w:tc>
        <w:tc>
          <w:tcPr>
            <w:tcW w:type="dxa" w:w="34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Shipment execution, responsible parties, carrier assignment and operational status.</w:t>
            </w:r>
          </w:p>
        </w:tc>
        <w:tc>
          <w:tcPr>
            <w:tcW w:type="dxa" w:w="413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Supplies revenue/cost dimensions and posting triggers.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Payments</w:t>
            </w:r>
          </w:p>
        </w:tc>
        <w:tc>
          <w:tcPr>
            <w:tcW w:type="dxa" w:w="34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Provider intent, checkout, callback and confirmed payment state.</w:t>
            </w:r>
          </w:p>
        </w:tc>
        <w:tc>
          <w:tcPr>
            <w:tcW w:type="dxa" w:w="413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Creates clearing, receivable allocation, fees, refunds and reconciliation items.</w:t>
            </w:r>
          </w:p>
        </w:tc>
      </w:tr>
      <w:tr>
        <w:tc>
          <w:tcPr>
            <w:tcW w:type="dxa" w:w="17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Cash custody</w:t>
            </w:r>
          </w:p>
        </w:tc>
        <w:tc>
          <w:tcPr>
            <w:tcW w:type="dxa" w:w="34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Physical collection and handoff events.</w:t>
            </w:r>
          </w:p>
        </w:tc>
        <w:tc>
          <w:tcPr>
            <w:tcW w:type="dxa" w:w="413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Moves value between custody accounts; custody movement is not automatically revenue.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</w:t>
            </w:r>
          </w:p>
        </w:tc>
        <w:tc>
          <w:tcPr>
            <w:tcW w:type="dxa" w:w="34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Posted accounting documents, open items, reconciliations, fiscal periods and statements.</w:t>
            </w:r>
          </w:p>
        </w:tc>
        <w:tc>
          <w:tcPr>
            <w:tcW w:type="dxa" w:w="413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Owns economic truth and audit evidence.</w:t>
            </w:r>
          </w:p>
        </w:tc>
      </w:tr>
      <w:tr>
        <w:tc>
          <w:tcPr>
            <w:tcW w:type="dxa" w:w="17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Analytics</w:t>
            </w:r>
          </w:p>
        </w:tc>
        <w:tc>
          <w:tcPr>
            <w:tcW w:type="dxa" w:w="34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Read-optimized operational and management projections.</w:t>
            </w:r>
          </w:p>
        </w:tc>
        <w:tc>
          <w:tcPr>
            <w:tcW w:type="dxa" w:w="413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Consumes posted finance projections; it must not create or mutate accounting truth.</w:t>
            </w:r>
          </w:p>
        </w:tc>
      </w:tr>
    </w:tbl>
    <w:p>
      <w:pPr>
        <w:pStyle w:val="Heading2"/>
        <w:keepNext/>
      </w:pPr>
      <w:r>
        <w:t>1.2 Core invariants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No client-supplied total is trusted for accounting; postings use server-verified source documents and pricing snapshots.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Every posted journal entry balances: total debits equal total credits in company base currency.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Posted documents are immutable. Corrections use controlled reversal and replacement documents.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Every financial command is company-scoped, permission-checked, idempotent and audited.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Original currency and amount are preserved even when a base/reporting amount is calculated.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Operational event logs and the general ledger remain separate; a payment event is not itself an accounting journal.</w:t>
      </w:r>
    </w:p>
    <w:p>
      <w:pPr>
        <w:pStyle w:val="Heading1"/>
        <w:keepNext/>
      </w:pPr>
      <w:r>
        <w:t>2. Finance workspace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CargoPilot Finance should appear as a dedicated ERP workspace. Billing &amp; Pricing remains responsible for commercial configuration; Finance is responsible for financial operations, accounting control and reporting.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Workspace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Primary users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 Control Tower</w:t>
            </w:r>
          </w:p>
        </w:tc>
        <w:tc>
          <w:tcPr>
            <w:tcW w:type="dxa" w:w="23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 director, controller, treasury</w:t>
            </w:r>
          </w:p>
        </w:tc>
        <w:tc>
          <w:tcPr>
            <w:tcW w:type="dxa" w:w="4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Cash position, overdue exposure, unposted items, close status, exceptions and approvals.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Accounts Receivable</w:t>
            </w:r>
          </w:p>
        </w:tc>
        <w:tc>
          <w:tcPr>
            <w:tcW w:type="dxa" w:w="23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Billing and collections</w:t>
            </w:r>
          </w:p>
        </w:tc>
        <w:tc>
          <w:tcPr>
            <w:tcW w:type="dxa" w:w="48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Customer invoices, credit notes, allocations, statements, aging and credit control.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Accounts Payable</w:t>
            </w:r>
          </w:p>
        </w:tc>
        <w:tc>
          <w:tcPr>
            <w:tcW w:type="dxa" w:w="23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settlement and AP</w:t>
            </w:r>
          </w:p>
        </w:tc>
        <w:tc>
          <w:tcPr>
            <w:tcW w:type="dxa" w:w="4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accruals, bills, verification, disputes, approvals and payment runs.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Cash &amp; Bank</w:t>
            </w:r>
          </w:p>
        </w:tc>
        <w:tc>
          <w:tcPr>
            <w:tcW w:type="dxa" w:w="23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Treasury and cash control</w:t>
            </w:r>
          </w:p>
        </w:tc>
        <w:tc>
          <w:tcPr>
            <w:tcW w:type="dxa" w:w="48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Bank accounts, statements, provider clearing, COD custody, deposits and transfers.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Reconciliation</w:t>
            </w:r>
          </w:p>
        </w:tc>
        <w:tc>
          <w:tcPr>
            <w:tcW w:type="dxa" w:w="23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Treasury and accounting</w:t>
            </w:r>
          </w:p>
        </w:tc>
        <w:tc>
          <w:tcPr>
            <w:tcW w:type="dxa" w:w="4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Match provider/bank/cash records, fees and differences to CargoPilot transactions.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General Ledger</w:t>
            </w:r>
          </w:p>
        </w:tc>
        <w:tc>
          <w:tcPr>
            <w:tcW w:type="dxa" w:w="23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Accountants and controller</w:t>
            </w:r>
          </w:p>
        </w:tc>
        <w:tc>
          <w:tcPr>
            <w:tcW w:type="dxa" w:w="48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Chart of accounts, journals, reversals, trial balance, periods and posting rules.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Shipment Profitability</w:t>
            </w:r>
          </w:p>
        </w:tc>
        <w:tc>
          <w:tcPr>
            <w:tcW w:type="dxa" w:w="23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Finance, operations, commercial</w:t>
            </w:r>
          </w:p>
        </w:tc>
        <w:tc>
          <w:tcPr>
            <w:tcW w:type="dxa" w:w="4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Revenue, expected/actual leg cost, fees, claims and margin by order, route, customer and carrier.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Period Close</w:t>
            </w:r>
          </w:p>
        </w:tc>
        <w:tc>
          <w:tcPr>
            <w:tcW w:type="dxa" w:w="23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Controller and approvers</w:t>
            </w:r>
          </w:p>
        </w:tc>
        <w:tc>
          <w:tcPr>
            <w:tcW w:type="dxa" w:w="48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Close checklist, missing accruals, FX revaluation, locks and controlled reopen.</w:t>
            </w:r>
          </w:p>
        </w:tc>
      </w:tr>
      <w:tr>
        <w:tc>
          <w:tcPr>
            <w:tcW w:type="dxa" w:w="22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Reports</w:t>
            </w:r>
          </w:p>
        </w:tc>
        <w:tc>
          <w:tcPr>
            <w:tcW w:type="dxa" w:w="23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Executives, finance, auditors</w:t>
            </w:r>
          </w:p>
        </w:tc>
        <w:tc>
          <w:tcPr>
            <w:tcW w:type="dxa" w:w="48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Financial statements, aging, margin, tax and cash reports with source drill-down.</w:t>
            </w:r>
          </w:p>
        </w:tc>
      </w:tr>
      <w:tr>
        <w:tc>
          <w:tcPr>
            <w:tcW w:type="dxa" w:w="22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 Settings</w:t>
            </w:r>
          </w:p>
        </w:tc>
        <w:tc>
          <w:tcPr>
            <w:tcW w:type="dxa" w:w="23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Authorized finance administrators</w:t>
            </w:r>
          </w:p>
        </w:tc>
        <w:tc>
          <w:tcPr>
            <w:tcW w:type="dxa" w:w="48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Legal entities, currencies, fiscal calendars, accounts, tax codes, cost centers and approval limits.</w:t>
            </w:r>
          </w:p>
        </w:tc>
      </w:tr>
    </w:tbl>
    <w:p>
      <w:pPr>
        <w:pStyle w:val="Heading2"/>
        <w:keepNext/>
      </w:pPr>
      <w:r>
        <w:t>2.1 Finance Control Tower experience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Cash position by bank, payment provider and currency.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Receivables overdue today and expected in the next 7/30 days.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Carrier payables due, blocked and awaiting approval.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Unreconciled provider payouts, bank lines and cash variances.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Unposted finance events and posting failures requiring intervention.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Negative-margin shipments and carrier-cost variance.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Current fiscal period, close completion and unresolved controls.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B2545"/>
              <w:left w:val="single" w:sz="10" w:color="0B2545"/>
              <w:bottom w:val="single" w:sz="10" w:color="0B2545"/>
              <w:right w:val="single" w:sz="10" w:color="0B2545"/>
              <w:insideH w:val="single" w:sz="10" w:color="0B2545"/>
              <w:insideV w:val="single" w:sz="10" w:color="0B2545"/>
            </w:tcBorders>
            <w:shd w:fill="EDF4FB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UX rule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Cards summarize risk; tables execute work. Every amount must drill down from aggregate to currency, legal entity, document, journal and original operational source.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r>
        <w:br w:type="page"/>
      </w:r>
    </w:p>
    <w:p>
      <w:pPr>
        <w:pStyle w:val="Heading1"/>
        <w:keepNext/>
      </w:pPr>
      <w:r>
        <w:t>3. End-to-end financial lifecycle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396014"/>
            <wp:docPr id="3" name="Picture 3" title="Shipment-to-finance lifecycle" descr="Five-stage flow from shipment pricing through customer billing, collection, carrier accrual, reconciliation and period cl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pment-finance-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6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64" w:lineRule="auto"/>
        <w:jc w:val="center"/>
      </w:pPr>
      <w:r>
        <w:rPr>
          <w:rFonts w:ascii="Aptos" w:hAnsi="Aptos"/>
          <w:b w:val="0"/>
          <w:i/>
          <w:color w:val="5D6878"/>
          <w:sz w:val="18"/>
        </w:rPr>
        <w:t>Figure 2. Financial processing follows the shipment lifecycle without coupling external providers to the ledger.</w:t>
      </w:r>
    </w:p>
    <w:p>
      <w:pPr>
        <w:pStyle w:val="Heading2"/>
        <w:keepNext/>
      </w:pPr>
      <w:r>
        <w:t>3.1 Customer revenue cycle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Pricing produces immutable billable components for an order or leg.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An invoice is drafted from verified pricing components and customer terms.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Approval rules determine whether the invoice can be posted automatically or requires review.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Posting creates customer receivable, freight revenue and applicable tax entries.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Incoming payment is allocated against one or more open invoices; partial and excess payments remain visible.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Credit notes and refunds reference the original invoice and use reversal-compatible accounting.</w:t>
      </w:r>
    </w:p>
    <w:p>
      <w:pPr>
        <w:pStyle w:val="Heading2"/>
        <w:keepNext/>
      </w:pPr>
      <w:r>
        <w:t>3.2 Carrier cost and payable cycle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Each OrderLeg may be executed by a different carrier and may create a separate expected cost. CargoPilot therefore accounts for transportation cost at leg level, while still consolidating shipment profitability at order level.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Carrier rule or contract determines expected cost for the selected leg.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When the configured execution milestone is reached, finance accrues the expected carrier cost.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Carrier invoice or self-billing document is matched to leg, carrier, service and expected cost.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Differences are classified as allowed variance, unplanned cost or dispute.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Approved carrier bill creates an accounts-payable open item and clears or adjusts the accrual.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Payment run releases only approved, due and unblocked carrier items.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0A99D"/>
              <w:left w:val="single" w:sz="10" w:color="00A99D"/>
              <w:bottom w:val="single" w:sz="10" w:color="00A99D"/>
              <w:right w:val="single" w:sz="10" w:color="00A99D"/>
              <w:insideH w:val="single" w:sz="10" w:color="00A99D"/>
              <w:insideV w:val="single" w:sz="10" w:color="00A99D"/>
            </w:tcBorders>
            <w:shd w:fill="EAF9F7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00A99D"/>
                <w:sz w:val="22"/>
              </w:rPr>
              <w:t>Logistics-specific control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A single shipment may receive multiple carrier invoices: pickup, main carriage, customs handling and final delivery. Finance must preserve this structure instead of storing one undifferentiated order cost.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pStyle w:val="Heading2"/>
        <w:keepNext/>
      </w:pPr>
      <w:r>
        <w:t>3.3 Payment-provider 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80"/>
        <w:gridCol w:w="328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39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Financial effect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Customer checkout succeeds</w:t>
            </w:r>
          </w:p>
        </w:tc>
        <w:tc>
          <w:tcPr>
            <w:tcW w:type="dxa" w:w="39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Move value from customer receivable to provider clearing.</w:t>
            </w:r>
          </w:p>
        </w:tc>
        <w:tc>
          <w:tcPr>
            <w:tcW w:type="dxa" w:w="32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Use verified provider webhook or secure status sync; never trust browser return alone.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Provider settles funds</w:t>
            </w:r>
          </w:p>
        </w:tc>
        <w:tc>
          <w:tcPr>
            <w:tcW w:type="dxa" w:w="39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Move net funds to bank, recognize provider fee and clear provider balance.</w:t>
            </w:r>
          </w:p>
        </w:tc>
        <w:tc>
          <w:tcPr>
            <w:tcW w:type="dxa" w:w="32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Match payout reference, currency and gross/net amounts.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Refund completed</w:t>
            </w:r>
          </w:p>
        </w:tc>
        <w:tc>
          <w:tcPr>
            <w:tcW w:type="dxa" w:w="39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Reverse allocation or create customer payable/refund clearing.</w:t>
            </w:r>
          </w:p>
        </w:tc>
        <w:tc>
          <w:tcPr>
            <w:tcW w:type="dxa" w:w="32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Reference original intent, invoice and provider refund ID.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Chargeback/dispute</w:t>
            </w:r>
          </w:p>
        </w:tc>
        <w:tc>
          <w:tcPr>
            <w:tcW w:type="dxa" w:w="39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Recognize dispute receivable/expense and provider deduction.</w:t>
            </w:r>
          </w:p>
        </w:tc>
        <w:tc>
          <w:tcPr>
            <w:tcW w:type="dxa" w:w="32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Dedicated case, evidence and approval workflow.</w:t>
            </w:r>
          </w:p>
        </w:tc>
      </w:tr>
    </w:tbl>
    <w:p>
      <w:pPr>
        <w:pStyle w:val="Heading2"/>
        <w:keepNext/>
      </w:pPr>
      <w:r>
        <w:t>3.4 COD and physical cash cycle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Cash custody represents where money is physically held. A driver-to-warehouse handoff changes custody but does not create new income. Revenue, customer receivable and third-party COD liability are posted independently according to the economic owner of the cash.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Operational event</w:t>
            </w:r>
          </w:p>
        </w:tc>
        <w:tc>
          <w:tcPr>
            <w:tcW w:type="dxa" w:w="62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Illustrative accounting movement</w:t>
            </w:r>
          </w:p>
        </w:tc>
      </w:tr>
      <w:tr>
        <w:tc>
          <w:tcPr>
            <w:tcW w:type="dxa" w:w="31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Driver collects service charge</w:t>
            </w:r>
          </w:p>
        </w:tc>
        <w:tc>
          <w:tcPr>
            <w:tcW w:type="dxa" w:w="62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Debit Driver Cash Custody / Credit Customer Receivable.</w:t>
            </w:r>
          </w:p>
        </w:tc>
      </w:tr>
      <w:tr>
        <w:tc>
          <w:tcPr>
            <w:tcW w:type="dxa" w:w="31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Driver hands cash to warehouse</w:t>
            </w:r>
          </w:p>
        </w:tc>
        <w:tc>
          <w:tcPr>
            <w:tcW w:type="dxa" w:w="62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Debit Warehouse Cash Custody / Credit Driver Cash Custody.</w:t>
            </w:r>
          </w:p>
        </w:tc>
      </w:tr>
      <w:tr>
        <w:tc>
          <w:tcPr>
            <w:tcW w:type="dxa" w:w="31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Warehouse deposits cash</w:t>
            </w:r>
          </w:p>
        </w:tc>
        <w:tc>
          <w:tcPr>
            <w:tcW w:type="dxa" w:w="62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Debit Bank or Cash Register / Credit Warehouse Cash Custody.</w:t>
            </w:r>
          </w:p>
        </w:tc>
      </w:tr>
      <w:tr>
        <w:tc>
          <w:tcPr>
            <w:tcW w:type="dxa" w:w="31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COD belongs to merchant/customer</w:t>
            </w:r>
          </w:p>
        </w:tc>
        <w:tc>
          <w:tcPr>
            <w:tcW w:type="dxa" w:w="62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Debit Cash Custody / Credit COD Payable until remitted.</w:t>
            </w:r>
          </w:p>
        </w:tc>
      </w:tr>
      <w:tr>
        <w:tc>
          <w:tcPr>
            <w:tcW w:type="dxa" w:w="31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Shortage or overage confirmed</w:t>
            </w:r>
          </w:p>
        </w:tc>
        <w:tc>
          <w:tcPr>
            <w:tcW w:type="dxa" w:w="62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 approved cash variance to dedicated gain/loss account with case evidence.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Accounting model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022664"/>
            <wp:docPr id="4" name="Picture 4" title="Core finance information model" descr="Finance documents connect master data, subledgers, accounting and treasury while preserving original and base currency am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-information-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22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 w:line="264" w:lineRule="auto"/>
        <w:jc w:val="center"/>
      </w:pPr>
      <w:r>
        <w:rPr>
          <w:rFonts w:ascii="Aptos" w:hAnsi="Aptos"/>
          <w:b w:val="0"/>
          <w:i/>
          <w:color w:val="5D6878"/>
          <w:sz w:val="18"/>
        </w:rPr>
        <w:t>Figure 3. Finance documents connect business source records to subledgers, journals and treasury controls.</w:t>
      </w:r>
    </w:p>
    <w:p>
      <w:pPr>
        <w:pStyle w:val="Heading2"/>
        <w:keepNext/>
      </w:pPr>
      <w:r>
        <w:t>4.1 Core records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Record</w:t>
            </w:r>
          </w:p>
        </w:tc>
        <w:tc>
          <w:tcPr>
            <w:tcW w:type="dxa" w:w="6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FinanceLegalEntity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Accounting company, base currency, tax identity, fiscal calendar and reporting configuration.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LedgerAccount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Chart-of-accounts node with type, normal balance, posting permissions and company scope.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FiscalPeriod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Open, restricted or closed posting interval with controlled reopen history.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FinanceDocument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Common lifecycle and source correlation for invoice, bill, credit note, payment and adjustment.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JournalEntry / JournalLine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Immutable balanced posting with document currency, FX rate and base amount.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PostingRule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Versioned mapping from canonical business event to accounts, dimensions and posting date rules.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CustomerInvoice / CreditNote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Accounts-receivable source documents and open items.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CarrierBill / CarrierCostAccrual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Accounts-payable documents and expected cost per OrderLeg.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PaymentAllocation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Relationship between incoming/outgoing money and one or more open items.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BankStatement / ReconciliationItem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External statement evidence, match state and differences.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ExchangeRate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Approved rate, source, currency pair and effective timestamp.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CostCenter / ProfitCenter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Operational responsibility and profitability dimensions such as branch, warehouse or route.</w:t>
            </w:r>
          </w:p>
        </w:tc>
      </w:tr>
    </w:tbl>
    <w:p>
      <w:pPr>
        <w:pStyle w:val="Heading2"/>
        <w:keepNext/>
      </w:pPr>
      <w:r>
        <w:t>4.2 Document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50"/>
        <w:gridCol w:w="361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State</w:t>
            </w:r>
          </w:p>
        </w:tc>
        <w:tc>
          <w:tcPr>
            <w:tcW w:type="dxa" w:w="42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6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Allowed action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Draft</w:t>
            </w:r>
          </w:p>
        </w:tc>
        <w:tc>
          <w:tcPr>
            <w:tcW w:type="dxa" w:w="42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Editable financial proposal not yet approved.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Edit, submit, cancel.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Submitted</w:t>
            </w:r>
          </w:p>
        </w:tc>
        <w:tc>
          <w:tcPr>
            <w:tcW w:type="dxa" w:w="42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Ready for workflow evaluation.</w:t>
            </w:r>
          </w:p>
        </w:tc>
        <w:tc>
          <w:tcPr>
            <w:tcW w:type="dxa" w:w="36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Approve, reject, return.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Approved</w:t>
            </w:r>
          </w:p>
        </w:tc>
        <w:tc>
          <w:tcPr>
            <w:tcW w:type="dxa" w:w="42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Commercial and control approval complete.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 or cancel before posting.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Posted</w:t>
            </w:r>
          </w:p>
        </w:tc>
        <w:tc>
          <w:tcPr>
            <w:tcW w:type="dxa" w:w="42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Accounting impact exists in an open period.</w:t>
            </w:r>
          </w:p>
        </w:tc>
        <w:tc>
          <w:tcPr>
            <w:tcW w:type="dxa" w:w="36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Allocate, settle or reverse; never edit/delete.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Reversed</w:t>
            </w:r>
          </w:p>
        </w:tc>
        <w:tc>
          <w:tcPr>
            <w:tcW w:type="dxa" w:w="42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Original accounting impact neutralized by linked reversal.</w:t>
            </w:r>
          </w:p>
        </w:tc>
        <w:tc>
          <w:tcPr>
            <w:tcW w:type="dxa" w:w="36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Inspect linked replacement or correction.</w:t>
            </w:r>
          </w:p>
        </w:tc>
      </w:tr>
      <w:tr>
        <w:tc>
          <w:tcPr>
            <w:tcW w:type="dxa" w:w="15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Closed</w:t>
            </w:r>
          </w:p>
        </w:tc>
        <w:tc>
          <w:tcPr>
            <w:tcW w:type="dxa" w:w="42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Open item settled and no further ordinary action expected.</w:t>
            </w:r>
          </w:p>
        </w:tc>
        <w:tc>
          <w:tcPr>
            <w:tcW w:type="dxa" w:w="36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Reopen only through defined exception process.</w:t>
            </w:r>
          </w:p>
        </w:tc>
      </w:tr>
    </w:tbl>
    <w:p>
      <w:pPr>
        <w:pStyle w:val="Heading2"/>
        <w:keepNext/>
      </w:pPr>
      <w:r>
        <w:t>4.3 Posting engine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Operational modules publish canonical finance events through a durable outbox. A deterministic posting engine validates company, period, currencies, source state and posting rule version before writing the finance document and journal in one database transaction.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Correlation key: sourceType + sourceId + eventId + postingRuleVersion.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A unique posting key prevents duplicate journals during retries or repeated webhooks.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Failures enter a visible finance exception queue; they are not silently dropped.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Posting rules are versioned so historical documents remain explainable after configuration changes.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Read models and Redis may accelerate dashboards but never replace durable accounting records.</w:t>
      </w:r>
    </w:p>
    <w:p>
      <w:pPr>
        <w:pStyle w:val="Heading1"/>
        <w:keepNext/>
      </w:pPr>
      <w:r>
        <w:t>5. Multi-currency policy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D99A22"/>
              <w:left w:val="single" w:sz="10" w:color="D99A22"/>
              <w:bottom w:val="single" w:sz="10" w:color="D99A22"/>
              <w:right w:val="single" w:sz="10" w:color="D99A22"/>
              <w:insideH w:val="single" w:sz="10" w:color="D99A22"/>
              <w:insideV w:val="single" w:sz="10" w:color="D99A22"/>
            </w:tcBorders>
            <w:shd w:fill="FFF7E6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D99A22"/>
                <w:sz w:val="22"/>
              </w:rPr>
              <w:t>Active operating currencies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CargoPilot currently designs for UZS, USD and CNY. The model remains extensible, but unsupported currencies should be rejected until explicitly configured.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Every journal line records the original document amount and an immutable conversion into the legal entity's base currency. Reporting may additionally use a group currency, but it must never overwrite original values.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50"/>
        <w:gridCol w:w="511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Example</w:t>
            </w:r>
          </w:p>
        </w:tc>
        <w:tc>
          <w:tcPr>
            <w:tcW w:type="dxa" w:w="51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Document amount</w:t>
            </w:r>
          </w:p>
        </w:tc>
        <w:tc>
          <w:tcPr>
            <w:tcW w:type="dxa" w:w="21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40.00</w:t>
            </w:r>
          </w:p>
        </w:tc>
        <w:tc>
          <w:tcPr>
            <w:tcW w:type="dxa" w:w="51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Value shown on invoice, payment or carrier bill.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Document currency</w:t>
            </w:r>
          </w:p>
        </w:tc>
        <w:tc>
          <w:tcPr>
            <w:tcW w:type="dxa" w:w="21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  <w:tc>
          <w:tcPr>
            <w:tcW w:type="dxa" w:w="51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Never inferred from UI locale or company default.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FX rate</w:t>
            </w:r>
          </w:p>
        </w:tc>
        <w:tc>
          <w:tcPr>
            <w:tcW w:type="dxa" w:w="21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12,650 UZS/USD</w:t>
            </w:r>
          </w:p>
        </w:tc>
        <w:tc>
          <w:tcPr>
            <w:tcW w:type="dxa" w:w="51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Snapshot from approved source at defined accounting date.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Base amount</w:t>
            </w:r>
          </w:p>
        </w:tc>
        <w:tc>
          <w:tcPr>
            <w:tcW w:type="dxa" w:w="21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506,000 UZS</w:t>
            </w:r>
          </w:p>
        </w:tc>
        <w:tc>
          <w:tcPr>
            <w:tcW w:type="dxa" w:w="51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Deterministic rounded amount posted to the company ledger.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Base currency</w:t>
            </w:r>
          </w:p>
        </w:tc>
        <w:tc>
          <w:tcPr>
            <w:tcW w:type="dxa" w:w="21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UZS</w:t>
            </w:r>
          </w:p>
        </w:tc>
        <w:tc>
          <w:tcPr>
            <w:tcW w:type="dxa" w:w="51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Configured on the finance legal entity and restricted after go-live.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Rate source/as-of</w:t>
            </w:r>
          </w:p>
        </w:tc>
        <w:tc>
          <w:tcPr>
            <w:tcW w:type="dxa" w:w="21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CBU / 2026-08-02</w:t>
            </w:r>
          </w:p>
        </w:tc>
        <w:tc>
          <w:tcPr>
            <w:tcW w:type="dxa" w:w="51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Preserved for audit and reproducibility.</w:t>
            </w:r>
          </w:p>
        </w:tc>
      </w:tr>
    </w:tbl>
    <w:p>
      <w:pPr>
        <w:pStyle w:val="Heading2"/>
        <w:keepNext/>
      </w:pPr>
      <w:r>
        <w:t>5.1 Settlement and FX differences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If an invoice is posted at one FX rate and settled later at another, CargoPilot posts the difference to realized FX gain or loss. Open foreign-currency balances may be revalued at period close, producing reversible unrealized FX entries.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B42318"/>
              <w:left w:val="single" w:sz="10" w:color="B42318"/>
              <w:bottom w:val="single" w:sz="10" w:color="B42318"/>
              <w:right w:val="single" w:sz="10" w:color="B42318"/>
              <w:insideH w:val="single" w:sz="10" w:color="B42318"/>
              <w:insideV w:val="single" w:sz="10" w:color="B42318"/>
            </w:tcBorders>
            <w:shd w:fill="FDECEC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B42318"/>
                <w:sz w:val="22"/>
              </w:rPr>
              <w:t>Non-negotiable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USD, UZS and CNY totals must never be summed under one currency label. Dashboards either display separate currency buckets or convert using an explicit, dated reporting rate.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r>
        <w:br w:type="page"/>
      </w:r>
    </w:p>
    <w:p>
      <w:pPr>
        <w:pStyle w:val="Heading1"/>
        <w:keepNext/>
      </w:pPr>
      <w:r>
        <w:t>6. Illustrative journal entries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The examples below explain the intended mechanics. Final account codes, tax treatment and posting dates are configured per legal entity and jurisdiction.</w:t>
      </w:r>
    </w:p>
    <w:p>
      <w:pPr>
        <w:pStyle w:val="Heading2"/>
        <w:keepNext/>
      </w:pPr>
      <w:r>
        <w:t>6.1 Customer invoice - USD 40 freight service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60"/>
        <w:gridCol w:w="1600"/>
        <w:gridCol w:w="1600"/>
        <w:gridCol w:w="1600"/>
      </w:tblGrid>
      <w:tr>
        <w:trPr>
          <w:tblHeader w:val="true"/>
        </w:trPr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Account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Debit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Credit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Currency</w:t>
            </w:r>
          </w:p>
        </w:tc>
      </w:tr>
      <w:tr>
        <w:tc>
          <w:tcPr>
            <w:tcW w:type="dxa" w:w="4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Customer receivable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40.00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  <w:tr>
        <w:tc>
          <w:tcPr>
            <w:tcW w:type="dxa" w:w="4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Freight revenue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40.00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</w:tbl>
    <w:p>
      <w:pPr>
        <w:pStyle w:val="Heading2"/>
        <w:keepNext/>
      </w:pPr>
      <w:r>
        <w:t>6.2 Stripe collection and payout with USD 1.20 fee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60"/>
        <w:gridCol w:w="1600"/>
        <w:gridCol w:w="1600"/>
        <w:gridCol w:w="1600"/>
      </w:tblGrid>
      <w:tr>
        <w:trPr>
          <w:tblHeader w:val="true"/>
        </w:trPr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Account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Debit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Credit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Currency</w:t>
            </w:r>
          </w:p>
        </w:tc>
      </w:tr>
      <w:tr>
        <w:tc>
          <w:tcPr>
            <w:tcW w:type="dxa" w:w="4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Stripe clearing - collection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40.00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  <w:tr>
        <w:tc>
          <w:tcPr>
            <w:tcW w:type="dxa" w:w="4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Customer receivable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40.00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  <w:tr>
        <w:tc>
          <w:tcPr>
            <w:tcW w:type="dxa" w:w="4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Bank - payout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38.80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  <w:tr>
        <w:tc>
          <w:tcPr>
            <w:tcW w:type="dxa" w:w="4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Payment provider fee expense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1.20</w:t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  <w:tr>
        <w:tc>
          <w:tcPr>
            <w:tcW w:type="dxa" w:w="4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Stripe clearing - payout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40.00</w:t>
            </w:r>
          </w:p>
        </w:tc>
        <w:tc>
          <w:tcPr>
            <w:tcW w:type="dxa" w:w="1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USD</w:t>
            </w:r>
          </w:p>
        </w:tc>
      </w:tr>
    </w:tbl>
    <w:p>
      <w:pPr>
        <w:pStyle w:val="Heading2"/>
        <w:keepNext/>
      </w:pPr>
      <w:r>
        <w:t>6.3 Carrier cost accrual and invoice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450"/>
        <w:gridCol w:w="2450"/>
        <w:gridCol w:w="27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Debit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Credit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Accrual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Transportation expense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cost accrual</w:t>
            </w:r>
          </w:p>
        </w:tc>
        <w:tc>
          <w:tcPr>
            <w:tcW w:type="dxa" w:w="27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Recognize expected leg cost at configured milestone.</w:t>
            </w:r>
          </w:p>
        </w:tc>
      </w:tr>
      <w:tr>
        <w:tc>
          <w:tcPr>
            <w:tcW w:type="dxa" w:w="17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Invoice verification</w:t>
            </w:r>
          </w:p>
        </w:tc>
        <w:tc>
          <w:tcPr>
            <w:tcW w:type="dxa" w:w="2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cost accrual</w:t>
            </w:r>
          </w:p>
        </w:tc>
        <w:tc>
          <w:tcPr>
            <w:tcW w:type="dxa" w:w="2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payable</w:t>
            </w:r>
          </w:p>
        </w:tc>
        <w:tc>
          <w:tcPr>
            <w:tcW w:type="dxa" w:w="27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Replace expected liability with approved supplier open item.</w:t>
            </w:r>
          </w:p>
        </w:tc>
      </w:tr>
      <w:tr>
        <w:tc>
          <w:tcPr>
            <w:tcW w:type="dxa" w:w="17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Approved variance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Transport variance expense</w:t>
            </w:r>
          </w:p>
        </w:tc>
        <w:tc>
          <w:tcPr>
            <w:tcW w:type="dxa" w:w="24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payable</w:t>
            </w:r>
          </w:p>
        </w:tc>
        <w:tc>
          <w:tcPr>
            <w:tcW w:type="dxa" w:w="27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Record difference between expected and invoiced cost.</w:t>
            </w:r>
          </w:p>
        </w:tc>
      </w:tr>
      <w:tr>
        <w:tc>
          <w:tcPr>
            <w:tcW w:type="dxa" w:w="17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Payment</w:t>
            </w:r>
          </w:p>
        </w:tc>
        <w:tc>
          <w:tcPr>
            <w:tcW w:type="dxa" w:w="2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payable</w:t>
            </w:r>
          </w:p>
        </w:tc>
        <w:tc>
          <w:tcPr>
            <w:tcW w:type="dxa" w:w="24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Bank</w:t>
            </w:r>
          </w:p>
        </w:tc>
        <w:tc>
          <w:tcPr>
            <w:tcW w:type="dxa" w:w="27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Clear supplier open item when payment is released.</w:t>
            </w:r>
          </w:p>
        </w:tc>
      </w:tr>
    </w:tbl>
    <w:p>
      <w:pPr>
        <w:pStyle w:val="Heading2"/>
        <w:keepNext/>
      </w:pPr>
      <w:r>
        <w:t>6.4 COD owned by the merchant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80"/>
        <w:gridCol w:w="338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Event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Debit</w:t>
            </w:r>
          </w:p>
        </w:tc>
        <w:tc>
          <w:tcPr>
            <w:tcW w:type="dxa" w:w="33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Credit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Driver collection</w:t>
            </w:r>
          </w:p>
        </w:tc>
        <w:tc>
          <w:tcPr>
            <w:tcW w:type="dxa" w:w="33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Driver cash custody</w:t>
            </w:r>
          </w:p>
        </w:tc>
        <w:tc>
          <w:tcPr>
            <w:tcW w:type="dxa" w:w="33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COD payable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Warehouse handoff</w:t>
            </w:r>
          </w:p>
        </w:tc>
        <w:tc>
          <w:tcPr>
            <w:tcW w:type="dxa" w:w="33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Warehouse cash custody</w:t>
            </w:r>
          </w:p>
        </w:tc>
        <w:tc>
          <w:tcPr>
            <w:tcW w:type="dxa" w:w="33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Driver cash custody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Deposit</w:t>
            </w:r>
          </w:p>
        </w:tc>
        <w:tc>
          <w:tcPr>
            <w:tcW w:type="dxa" w:w="33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Bank</w:t>
            </w:r>
          </w:p>
        </w:tc>
        <w:tc>
          <w:tcPr>
            <w:tcW w:type="dxa" w:w="33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Warehouse cash custody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Merchant remittance</w:t>
            </w:r>
          </w:p>
        </w:tc>
        <w:tc>
          <w:tcPr>
            <w:tcW w:type="dxa" w:w="33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COD payable</w:t>
            </w:r>
          </w:p>
        </w:tc>
        <w:tc>
          <w:tcPr>
            <w:tcW w:type="dxa" w:w="33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Bank</w:t>
            </w:r>
          </w:p>
        </w:tc>
      </w:tr>
    </w:tbl>
    <w:p>
      <w:pPr>
        <w:pStyle w:val="Heading1"/>
        <w:keepNext/>
      </w:pPr>
      <w:r>
        <w:t>7. Controls, security and audit</w:t>
      </w:r>
    </w:p>
    <w:p>
      <w:pPr>
        <w:pStyle w:val="Heading2"/>
        <w:keepNext/>
      </w:pPr>
      <w:r>
        <w:t>7.1 Role-independent permissions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CargoPilot continues the ERP RBAC policy: roles are configured in the UI and contain backend-defined permissions. Finance behavior must never depend on hardcoded role names.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Permission family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Read and investigate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finance.dashboard.read, finance.journal.read, finance.reports.read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Receivables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finance.invoice.create, finance.invoice.approve, finance.invoice.post, finance.invoice.reverse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Payables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finance.carrierBill.create, finance.carrierBill.approve, finance.paymentRun.create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Treasury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finance.paymentRun.approve, finance.paymentRun.release, finance.reconcile</w:t>
            </w:r>
          </w:p>
        </w:tc>
      </w:tr>
      <w:tr>
        <w:tc>
          <w:tcPr>
            <w:tcW w:type="dxa" w:w="27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General ledger</w:t>
            </w:r>
          </w:p>
        </w:tc>
        <w:tc>
          <w:tcPr>
            <w:tcW w:type="dxa" w:w="66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finance.journal.create, finance.journal.post, finance.journal.reverse</w:t>
            </w:r>
          </w:p>
        </w:tc>
      </w:tr>
      <w:tr>
        <w:tc>
          <w:tcPr>
            <w:tcW w:type="dxa" w:w="27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Close and configuration</w:t>
            </w:r>
          </w:p>
        </w:tc>
        <w:tc>
          <w:tcPr>
            <w:tcW w:type="dxa" w:w="66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finance.period.close, finance.period.reopen, finance.settings.manage</w:t>
            </w:r>
          </w:p>
        </w:tc>
      </w:tr>
    </w:tbl>
    <w:p>
      <w:pPr>
        <w:pStyle w:val="Heading2"/>
        <w:keepNext/>
      </w:pPr>
      <w:r>
        <w:t>7.2 Segregation of duties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The creator of a high-value supplier payment cannot be its final releaser.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Provider credentials and bank-account configuration require separate elevated permission and audit trail.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Manual journals above an approval threshold require independent approval.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Period close and reopen are restricted and record reason, approver and timestamp.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Bank and provider reconciliation cannot rewrite source payment records.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Company, branch and operational scopes are applied in backend database filters, not only in the UI.</w:t>
      </w:r>
    </w:p>
    <w:p>
      <w:pPr>
        <w:pStyle w:val="Heading2"/>
        <w:keepNext/>
      </w:pPr>
      <w:r>
        <w:t>7.3 Audit evidence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Every finance document exposes a chronological audit timeline: source event, actor, approvals, posting rule version, journal IDs, allocations, reconciliation evidence, reversals, attachments and all state transitions.</w:t>
      </w:r>
    </w:p>
    <w:p>
      <w:pPr>
        <w:pStyle w:val="Heading1"/>
        <w:keepNext/>
      </w:pPr>
      <w:r>
        <w:t>8. Reconciliation and exception management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50"/>
        <w:gridCol w:w="321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Reconciliation stream</w:t>
            </w:r>
          </w:p>
        </w:tc>
        <w:tc>
          <w:tcPr>
            <w:tcW w:type="dxa" w:w="40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automation</w:t>
            </w:r>
          </w:p>
        </w:tc>
        <w:tc>
          <w:tcPr>
            <w:tcW w:type="dxa" w:w="32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Exception examples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Payment providers</w:t>
            </w:r>
          </w:p>
        </w:tc>
        <w:tc>
          <w:tcPr>
            <w:tcW w:type="dxa" w:w="40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Match intent, provider payment, payout and fee using provider IDs and currency.</w:t>
            </w:r>
          </w:p>
        </w:tc>
        <w:tc>
          <w:tcPr>
            <w:tcW w:type="dxa" w:w="32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Missing webhook, duplicate callback, net/gross mismatch, chargeback.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Bank statements</w:t>
            </w:r>
          </w:p>
        </w:tc>
        <w:tc>
          <w:tcPr>
            <w:tcW w:type="dxa" w:w="40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Match reference, amount, currency, date and counterparty to open finance items.</w:t>
            </w:r>
          </w:p>
        </w:tc>
        <w:tc>
          <w:tcPr>
            <w:tcW w:type="dxa" w:w="32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Unknown transfer, split settlement, bank fee, wrong currency.</w:t>
            </w:r>
          </w:p>
        </w:tc>
      </w:tr>
      <w:tr>
        <w:tc>
          <w:tcPr>
            <w:tcW w:type="dxa" w:w="21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Carrier bills</w:t>
            </w:r>
          </w:p>
        </w:tc>
        <w:tc>
          <w:tcPr>
            <w:tcW w:type="dxa" w:w="40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Match provider, OrderLeg, service, contract/rule and expected accrual.</w:t>
            </w:r>
          </w:p>
        </w:tc>
        <w:tc>
          <w:tcPr>
            <w:tcW w:type="dxa" w:w="32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Duplicate invoice, price variance, unplanned surcharge, wrong leg.</w:t>
            </w:r>
          </w:p>
        </w:tc>
      </w:tr>
      <w:tr>
        <w:tc>
          <w:tcPr>
            <w:tcW w:type="dxa" w:w="21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Physical cash</w:t>
            </w:r>
          </w:p>
        </w:tc>
        <w:tc>
          <w:tcPr>
            <w:tcW w:type="dxa" w:w="40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Reconcile custody events to deposit or handoff confirmation.</w:t>
            </w:r>
          </w:p>
        </w:tc>
        <w:tc>
          <w:tcPr>
            <w:tcW w:type="dxa" w:w="32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Shortage, overage, missing handoff, stale driver custody.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Exceptions become owned work items with status, assignee, evidence, due date and resolution reason. They may integrate with CargoPilot Support for cross-functional investigation, while financial approval remains inside Finance.</w:t>
      </w:r>
    </w:p>
    <w:p>
      <w:pPr>
        <w:pStyle w:val="Heading1"/>
        <w:keepNext/>
      </w:pPr>
      <w:r>
        <w:t>9. Period close and reporting</w:t>
      </w:r>
    </w:p>
    <w:p>
      <w:pPr>
        <w:pStyle w:val="Heading2"/>
        <w:keepNext/>
      </w:pPr>
      <w:r>
        <w:t>9.1 Close checklist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Confirm all provider payouts and bank statements for the period are imported and reconciled.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Identify delivered/in-progress legs requiring carrier cost accrual.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Review unposted invoices, bills, cash variances and posting failures.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Revalue open foreign-currency receivables, payables and cash balances.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Run trial balance and control-account reconciliations.</w:t>
      </w:r>
    </w:p>
    <w:p>
      <w:pPr>
        <w:pStyle w:val="ListNumber"/>
        <w:spacing w:after="100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Approve close, lock period and publish financial statements.</w:t>
      </w:r>
    </w:p>
    <w:p>
      <w:pPr>
        <w:pStyle w:val="Heading2"/>
        <w:keepNext/>
      </w:pPr>
      <w:r>
        <w:t>9.2 Standard reports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Report</w:t>
            </w:r>
          </w:p>
        </w:tc>
        <w:tc>
          <w:tcPr>
            <w:tcW w:type="dxa" w:w="651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Key dimensions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Profit and loss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Legal entity, period, account, branch, cost center, customer, route and carrier.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Balance sheet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Cash/bank, provider clearing, receivables, payables, accruals, taxes and equity.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Cash flow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Operating, investing and financing classifications with currency view.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AR/AP aging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Partner, currency, due bucket, disputed/block state and responsible owner.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Shipment profitability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Order, leg, lane, customer, transport mode, carrier and pricing plan.</w:t>
            </w:r>
          </w:p>
        </w:tc>
      </w:tr>
      <w:tr>
        <w:tc>
          <w:tcPr>
            <w:tcW w:type="dxa" w:w="28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Reconciliation status</w:t>
            </w:r>
          </w:p>
        </w:tc>
        <w:tc>
          <w:tcPr>
            <w:tcW w:type="dxa" w:w="651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Provider/bank, statement period, matched, unmatched, variance and aging.</w:t>
            </w:r>
          </w:p>
        </w:tc>
      </w:tr>
      <w:tr>
        <w:tc>
          <w:tcPr>
            <w:tcW w:type="dxa" w:w="28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Audit and posting exceptions</w:t>
            </w:r>
          </w:p>
        </w:tc>
        <w:tc>
          <w:tcPr>
            <w:tcW w:type="dxa" w:w="651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Source event, rule, error category, retry count, assignee and resolution.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10. User experience blueprint</w:t>
      </w:r>
    </w:p>
    <w:p>
      <w:pPr>
        <w:pStyle w:val="Heading2"/>
        <w:keepNext/>
      </w:pPr>
      <w:r>
        <w:t>10.1 Navigation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Finance menu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Default view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Overview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Control tower and approval inbox.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Receivables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Invoices, credit notes, allocations, customers and aging.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Payables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Carrier accruals, bills, disputes and payment runs.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Cash &amp; Bank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Balances, custody, bank statements and transfers.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Reconciliation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Provider, bank, carrier and cash workbenches.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General Ledger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Journals, accounts, trial balance and periods.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Profitability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Order and leg margin with expected/actual variance.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Close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Close checklist, blockers, revaluation and locks.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Reports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Financial and management reports.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Settings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 master data and posting configuration.</w:t>
            </w:r>
          </w:p>
        </w:tc>
      </w:tr>
    </w:tbl>
    <w:p>
      <w:pPr>
        <w:pStyle w:val="Heading2"/>
        <w:keepNext/>
      </w:pPr>
      <w:r>
        <w:t>10.2 Workbench design rules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Use cursor-paginated, server-filtered tables for high-volume documents and open items.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Show document currency and company currency together when conversion matters.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Persist filters and provide export from exactly the same backend query used by the table.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Use explicit approval dialogs with impact summary; never use browser-native confirmation popups.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Display accounting state separately from operational payment or shipment state.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Provide source drill-down from journal line to invoice/payment/order/leg and back.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Use SSE or event invalidation for freshness, with durable database reads as the correctness source.</w:t>
      </w:r>
    </w:p>
    <w:p>
      <w:pPr>
        <w:pStyle w:val="Heading1"/>
        <w:keepNext/>
      </w:pPr>
      <w:r>
        <w:t>11. Integration architecture</w:t>
      </w:r>
    </w:p>
    <w:p>
      <w:pPr>
        <w:keepNext w:val="0"/>
        <w:spacing w:before="0" w:after="120" w:line="264" w:lineRule="auto"/>
      </w:pPr>
      <w:r>
        <w:rPr>
          <w:rFonts w:ascii="Aptos" w:hAnsi="Aptos"/>
          <w:b w:val="0"/>
          <w:i w:val="0"/>
          <w:color w:val="172033"/>
          <w:sz w:val="22"/>
        </w:rPr>
        <w:t>Finance consumes internal canonical events and external evidence through existing CargoPilot outbox, inbox and webhook patterns. External carriers and payment providers never write directly to accounting tables.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Canonical finance events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Orders and pricing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shipment.priced, invoice.requested, service.completed, order.cancelled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Payments</w:t>
            </w:r>
          </w:p>
        </w:tc>
        <w:tc>
          <w:tcPr>
            <w:tcW w:type="dxa" w:w="67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payment.succeeded, payment.failed, refund.succeeded, chargeback.opened, payout.settled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Carrier integration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carrier.booking.confirmed, leg.started, leg.completed, carrier.invoice.received</w:t>
            </w:r>
          </w:p>
        </w:tc>
      </w:tr>
      <w:tr>
        <w:tc>
          <w:tcPr>
            <w:tcW w:type="dxa" w:w="26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Cash custody</w:t>
            </w:r>
          </w:p>
        </w:tc>
        <w:tc>
          <w:tcPr>
            <w:tcW w:type="dxa" w:w="67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cash.expected, cash.collected, cash.handed_off, cash.deposited, cash.variance.confirmed</w:t>
            </w:r>
          </w:p>
        </w:tc>
      </w:tr>
      <w:tr>
        <w:tc>
          <w:tcPr>
            <w:tcW w:type="dxa" w:w="26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 workflow</w:t>
            </w:r>
          </w:p>
        </w:tc>
        <w:tc>
          <w:tcPr>
            <w:tcW w:type="dxa" w:w="67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document.approved, document.posted, payment.released, period.closed, document.reversed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0B2545"/>
              <w:left w:val="single" w:sz="10" w:color="0B2545"/>
              <w:bottom w:val="single" w:sz="10" w:color="0B2545"/>
              <w:right w:val="single" w:sz="10" w:color="0B2545"/>
              <w:insideH w:val="single" w:sz="10" w:color="0B2545"/>
              <w:insideV w:val="single" w:sz="10" w:color="0B2545"/>
            </w:tcBorders>
            <w:shd w:fill="EDF4FB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0B2545"/>
                <w:sz w:val="22"/>
              </w:rPr>
              <w:t>Delivery guarantee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Events are delivered at least once; financial effects are applied exactly once through unique source correlation and idempotent posting. Retries must be safe.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pStyle w:val="Heading1"/>
        <w:keepNext/>
      </w:pPr>
      <w:r>
        <w:t>12. Delivery roadmap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680"/>
        <w:gridCol w:w="3030"/>
      </w:tblGrid>
      <w:tr>
        <w:trPr>
          <w:tblHeader w:val="true"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303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Business outcome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1. Finance foundation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Legal entities, base currency, accounts, periods, journals, posting rules, audit and exception queue.</w:t>
            </w:r>
          </w:p>
        </w:tc>
        <w:tc>
          <w:tcPr>
            <w:tcW w:type="dxa" w:w="303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 trustworthy accounting kernel that future screens cannot bypass.</w:t>
            </w:r>
          </w:p>
        </w:tc>
      </w:tr>
      <w:tr>
        <w:tc>
          <w:tcPr>
            <w:tcW w:type="dxa" w:w="16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2. Receivables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Customer invoices, credit notes, allocations, aging and integration with existing payments/cash.</w:t>
            </w:r>
          </w:p>
        </w:tc>
        <w:tc>
          <w:tcPr>
            <w:tcW w:type="dxa" w:w="303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Controlled revenue and customer debt management.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3. Carrier payables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OrderLeg accruals, carrier bills, expected/actual verification, disputes and approvals.</w:t>
            </w:r>
          </w:p>
        </w:tc>
        <w:tc>
          <w:tcPr>
            <w:tcW w:type="dxa" w:w="303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True shipment cost and carrier liability visibility.</w:t>
            </w:r>
          </w:p>
        </w:tc>
      </w:tr>
      <w:tr>
        <w:tc>
          <w:tcPr>
            <w:tcW w:type="dxa" w:w="16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4. Treasury and reconciliation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Bank statements, payment-provider payouts, fees, COD custody and payment runs.</w:t>
            </w:r>
          </w:p>
        </w:tc>
        <w:tc>
          <w:tcPr>
            <w:tcW w:type="dxa" w:w="303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Explainable cash and fewer manual settlement errors.</w:t>
            </w:r>
          </w:p>
        </w:tc>
      </w:tr>
      <w:tr>
        <w:tc>
          <w:tcPr>
            <w:tcW w:type="dxa" w:w="165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5. Close and reporting</w:t>
            </w:r>
          </w:p>
        </w:tc>
        <w:tc>
          <w:tcPr>
            <w:tcW w:type="dxa" w:w="468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FX revaluation, close workflow, P&amp;L, balance sheet, cash flow and profitability.</w:t>
            </w:r>
          </w:p>
        </w:tc>
        <w:tc>
          <w:tcPr>
            <w:tcW w:type="dxa" w:w="303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Auditable period reporting and management insight.</w:t>
            </w:r>
          </w:p>
        </w:tc>
      </w:tr>
      <w:tr>
        <w:tc>
          <w:tcPr>
            <w:tcW w:type="dxa" w:w="165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6. Advanced finance</w:t>
            </w:r>
          </w:p>
        </w:tc>
        <w:tc>
          <w:tcPr>
            <w:tcW w:type="dxa" w:w="468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Budgets, forecasts, tax automation, intercompany and external accounting integrations.</w:t>
            </w:r>
          </w:p>
        </w:tc>
        <w:tc>
          <w:tcPr>
            <w:tcW w:type="dxa" w:w="303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Enterprise scale without compromising the core ledger.</w:t>
            </w:r>
          </w:p>
        </w:tc>
      </w:tr>
    </w:tbl>
    <w:p>
      <w:pPr>
        <w:pStyle w:val="Heading2"/>
        <w:keepNext/>
      </w:pPr>
      <w:r>
        <w:t>12.1 Phase 1 acceptance criteria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Every supported source event can be processed repeatedly without duplicate journal entries.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All posted journals balance in base currency and preserve original currency values.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Closed periods reject unauthorized postings; controlled reopen is audited.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Posted entries cannot be edited or deleted through API, UI or cascading operational deletion.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Company and membership scopes prevent cross-company finance data access.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Posting failures are visible, retryable and attributable to a specific source and rule version.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Existing payment and cash workflows continue operating during staged finance adoption.</w:t>
      </w:r>
    </w:p>
    <w:p>
      <w:pPr>
        <w:pStyle w:val="Heading1"/>
        <w:keepNext/>
      </w:pPr>
      <w:r>
        <w:t>13. Implementation guardrails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Guardrail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Engineering implication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Finance is not analytics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Redis/read models may cache results, but PostgreSQL finance records remain authoritative.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hardcoded roles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Routes require permission keys and backend scope filters.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mutable posted data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Use reversals and correction documents; protect relations from operational cascade deletion.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floating-point money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Use integer minor units or fixed precision decimal with explicit currency scale.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implicit FX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Every conversion stores rate, source, as-of timestamp and rounding policy.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direct provider-to-ledger writes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Provider callbacks create canonical events; posting engine owns journals.</w:t>
            </w:r>
          </w:p>
        </w:tc>
      </w:tr>
      <w:tr>
        <w:tc>
          <w:tcPr>
            <w:tcW w:type="dxa" w:w="28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aggregate-only evidence</w:t>
            </w:r>
          </w:p>
        </w:tc>
        <w:tc>
          <w:tcPr>
            <w:tcW w:type="dxa" w:w="65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Reports must drill to journals, documents and operational sources.</w:t>
            </w:r>
          </w:p>
        </w:tc>
      </w:tr>
      <w:tr>
        <w:tc>
          <w:tcPr>
            <w:tcW w:type="dxa" w:w="28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No silent posting loss</w:t>
            </w:r>
          </w:p>
        </w:tc>
        <w:tc>
          <w:tcPr>
            <w:tcW w:type="dxa" w:w="65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Outbox/inbox, retry state, dead-letter handling and operational alerting are mandatory.</w:t>
            </w:r>
          </w:p>
        </w:tc>
      </w:tr>
    </w:tbl>
    <w:p>
      <w:pPr>
        <w:pStyle w:val="Heading1"/>
        <w:keepNext/>
      </w:pPr>
      <w:r>
        <w:t>14. Glossary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64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7E0E8"/>
              <w:left w:val="single" w:sz="6" w:color="D7E0E8"/>
              <w:bottom w:val="single" w:sz="6" w:color="D7E0E8"/>
              <w:right w:val="single" w:sz="6" w:color="D7E0E8"/>
              <w:insideH w:val="single" w:sz="6" w:color="D7E0E8"/>
              <w:insideV w:val="single" w:sz="6" w:color="D7E0E8"/>
            </w:tcBorders>
            <w:shd w:fill="0B2545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Meaning in CargoPilot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Accounts receivable (AR)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Amounts customers owe CargoPilot.</w:t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Accounts payable (AP)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Amounts CargoPilot owes carriers and other suppliers.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Accrual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Expected cost or revenue recognized before the final invoice or payment is received.</w:t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Clearing account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Temporary account used while payment-provider or bank settlement is incomplete.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Open item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Posted receivable or payable that is not fully settled.</w:t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Posting rule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Versioned rule that converts a canonical event into balanced journal lines.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Reconciliation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Matching external money evidence to internal transactions and resolving differences.</w:t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Subledger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Detailed record of customer, carrier, cash or bank balances that reconciles to the general ledger.</w:t>
            </w:r>
          </w:p>
        </w:tc>
      </w:tr>
      <w:tr>
        <w:tc>
          <w:tcPr>
            <w:tcW w:type="dxa" w:w="290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Trial balance</w:t>
            </w:r>
          </w:p>
        </w:tc>
        <w:tc>
          <w:tcPr>
            <w:tcW w:type="dxa" w:w="6460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Account balances proving total debits and credits are equal.</w:t>
            </w:r>
          </w:p>
        </w:tc>
      </w:tr>
      <w:tr>
        <w:tc>
          <w:tcPr>
            <w:tcW w:type="dxa" w:w="290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OrderLeg</w:t>
            </w:r>
          </w:p>
        </w:tc>
        <w:tc>
          <w:tcPr>
            <w:tcW w:type="dxa" w:w="6460"/>
            <w:shd w:fill="F8FAFC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Operational segment of a shipment that may carry its own carrier, cost and profitability.</w:t>
            </w:r>
          </w:p>
        </w:tc>
      </w:tr>
    </w:tbl>
    <w:p>
      <w:pPr>
        <w:pStyle w:val="Heading1"/>
        <w:keepNext/>
      </w:pPr>
      <w:r>
        <w:t>15. References</w:t>
      </w:r>
    </w:p>
    <w:p>
      <w:pPr>
        <w:keepNext w:val="0"/>
        <w:spacing w:before="0" w:after="120" w:line="264" w:lineRule="auto"/>
      </w:pPr>
      <w:r>
        <w:rPr>
          <w:rFonts w:ascii="Aptos" w:hAnsi="Aptos"/>
          <w:b/>
          <w:i w:val="0"/>
          <w:color w:val="0B2545"/>
          <w:sz w:val="21"/>
        </w:rPr>
        <w:t>Internal CargoPilot architecture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ERP Architecture Policy - module boundaries, RBAC, multi-currency and order-leg principles.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Payments Secure Architecture - provider configuration, payment intent and webhook controls.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Pricing Real-World Architecture - route, leg, tariff and currency design.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Integrations ERP Architecture - provider isolation, outbox/inbox and canonical event patterns.</w:t>
      </w:r>
    </w:p>
    <w:p>
      <w:pPr>
        <w:keepNext w:val="0"/>
        <w:spacing w:before="120" w:after="120" w:line="264" w:lineRule="auto"/>
      </w:pPr>
      <w:r>
        <w:rPr>
          <w:rFonts w:ascii="Aptos" w:hAnsi="Aptos"/>
          <w:b/>
          <w:i w:val="0"/>
          <w:color w:val="0B2545"/>
          <w:sz w:val="21"/>
        </w:rPr>
        <w:t>External reference model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SAP S/4HANA Transportation Management - freight settlement, carrier invoice verification and freight cost accrual concepts: https://help.sap.com/docs/SAP_S4HANA_ON-PREMISE/e3dc5400c1cc41d1bc0ae0e7fd9aa5a2/7eb8bdf270d84b16ab8a755d09b11e81.html</w:t>
      </w:r>
    </w:p>
    <w:p>
      <w:pPr>
        <w:pStyle w:val="ListBullet"/>
        <w:spacing w:after="80" w:line="264" w:lineRule="auto"/>
        <w:ind w:left="720" w:hanging="360"/>
      </w:pPr>
      <w:r>
        <w:rPr>
          <w:rFonts w:ascii="Aptos" w:hAnsi="Aptos"/>
          <w:b w:val="0"/>
          <w:i w:val="0"/>
          <w:color w:val="172033"/>
          <w:sz w:val="21"/>
        </w:rPr>
        <w:t>SAP Freight Settlement best-practice scope - freight costs, accruals, carrier invoices and stage-level charges: https://help.sap.com/docs/s4hana-cloud-best-practices/freight-settlement-6w4-pt/purpose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10" w:color="D99A22"/>
              <w:left w:val="single" w:sz="10" w:color="D99A22"/>
              <w:bottom w:val="single" w:sz="10" w:color="D99A22"/>
              <w:right w:val="single" w:sz="10" w:color="D99A22"/>
              <w:insideH w:val="single" w:sz="10" w:color="D99A22"/>
              <w:insideV w:val="single" w:sz="10" w:color="D99A22"/>
            </w:tcBorders>
            <w:shd w:fill="FFF7E6"/>
          </w:tcPr>
          <w:p>
            <w:pPr>
              <w:keepNext w:val="0"/>
              <w:spacing w:before="0" w:after="80" w:line="252" w:lineRule="auto"/>
            </w:pPr>
            <w:r>
              <w:rPr>
                <w:rFonts w:ascii="Aptos" w:hAnsi="Aptos"/>
                <w:b/>
                <w:i w:val="0"/>
                <w:color w:val="D99A22"/>
                <w:sz w:val="22"/>
              </w:rPr>
              <w:t>Document status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1"/>
              </w:rPr>
              <w:t>This is CargoPilot's target product architecture. Accounting policy, tax configuration, chart of accounts and statutory reports must be validated for each operating legal entity before production finance go-live.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D6878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ptos" w:hAnsi="Aptos"/>
        <w:b/>
        <w:i w:val="0"/>
        <w:color w:val="0B2545"/>
        <w:sz w:val="17"/>
      </w:rPr>
      <w:t>CARGOPILOT  /  FINANCE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99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CargoPilot Finance Architecture and Operating Model</dc:title>
  <dc:subject>Target finance architecture for CargoPilot logistics ERP</dc:subject>
  <dc:creator>CargoPilot</dc:creator>
  <cp:keywords>CargoPilot, finance, ERP, accounting, logistics, payments, carriers, reconciliation</cp:keywords>
  <dc:description>Customer and developer blueprint.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