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1D4ED8" w:sz="1"/>
              <w:left w:val="single" w:color="1D4ED8" w:sz="1"/>
              <w:bottom w:val="single" w:color="1D4ED8" w:sz="1"/>
              <w:right w:val="single" w:color="1D4ED8" w:sz="1"/>
            </w:tcBorders>
            <w:shd w:fill="F5F9FF"/>
            <w:tcMar>
              <w:top w:type="dxa" w:w="120"/>
              <w:left w:type="dxa" w:w="120"/>
              <w:bottom w:type="dxa" w:w="120"/>
              <w:right w:type="dxa" w:w="120"/>
            </w:tcMar>
          </w:tcPr>
          <w:p>
            <w:r>
              <w:rPr>
                <w:b/>
                <w:bCs/>
                <w:color w:val="1D4ED8"/>
                <w:sz w:val="18"/>
                <w:szCs w:val="18"/>
              </w:rPr>
              <w:t xml:space="preserve">Chiqish №: XR-20260406064103-712</w:t>
            </w:r>
          </w:p>
          <w:p>
            <w:r>
              <w:rPr>
                <w:b w:val="false"/>
                <w:bCs w:val="false"/>
                <w:color w:val="475569"/>
                <w:sz w:val="18"/>
                <w:szCs w:val="18"/>
              </w:rPr>
              <w:t xml:space="preserve">Sana: 06.04.2026 11:41</w:t>
            </w:r>
          </w:p>
        </w:tc>
        <w:tc>
          <w:tcPr>
            <w:tcW w:type="dxa" w:w="6500"/>
            <w:tcBorders>
              <w:top w:val="none" w:color="FFFFFF" w:sz="0"/>
              <w:left w:val="none" w:color="FFFFFF" w:sz="0"/>
              <w:bottom w:val="none" w:color="FFFFFF" w:sz="0"/>
              <w:right w:val="none" w:color="FFFFFF" w:sz="0"/>
            </w:tcBorders>
            <w:tcMar>
              <w:top w:type="dxa" w:w="100"/>
              <w:left w:type="dxa" w:w="80"/>
              <w:bottom w:type="dxa" w:w="100"/>
              <w:right w:type="dxa" w:w="80"/>
            </w:tcMar>
          </w:tcPr>
          <w:p>
            <w:pPr>
              <w:jc w:val="right"/>
            </w:pPr>
            <w:r>
              <w:rPr>
                <w:b/>
                <w:bCs/>
                <w:color w:val="111827"/>
                <w:sz w:val="22"/>
                <w:szCs w:val="22"/>
              </w:rPr>
              <w:t xml:space="preserve">«Toshkent metropoliteni» DUK</w:t>
            </w:r>
          </w:p>
          <w:p>
            <w:pPr>
              <w:spacing w:before="80"/>
              <w:jc w:val="right"/>
            </w:pPr>
            <w:r>
              <w:rPr>
                <w:b/>
                <w:bCs/>
                <w:color w:val="111827"/>
                <w:sz w:val="20"/>
                <w:szCs w:val="20"/>
              </w:rPr>
              <w:t xml:space="preserve">Boshlig‘iga Monitoring bo‘limi</w:t>
            </w:r>
          </w:p>
        </w:tc>
      </w:tr>
    </w:tbl>
    <w:p>
      <w:pPr>
        <w:spacing w:after="220" w:before="220"/>
        <w:jc w:val="center"/>
      </w:pPr>
      <w:r>
        <w:rPr>
          <w:b/>
          <w:bCs/>
          <w:color w:val="111827"/>
          <w:sz w:val="28"/>
          <w:szCs w:val="28"/>
        </w:rPr>
        <w:t xml:space="preserve">BILDIRG‘I</w:t>
      </w:r>
    </w:p>
    <w:p>
      <w:pPr>
        <w:spacing w:after="120"/>
        <w:ind w:firstLine="420"/>
        <w:jc w:val="both"/>
      </w:pPr>
      <w:r>
        <w:rPr>
          <w:b w:val="false"/>
          <w:bCs w:val="false"/>
          <w:color w:val="111827"/>
          <w:sz w:val="22"/>
          <w:szCs w:val="22"/>
        </w:rPr>
        <w:t xml:space="preserve">Monitoring bo‘limi nomiga korxona ehtiyojlari uchun zarur bo‘lgan moddiy‑texnik vositalarni xarid qilish masalasini ko‘rib chiqish yuzasidan ushbu bildirg‘i taqdim etiladi.</w:t>
      </w:r>
    </w:p>
    <w:p>
      <w:pPr>
        <w:spacing w:after="120"/>
        <w:ind w:firstLine="420"/>
        <w:jc w:val="both"/>
      </w:pPr>
      <w:r>
        <w:rPr>
          <w:b w:val="false"/>
          <w:bCs w:val="false"/>
          <w:color w:val="111827"/>
          <w:sz w:val="22"/>
          <w:szCs w:val="22"/>
        </w:rPr>
        <w:t xml:space="preserve">Xarid zarurati: Dasturlash – zamonaviy dunyoning yuargi bo'lib har bir sohada innovatsiyalarni rivajlantiradi. Dasturlash nafaqat tez rivojlanayotgan davnda dasturlardan o'yganish nafaqat muhokassalar uchun faqat oddiy foydalanuvchilar uchun ham ochiqlash berish. Programmalashda har xil tillarnig dastorblar, web sayular, va'riq molohat kolareli yoki yirtarteb yorsratishage mumkin. Dasturlash hozirgi zahon muqarratlarda muhokame (ko'llartibzda konkyatiratib texnotonologi va isobidorlikat) va ashriy manfaatlik muotutlya'rdig orqali yangi hoyaludar bag'hadi. Har bu yavilgem kod dairi – bu koliqlik san taslilangan qabatlarib yungisining o'yasanin amqali az oz otzularziniga analoga qollardib. Dasturlash bu bir key
Dasturlash – zamonaviy dunyoning yuargi bo'lib har bir sohada innovatsiyalarni rivajlantiradi. Dasturlash nafaqat tez rivojlanayotgan davnda dasturlardan o'yganish nafaqat muhokassalar uchun faqat oddiy foydalanuvchilar uchun ham ochiqlash berish. Programmalashda har xil tillarnig dastorblar, web sayular, va'riq molohat kolareli yoki yirtarteb yorsratishage mumkin. Dasturlash hozirgi zahon muqarratlarda muhokame (ko'llartibzda konkyatiratib texnotonologi va isobidorlikat) va ashriy manfaatlik muotutlya'rdig orqali yangi hoyaludar bag'hadi. Har bu yavilgem kod dairi – bu koliqlik san taslilangan qabatlarib yungisining o'yasanin amqali az oz otzularziniga analoga qollardib. Dasturlash bu bir keydiiy turlavi jambol qartiinmisa o'rihohaqolarni tairi dasrij yorliginga mumkin.diiy turlavi jambol qartiinmisa o'rihohaqolarni tairi dasrij yorliginga mumkin.</w:t>
      </w:r>
    </w:p>
    <w:p>
      <w:pPr>
        <w:spacing w:after="120"/>
        <w:ind w:firstLine="420"/>
        <w:jc w:val="both"/>
      </w:pPr>
      <w:r>
        <w:rPr>
          <w:b w:val="false"/>
          <w:bCs w:val="false"/>
          <w:color w:val="111827"/>
          <w:sz w:val="22"/>
          <w:szCs w:val="22"/>
        </w:rPr>
        <w:t xml:space="preserve">Mazkur jihozlar Toshkent ta’minot bo‘limi ehtiyoji uchun foydalaniladi.</w:t>
      </w:r>
    </w:p>
    <w:p>
      <w:pPr>
        <w:spacing w:after="80"/>
      </w:pPr>
      <w:r>
        <w:rPr>
          <w:b w:val="false"/>
          <w:bCs w:val="false"/>
          <w:color w:val="111827"/>
          <w:sz w:val="22"/>
          <w:szCs w:val="22"/>
        </w:rPr>
        <w:t xml:space="preserve">Holati: Sotib olinmoqda</w:t>
      </w:r>
    </w:p>
    <w:p>
      <w:pPr>
        <w:spacing w:after="140"/>
      </w:pPr>
      <w:r>
        <w:rPr>
          <w:b w:val="false"/>
          <w:bCs w:val="false"/>
          <w:color w:val="111827"/>
          <w:sz w:val="22"/>
          <w:szCs w:val="22"/>
        </w:rPr>
        <w:t xml:space="preserve">Tayyorladi: Bosh ofis</w:t>
      </w:r>
    </w:p>
    <w:p>
      <w:pPr>
        <w:spacing w:after="180"/>
      </w:pPr>
      <w:r>
        <w:rPr>
          <w:b w:val="false"/>
          <w:bCs w:val="false"/>
          <w:color w:val="111827"/>
          <w:sz w:val="22"/>
          <w:szCs w:val="22"/>
        </w:rPr>
        <w:t xml:space="preserve">Foydalaniladigan tuzilmalar: Toshkent ta’minot bo‘limi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BFD3F2" w:sz="1"/>
              <w:left w:val="single" w:color="BFD3F2" w:sz="1"/>
              <w:bottom w:val="single" w:color="BFD3F2" w:sz="1"/>
              <w:right w:val="single" w:color="BFD3F2" w:sz="1"/>
            </w:tcBorders>
            <w:shd w:fill="EAF2FF"/>
            <w:tcMar>
              <w:top w:type="dxa" w:w="120"/>
              <w:left w:type="dxa" w:w="100"/>
              <w:bottom w:type="dxa" w:w="120"/>
              <w:right w:type="dxa" w:w="100"/>
            </w:tcMar>
          </w:tcPr>
          <w:p>
            <w:pPr>
              <w:jc w:val="center"/>
            </w:pPr>
            <w:r>
              <w:rPr>
                <w:b/>
                <w:bCs/>
                <w:sz w:val="20"/>
                <w:szCs w:val="20"/>
              </w:rPr>
              <w:t xml:space="preserve">№</w:t>
            </w:r>
          </w:p>
        </w:tc>
        <w:tc>
          <w:tcPr>
            <w:tcW w:type="dxa" w:w="2400"/>
            <w:tcBorders>
              <w:top w:val="single" w:color="BFD3F2" w:sz="1"/>
              <w:left w:val="single" w:color="BFD3F2" w:sz="1"/>
              <w:bottom w:val="single" w:color="BFD3F2" w:sz="1"/>
              <w:right w:val="single" w:color="BFD3F2" w:sz="1"/>
            </w:tcBorders>
            <w:shd w:fill="EAF2FF"/>
            <w:tcMar>
              <w:top w:type="dxa" w:w="120"/>
              <w:left w:type="dxa" w:w="100"/>
              <w:bottom w:type="dxa" w:w="120"/>
              <w:right w:type="dxa" w:w="100"/>
            </w:tcMar>
          </w:tcPr>
          <w:p>
            <w:pPr>
              <w:jc w:val="left"/>
            </w:pPr>
            <w:r>
              <w:rPr>
                <w:b/>
                <w:bCs/>
                <w:sz w:val="20"/>
                <w:szCs w:val="20"/>
              </w:rPr>
              <w:t xml:space="preserve">Mahsulot nomi</w:t>
            </w:r>
          </w:p>
        </w:tc>
        <w:tc>
          <w:tcPr>
            <w:tcW w:type="dxa" w:w="3600"/>
            <w:tcBorders>
              <w:top w:val="single" w:color="BFD3F2" w:sz="1"/>
              <w:left w:val="single" w:color="BFD3F2" w:sz="1"/>
              <w:bottom w:val="single" w:color="BFD3F2" w:sz="1"/>
              <w:right w:val="single" w:color="BFD3F2" w:sz="1"/>
            </w:tcBorders>
            <w:shd w:fill="EAF2FF"/>
            <w:tcMar>
              <w:top w:type="dxa" w:w="120"/>
              <w:left w:type="dxa" w:w="100"/>
              <w:bottom w:type="dxa" w:w="120"/>
              <w:right w:type="dxa" w:w="100"/>
            </w:tcMar>
          </w:tcPr>
          <w:p>
            <w:pPr>
              <w:jc w:val="left"/>
            </w:pPr>
            <w:r>
              <w:rPr>
                <w:b/>
                <w:bCs/>
                <w:sz w:val="20"/>
                <w:szCs w:val="20"/>
              </w:rPr>
              <w:t xml:space="preserve">Mahsulotning xususiyati va texnik ko‘rsatkichlari</w:t>
            </w:r>
          </w:p>
        </w:tc>
        <w:tc>
          <w:tcPr>
            <w:tcW w:type="dxa" w:w="1200"/>
            <w:tcBorders>
              <w:top w:val="single" w:color="BFD3F2" w:sz="1"/>
              <w:left w:val="single" w:color="BFD3F2" w:sz="1"/>
              <w:bottom w:val="single" w:color="BFD3F2" w:sz="1"/>
              <w:right w:val="single" w:color="BFD3F2" w:sz="1"/>
            </w:tcBorders>
            <w:shd w:fill="EAF2FF"/>
            <w:tcMar>
              <w:top w:type="dxa" w:w="120"/>
              <w:left w:type="dxa" w:w="100"/>
              <w:bottom w:type="dxa" w:w="120"/>
              <w:right w:type="dxa" w:w="100"/>
            </w:tcMar>
          </w:tcPr>
          <w:p>
            <w:pPr>
              <w:jc w:val="center"/>
            </w:pPr>
            <w:r>
              <w:rPr>
                <w:b/>
                <w:bCs/>
                <w:sz w:val="20"/>
                <w:szCs w:val="20"/>
              </w:rPr>
              <w:t xml:space="preserve">O‘lchov birligi</w:t>
            </w:r>
          </w:p>
        </w:tc>
        <w:tc>
          <w:tcPr>
            <w:tcW w:type="dxa" w:w="1100"/>
            <w:tcBorders>
              <w:top w:val="single" w:color="BFD3F2" w:sz="1"/>
              <w:left w:val="single" w:color="BFD3F2" w:sz="1"/>
              <w:bottom w:val="single" w:color="BFD3F2" w:sz="1"/>
              <w:right w:val="single" w:color="BFD3F2" w:sz="1"/>
            </w:tcBorders>
            <w:shd w:fill="EAF2FF"/>
            <w:tcMar>
              <w:top w:type="dxa" w:w="120"/>
              <w:left w:type="dxa" w:w="100"/>
              <w:bottom w:type="dxa" w:w="120"/>
              <w:right w:type="dxa" w:w="100"/>
            </w:tcMar>
          </w:tcPr>
          <w:p>
            <w:pPr>
              <w:jc w:val="center"/>
            </w:pPr>
            <w:r>
              <w:rPr>
                <w:b/>
                <w:bCs/>
                <w:sz w:val="20"/>
                <w:szCs w:val="20"/>
              </w:rPr>
              <w:t xml:space="preserve">Miqdori</w:t>
            </w:r>
          </w:p>
        </w:tc>
      </w:tr>
      <w:tr>
        <w:tc>
          <w:tcPr>
            <w:tcW w:type="dxa" w:w="500"/>
            <w:tcBorders>
              <w:top w:val="single" w:color="BFD3F2" w:sz="1"/>
              <w:left w:val="single" w:color="BFD3F2" w:sz="1"/>
              <w:bottom w:val="single" w:color="BFD3F2" w:sz="1"/>
              <w:right w:val="single" w:color="BFD3F2" w:sz="1"/>
            </w:tcBorders>
            <w:tcMar>
              <w:top w:type="dxa" w:w="120"/>
              <w:left w:type="dxa" w:w="100"/>
              <w:bottom w:type="dxa" w:w="120"/>
              <w:right w:type="dxa" w:w="100"/>
            </w:tcMar>
          </w:tcPr>
          <w:p>
            <w:pPr>
              <w:jc w:val="center"/>
            </w:pPr>
            <w:r>
              <w:rPr>
                <w:b w:val="false"/>
                <w:bCs w:val="false"/>
                <w:sz w:val="20"/>
                <w:szCs w:val="20"/>
              </w:rPr>
              <w:t xml:space="preserve">1</w:t>
            </w:r>
          </w:p>
        </w:tc>
        <w:tc>
          <w:tcPr>
            <w:tcW w:type="dxa" w:w="2400"/>
            <w:tcBorders>
              <w:top w:val="single" w:color="BFD3F2" w:sz="1"/>
              <w:left w:val="single" w:color="BFD3F2" w:sz="1"/>
              <w:bottom w:val="single" w:color="BFD3F2" w:sz="1"/>
              <w:right w:val="single" w:color="BFD3F2" w:sz="1"/>
            </w:tcBorders>
            <w:tcMar>
              <w:top w:type="dxa" w:w="120"/>
              <w:left w:type="dxa" w:w="100"/>
              <w:bottom w:type="dxa" w:w="120"/>
              <w:right w:type="dxa" w:w="100"/>
            </w:tcMar>
          </w:tcPr>
          <w:p>
            <w:pPr>
              <w:jc w:val="left"/>
            </w:pPr>
            <w:r>
              <w:rPr>
                <w:b w:val="false"/>
                <w:bCs w:val="false"/>
                <w:sz w:val="20"/>
                <w:szCs w:val="20"/>
              </w:rPr>
              <w:t xml:space="preserve">iphone 16 pro max</w:t>
            </w:r>
          </w:p>
        </w:tc>
        <w:tc>
          <w:tcPr>
            <w:tcW w:type="dxa" w:w="3600"/>
            <w:tcBorders>
              <w:top w:val="single" w:color="BFD3F2" w:sz="1"/>
              <w:left w:val="single" w:color="BFD3F2" w:sz="1"/>
              <w:bottom w:val="single" w:color="BFD3F2" w:sz="1"/>
              <w:right w:val="single" w:color="BFD3F2" w:sz="1"/>
            </w:tcBorders>
            <w:tcMar>
              <w:top w:type="dxa" w:w="120"/>
              <w:left w:type="dxa" w:w="100"/>
              <w:bottom w:type="dxa" w:w="120"/>
              <w:right w:type="dxa" w:w="100"/>
            </w:tcMar>
          </w:tcPr>
          <w:p>
            <w:pPr>
              <w:jc w:val="left"/>
            </w:pPr>
            <w:r>
              <w:rPr>
                <w:b w:val="false"/>
                <w:bCs w:val="false"/>
                <w:sz w:val="20"/>
                <w:szCs w:val="20"/>
              </w:rPr>
              <w:t xml:space="preserve">Dasturlash – zamonaviy dunyoning yuargi bo'lib har bir sohada innovatsiyalarni rivajlantiradi. Dasturlash nafaqat tez rivojlanayotgan davnda dasturlardan o'yganish nafaqat muhokassalar uchun faqat oddiy foydalanuvchilar uchun ham ochiqlash berish. Programmalashda har xil tillarnig dastorblar, web sayular, va'riq molohat kolareli yoki yirtarteb yorsratishage mumkin. Dasturlash hozirgi zahon muqarratlarda muhokame (ko'llartibzda konkyatiratib texnotonologi va isobidorlikat) va ashriy manfaatlik muotutlya'rdig orqali yangi hoyaludar bag'hadi. Har bu yavilgem kod dairi – bu koliqlik san taslilangan qabatlarib yungisining o'yasanin amqali az oz otzularziniga analoga qollardib. Dasturlash bu bir keydiiy turlavi jambol qartiinmisa o'rihohaqolarni tairi dasrij yorliginga mumkin.</w:t>
            </w:r>
          </w:p>
        </w:tc>
        <w:tc>
          <w:tcPr>
            <w:tcW w:type="dxa" w:w="1200"/>
            <w:tcBorders>
              <w:top w:val="single" w:color="BFD3F2" w:sz="1"/>
              <w:left w:val="single" w:color="BFD3F2" w:sz="1"/>
              <w:bottom w:val="single" w:color="BFD3F2" w:sz="1"/>
              <w:right w:val="single" w:color="BFD3F2" w:sz="1"/>
            </w:tcBorders>
            <w:tcMar>
              <w:top w:type="dxa" w:w="120"/>
              <w:left w:type="dxa" w:w="100"/>
              <w:bottom w:type="dxa" w:w="120"/>
              <w:right w:type="dxa" w:w="100"/>
            </w:tcMar>
          </w:tcPr>
          <w:p>
            <w:pPr>
              <w:jc w:val="center"/>
            </w:pPr>
            <w:r>
              <w:rPr>
                <w:b w:val="false"/>
                <w:bCs w:val="false"/>
                <w:sz w:val="20"/>
                <w:szCs w:val="20"/>
              </w:rPr>
              <w:t xml:space="preserve">dona</w:t>
            </w:r>
          </w:p>
        </w:tc>
        <w:tc>
          <w:tcPr>
            <w:tcW w:type="dxa" w:w="1100"/>
            <w:tcBorders>
              <w:top w:val="single" w:color="BFD3F2" w:sz="1"/>
              <w:left w:val="single" w:color="BFD3F2" w:sz="1"/>
              <w:bottom w:val="single" w:color="BFD3F2" w:sz="1"/>
              <w:right w:val="single" w:color="BFD3F2" w:sz="1"/>
            </w:tcBorders>
            <w:tcMar>
              <w:top w:type="dxa" w:w="120"/>
              <w:left w:type="dxa" w:w="100"/>
              <w:bottom w:type="dxa" w:w="120"/>
              <w:right w:type="dxa" w:w="100"/>
            </w:tcMar>
          </w:tcPr>
          <w:p>
            <w:pPr>
              <w:jc w:val="center"/>
            </w:pPr>
            <w:r>
              <w:rPr>
                <w:b w:val="false"/>
                <w:bCs w:val="false"/>
                <w:sz w:val="20"/>
                <w:szCs w:val="20"/>
              </w:rPr>
              <w:t xml:space="preserve">10</w:t>
            </w:r>
          </w:p>
        </w:tc>
      </w:tr>
    </w:tbl>
    <w:p>
      <w:pPr>
        <w:spacing w:after="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color="FFFFFF" w:sz="0"/>
              <w:left w:val="none" w:color="FFFFFF" w:sz="0"/>
              <w:bottom w:val="none" w:color="FFFFFF" w:sz="0"/>
              <w:right w:val="none" w:color="FFFFFF" w:sz="0"/>
            </w:tcBorders>
            <w:tcMar>
              <w:top w:type="dxa" w:w="100"/>
              <w:left w:type="dxa" w:w="80"/>
              <w:bottom w:type="dxa" w:w="100"/>
              <w:right w:type="dxa" w:w="80"/>
            </w:tcMar>
          </w:tcPr>
          <w:p>
            <w:r>
              <w:rPr>
                <w:b/>
                <w:bCs/>
                <w:color w:val="111827"/>
                <w:sz w:val="20"/>
                <w:szCs w:val="20"/>
              </w:rPr>
              <w:t xml:space="preserve">Tayyorladi</w:t>
            </w:r>
          </w:p>
          <w:p>
            <w:pPr>
              <w:spacing w:after="140" w:before="80"/>
            </w:pPr>
            <w:r>
              <w:rPr>
                <w:b w:val="false"/>
                <w:bCs w:val="false"/>
                <w:color w:val="111827"/>
                <w:sz w:val="20"/>
                <w:szCs w:val="20"/>
              </w:rPr>
              <w:t xml:space="preserve">Bosh ofis</w:t>
            </w:r>
          </w:p>
          <w:p>
            <w:r>
              <w:rPr>
                <w:b w:val="false"/>
                <w:bCs w:val="false"/>
                <w:color w:val="475569"/>
                <w:sz w:val="18"/>
                <w:szCs w:val="18"/>
              </w:rPr>
              <w:t xml:space="preserve">____________________ Imzo</w:t>
            </w:r>
          </w:p>
        </w:tc>
        <w:tc>
          <w:tcPr>
            <w:tcW w:type="dxa" w:w="4500"/>
            <w:tcBorders>
              <w:top w:val="none" w:color="FFFFFF" w:sz="0"/>
              <w:left w:val="none" w:color="FFFFFF" w:sz="0"/>
              <w:bottom w:val="none" w:color="FFFFFF" w:sz="0"/>
              <w:right w:val="none" w:color="FFFFFF" w:sz="0"/>
            </w:tcBorders>
            <w:tcMar>
              <w:top w:type="dxa" w:w="100"/>
              <w:left w:type="dxa" w:w="80"/>
              <w:bottom w:type="dxa" w:w="100"/>
              <w:right w:type="dxa" w:w="80"/>
            </w:tcMar>
          </w:tcPr>
          <w:p>
            <w:pPr>
              <w:jc w:val="right"/>
            </w:pPr>
            <w:r>
              <w:rPr>
                <w:b/>
                <w:bCs/>
                <w:color w:val="111827"/>
                <w:sz w:val="20"/>
                <w:szCs w:val="20"/>
              </w:rPr>
              <w:t xml:space="preserve">Kelishildi</w:t>
            </w:r>
          </w:p>
          <w:p>
            <w:pPr>
              <w:spacing w:after="140" w:before="80"/>
              <w:jc w:val="right"/>
            </w:pPr>
            <w:r>
              <w:rPr>
                <w:b w:val="false"/>
                <w:bCs w:val="false"/>
                <w:color w:val="111827"/>
                <w:sz w:val="20"/>
                <w:szCs w:val="20"/>
              </w:rPr>
              <w:t xml:space="preserve">Monitoring bo‘limi</w:t>
            </w:r>
          </w:p>
          <w:p>
            <w:pPr>
              <w:jc w:val="right"/>
            </w:pPr>
            <w:r>
              <w:rPr>
                <w:b w:val="false"/>
                <w:bCs w:val="false"/>
                <w:color w:val="475569"/>
                <w:sz w:val="18"/>
                <w:szCs w:val="18"/>
              </w:rPr>
              <w:t xml:space="preserve">____________________ Imzo</w:t>
            </w:r>
          </w:p>
        </w:tc>
      </w:tr>
    </w:tbl>
    <w:p>
      <w:pPr>
        <w:spacing w:before="240"/>
        <w:jc w:val="center"/>
      </w:pPr>
      <w:r>
        <w:rPr>
          <w:b w:val="false"/>
          <w:bCs w:val="false"/>
          <w:color w:val="475569"/>
          <w:sz w:val="18"/>
          <w:szCs w:val="18"/>
        </w:rPr>
        <w:t xml:space="preserve">Hujjat Zaxira.uz tizimi orqali avtomatik shakllantirildi</w:t>
      </w:r>
    </w:p>
    <w:sectPr>
      <w:pgSz w:w="11906" w:h="16838" w:orient="portrait"/>
      <w:pgMar w:top="90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2026-04-06T06:42:22.521Z</dcterms:created>
  <dcterms:modified xsi:type="dcterms:W3CDTF">2026-04-06T06:42:22.521Z</dcterms:modified>
</cp:coreProperties>
</file>

<file path=docProps/custom.xml><?xml version="1.0" encoding="utf-8"?>
<Properties xmlns="http://schemas.openxmlformats.org/officeDocument/2006/custom-properties" xmlns:vt="http://schemas.openxmlformats.org/officeDocument/2006/docPropsVTypes"/>
</file>