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jc w:val="right"/>
      </w:pPr>
      <w:r>
        <w:rPr>
          <w:b/>
          <w:bCs/>
          <w:sz w:val="22"/>
          <w:szCs w:val="22"/>
        </w:rPr>
        <w:t>TASDIQLAYMAN</w:t>
      </w:r>
    </w:p>
    <w:p w14:paraId="00000002">
      <w:pPr>
        <w:jc w:val="right"/>
      </w:pPr>
      <w:r>
        <w:rPr>
          <w:sz w:val="22"/>
          <w:szCs w:val="22"/>
        </w:rPr>
        <w:t>"Toshkent metropoliteni" AJ boshlig'i</w:t>
      </w:r>
    </w:p>
    <w:p w14:paraId="00000003">
      <w:pPr>
        <w:jc w:val="right"/>
      </w:pPr>
      <w:r>
        <w:rPr>
          <w:sz w:val="22"/>
          <w:szCs w:val="22"/>
        </w:rPr>
        <w:t>TEST2</w:t>
      </w:r>
    </w:p>
    <w:p w14:paraId="00000004">
      <w:pPr>
        <w:spacing w:after="200"/>
        <w:jc w:val="right"/>
      </w:pPr>
      <w:r>
        <w:rPr>
          <w:sz w:val="22"/>
          <w:szCs w:val="22"/>
        </w:rPr>
        <w:t>2026-yil "____" __________</w:t>
      </w:r>
    </w:p>
    <w:p w14:paraId="00000005">
      <w:pPr>
        <w:spacing w:after="40" w:line="276"/>
        <w:jc w:val="center"/>
      </w:pPr>
      <w:r>
        <w:rPr>
          <w:sz w:val="22"/>
          <w:szCs w:val="22"/>
        </w:rPr>
        <w:t>"Tovarlar, ishlar va xizmatlar xaridi maqsadga</w:t>
      </w:r>
    </w:p>
    <w:p w14:paraId="00000006">
      <w:pPr>
        <w:spacing w:after="40" w:line="276"/>
        <w:jc w:val="center"/>
      </w:pPr>
      <w:r>
        <w:rPr>
          <w:sz w:val="22"/>
          <w:szCs w:val="22"/>
        </w:rPr>
        <w:t>muvofiqligi va zarurligi to'g'risida"gi</w:t>
      </w:r>
    </w:p>
    <w:p w14:paraId="00000007">
      <w:pPr>
        <w:spacing w:after="240" w:line="276"/>
        <w:jc w:val="center"/>
      </w:pPr>
      <w:r>
        <w:rPr>
          <w:b/>
          <w:bCs/>
          <w:sz w:val="28"/>
          <w:szCs w:val="28"/>
        </w:rPr>
        <w:t>KELIShUV VARAQASI</w:t>
      </w:r>
    </w:p>
    <w:p w14:paraId="00000008">
      <w:pPr>
        <w:spacing w:after="200" w:line="276"/>
        <w:jc w:val="both"/>
      </w:pPr>
      <w:r>
        <w:rPr>
          <w:sz w:val="22"/>
          <w:szCs w:val="22"/>
        </w:rPr>
        <w:t>1. Lorem ipsum dolor sit amet, consectetur adipiscing elit. Sed ac pretium risus. Aliquam eget purus eu metus tristique rutrum quis et ex. Fusce vitae urna accumsan, dictum arcu vitae, viverra libero. Quisque suscipit lorem maximus congue ultrices. Ut risus justo, blandit vitae interdum vel, commodo a nunc. Cras vitae diam consequat, venenatis quam vel, pretium neque. Morbi pulvinar risus mattis urna ornare, finibus ullamcorper elit iaculis. Nam molestie vehicula elit, et efficitur ex viverra ut. Suspendisse potenti.</w:t>
      </w:r>
    </w:p>
    <w:p w14:paraId="00000009">
      <w:pPr>
        <w:spacing w:after="200" w:line="276"/>
        <w:jc w:val="both"/>
      </w:pPr>
      <w:r>
        <w:rPr>
          <w:sz w:val="22"/>
          <w:szCs w:val="22"/>
        </w:rPr>
        <w:t>2. Suspendisse sit amet mi mattis augue bibendum venenatis. Fusce mauris sem, placerat et libero eget, aliquam cursus elit. Integer sodales sem nunc, ac pharetra ligula rhoncus vitae. Donec sed sapien turpis. Suspendisse ut sodales nisl, eget gravida enim. Nunc nec dolor risus. Maecenas lobortis eleifend justo sed viverra. Mauris justo lorem, facilisis lobortis tristique vitae, suscipit vitae lectus. Mauris iaculis sem diam, ut hendrerit dui venenatis mollis. Mauris vel erat purus. Nullam sed est varius, luctus eros quis, finibus metus. Nam eget lectus sem. Quisque quis sem eu turpis sollicitudin dignissim in vel nisl.</w:t>
      </w:r>
    </w:p>
    <w:tbl>
      <w:tblPr>
        <w:tblW w:w="10206" w:type="dxa"/>
        <w:tblBorders>
          <w:top w:val="single" w:color="000000" w:sz="1"/>
          <w:left w:val="single" w:color="000000" w:sz="1"/>
          <w:bottom w:val="single" w:color="000000" w:sz="1"/>
          <w:right w:val="single" w:color="000000" w:sz="1"/>
          <w:insideH w:val="single" w:color="auto" w:sz="4"/>
          <w:insideV w:val="single" w:color="auto" w:sz="4"/>
        </w:tblBorders>
        <w:tblLayout w:type="fixed"/>
      </w:tblPr>
      <w:tblGrid>
        <w:gridCol w:w="620"/>
        <w:gridCol w:w="2100"/>
        <w:gridCol w:w="5486"/>
        <w:gridCol w:w="2000"/>
      </w:tblGrid>
      <w:tr w14:paraId="0000000A">
        <w:trPr>
          <w:hidden w:val="0"/>
          <w:tblHeader/>
        </w:trPr>
        <w:tc>
          <w:tcPr>
            <w:tcW w:w="620" w:type="dxa"/>
            <w:tcBorders>
              <w:top w:val="single" w:color="000000" w:sz="1"/>
              <w:left w:val="single" w:color="000000" w:sz="1"/>
              <w:bottom w:val="single" w:color="000000" w:sz="1"/>
              <w:right w:val="single" w:color="000000" w:sz="1"/>
            </w:tcBorders>
            <w:vAlign w:val="center"/>
          </w:tcPr>
          <w:p w14:paraId="0000000B">
            <w:pPr>
              <w:jc w:val="center"/>
            </w:pPr>
            <w:r>
              <w:rPr>
                <w:b/>
                <w:bCs/>
                <w:sz w:val="20"/>
                <w:szCs w:val="20"/>
              </w:rPr>
              <w:t>T/r</w:t>
            </w:r>
          </w:p>
        </w:tc>
        <w:tc>
          <w:tcPr>
            <w:tcW w:w="2100" w:type="dxa"/>
            <w:tcBorders>
              <w:top w:val="single" w:color="000000" w:sz="1"/>
              <w:left w:val="single" w:color="000000" w:sz="1"/>
              <w:bottom w:val="single" w:color="000000" w:sz="1"/>
              <w:right w:val="single" w:color="000000" w:sz="1"/>
            </w:tcBorders>
            <w:vAlign w:val="center"/>
          </w:tcPr>
          <w:p w14:paraId="0000000C">
            <w:pPr>
              <w:jc w:val="left"/>
            </w:pPr>
            <w:r>
              <w:rPr>
                <w:b/>
                <w:bCs/>
                <w:sz w:val="20"/>
                <w:szCs w:val="20"/>
              </w:rPr>
              <w:t>Komissiya a'zosi F.I.Sh.</w:t>
            </w:r>
          </w:p>
        </w:tc>
        <w:tc>
          <w:tcPr>
            <w:tcW w:w="5486" w:type="dxa"/>
            <w:tcBorders>
              <w:top w:val="single" w:color="000000" w:sz="1"/>
              <w:left w:val="single" w:color="000000" w:sz="1"/>
              <w:bottom w:val="single" w:color="000000" w:sz="1"/>
              <w:right w:val="single" w:color="000000" w:sz="1"/>
            </w:tcBorders>
            <w:vAlign w:val="center"/>
          </w:tcPr>
          <w:p w14:paraId="0000000D">
            <w:pPr>
              <w:jc w:val="left"/>
            </w:pPr>
            <w:r>
              <w:rPr>
                <w:b/>
                <w:bCs/>
                <w:sz w:val="20"/>
                <w:szCs w:val="20"/>
              </w:rPr>
              <w:t>Egallab turgan lavozimi</w:t>
            </w:r>
          </w:p>
        </w:tc>
        <w:tc>
          <w:tcPr>
            <w:tcW w:w="2000" w:type="dxa"/>
            <w:tcBorders>
              <w:top w:val="single" w:color="000000" w:sz="1"/>
              <w:left w:val="single" w:color="000000" w:sz="1"/>
              <w:bottom w:val="single" w:color="000000" w:sz="1"/>
              <w:right w:val="single" w:color="000000" w:sz="1"/>
            </w:tcBorders>
            <w:vAlign w:val="center"/>
          </w:tcPr>
          <w:p w14:paraId="0000000E">
            <w:pPr>
              <w:jc w:val="center"/>
            </w:pPr>
            <w:r>
              <w:rPr>
                <w:b/>
                <w:bCs/>
                <w:sz w:val="20"/>
                <w:szCs w:val="20"/>
              </w:rPr>
              <w:t>Imzo/sana</w:t>
            </w:r>
          </w:p>
        </w:tc>
      </w:tr>
      <w:tr w14:paraId="0000000F">
        <w:tc>
          <w:tcPr>
            <w:tcW w:w="620" w:type="dxa"/>
            <w:tcBorders>
              <w:top w:val="single" w:color="000000" w:sz="1"/>
              <w:left w:val="single" w:color="000000" w:sz="1"/>
              <w:bottom w:val="single" w:color="000000" w:sz="1"/>
              <w:right w:val="single" w:color="000000" w:sz="1"/>
            </w:tcBorders>
            <w:vAlign w:val="center"/>
          </w:tcPr>
          <w:p w14:paraId="00000010">
            <w:pPr>
              <w:jc w:val="center"/>
            </w:pPr>
            <w:r>
              <w:rPr>
                <w:b w:val="0"/>
                <w:bCs w:val="0"/>
                <w:sz w:val="20"/>
                <w:szCs w:val="20"/>
              </w:rPr>
              <w:t>1</w:t>
            </w:r>
          </w:p>
        </w:tc>
        <w:tc>
          <w:tcPr>
            <w:tcW w:w="2100" w:type="dxa"/>
            <w:tcBorders>
              <w:top w:val="single" w:color="000000" w:sz="1"/>
              <w:left w:val="single" w:color="000000" w:sz="1"/>
              <w:bottom w:val="single" w:color="000000" w:sz="1"/>
              <w:right w:val="single" w:color="000000" w:sz="1"/>
            </w:tcBorders>
            <w:vAlign w:val="center"/>
          </w:tcPr>
          <w:p w14:paraId="00000011">
            <w:pPr>
              <w:jc w:val="left"/>
            </w:pPr>
            <w:r>
              <w:rPr>
                <w:b w:val="0"/>
                <w:bCs w:val="0"/>
                <w:sz w:val="20"/>
                <w:szCs w:val="20"/>
              </w:rPr>
              <w:t>Super Admin</w:t>
            </w:r>
          </w:p>
        </w:tc>
        <w:tc>
          <w:tcPr>
            <w:tcW w:w="5486" w:type="dxa"/>
            <w:tcBorders>
              <w:top w:val="single" w:color="000000" w:sz="1"/>
              <w:left w:val="single" w:color="000000" w:sz="1"/>
              <w:bottom w:val="single" w:color="000000" w:sz="1"/>
              <w:right w:val="single" w:color="000000" w:sz="1"/>
            </w:tcBorders>
            <w:vAlign w:val="center"/>
          </w:tcPr>
          <w:p w14:paraId="00000012">
            <w:pPr>
              <w:jc w:val="left"/>
            </w:pPr>
            <w:r>
              <w:rPr>
                <w:b w:val="0"/>
                <w:bCs w:val="0"/>
                <w:sz w:val="20"/>
                <w:szCs w:val="20"/>
              </w:rPr>
              <w:t>—</w:t>
            </w:r>
          </w:p>
        </w:tc>
        <w:tc>
          <w:tcPr>
            <w:tcW w:w="2000" w:type="dxa"/>
            <w:tcBorders>
              <w:top w:val="single" w:color="000000" w:sz="1"/>
              <w:left w:val="single" w:color="000000" w:sz="1"/>
              <w:bottom w:val="single" w:color="000000" w:sz="1"/>
              <w:right w:val="single" w:color="000000" w:sz="1"/>
            </w:tcBorders>
            <w:vAlign w:val="center"/>
          </w:tcPr>
          <w:p w14:paraId="00000013">
            <w:pPr>
              <w:jc w:val="center"/>
            </w:pPr>
          </w:p>
        </w:tc>
      </w:tr>
    </w:tbl>
    <w:tbl>
      <w:tblPr>
        <w:tblW w:w="10206" w:type="dxa"/>
        <w:tblBorders>
          <w:top w:val="nil" w:color="FFFFFF" w:sz="0"/>
          <w:left w:val="nil" w:color="FFFFFF" w:sz="0"/>
          <w:bottom w:val="nil" w:color="FFFFFF" w:sz="0"/>
          <w:right w:val="nil" w:color="FFFFFF" w:sz="0"/>
          <w:insideH w:val="single" w:color="auto" w:sz="4"/>
          <w:insideV w:val="single" w:color="auto" w:sz="4"/>
        </w:tblBorders>
        <w:tblLayout w:type="fixed"/>
      </w:tblPr>
      <w:tblGrid>
        <w:gridCol w:w="10206"/>
      </w:tblGrid>
      <w:tr w14:paraId="00000014">
        <w:tc>
          <w:tcPr>
            <w:tcW w:w="10206" w:type="dxa"/>
            <w:tcBorders>
              <w:top w:val="nil" w:color="FFFFFF" w:sz="0"/>
              <w:left w:val="nil" w:color="FFFFFF" w:sz="0"/>
              <w:bottom w:val="nil" w:color="FFFFFF" w:sz="0"/>
              <w:right w:val="nil" w:color="FFFFFF" w:sz="0"/>
            </w:tcBorders>
          </w:tcPr>
          <w:p w14:paraId="00000015">
            <w:pPr>
              <w:spacing w:before="120"/>
            </w:pPr>
          </w:p>
          <w:p>
            <w:pPr>
              <w:spacing w:before="120"/>
            </w:pPr>
            <w:r>
              <w:rPr>
                <w:b/>
                <w:bCs/>
                <w:sz w:val="22"/>
                <w:szCs w:val="22"/>
              </w:rPr>
              <w:t>Buyurtmachi:</w:t>
            </w:r>
          </w:p>
          <w:p w14:paraId="00000016">
            <w:pPr>
              <w:tabs>
                <w:tab w:val="right" w:pos="9360"/>
              </w:tabs>
              <w:spacing w:after="120" w:before="120" w:line="276"/>
            </w:pPr>
            <w:r>
              <w:rPr>
                <w:b/>
                <w:bCs/>
                <w:sz w:val="24"/>
                <w:szCs w:val="24"/>
              </w:rPr>
              <w:t>test xizmati boshlig'i</w:t>
            </w:r>
            <w:r>
              <w:rPr>
                <w:sz w:val="22"/>
                <w:szCs w:val="22"/>
              </w:rPr>
              <w:t xml:space="preserve">	</w:t>
            </w:r>
            <w:r>
              <w:rPr>
                <w:b/>
                <w:bCs/>
                <w:sz w:val="24"/>
                <w:szCs w:val="24"/>
              </w:rPr>
              <w:t>test</w:t>
            </w:r>
          </w:p>
          <w:p w14:paraId="00000017">
            <w:pPr>
              <w:spacing w:after="160" w:before="280"/>
              <w:jc w:val="lef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6" cstate="none"/>
                          <a:srcRect/>
                          <a:stretch>
                            <a:fillRect/>
                          </a:stretch>
                        </pic:blipFill>
                        <pic:spPr bwMode="auto">
                          <a:xfrm>
                            <a:off x="0" y="0"/>
                            <a:ext cx="1047750" cy="1047750"/>
                          </a:xfrm>
                          <a:prstGeom prst="rect">
                            <a:avLst/>
                          </a:prstGeom>
                        </pic:spPr>
                      </pic:pic>
                    </a:graphicData>
                  </a:graphic>
                </wp:inline>
              </w:drawing>
            </w:r>
          </w:p>
        </w:tc>
      </w:tr>
    </w:tbl>
    <w:sectPr>
      <w:pgSz w:w="11906" w:h="16838" w:orient="portrait"/>
      <w:pgMar w:top="1134" w:right="850" w:bottom="1134" w:left="85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image" Target="media/__d25usr8yix8wblb9jfr.png" /></Relationships>
</file>

<file path=word/_rels/fontTable.xml.rels><?xml version="1.0" encoding="UTF-8"?><Relationships xmlns="http://schemas.openxmlformats.org/package/2006/relationships"/>
</file>

<file path=word/_rels/footnotes.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211</Words>
  <Characters>1248</Characters>
  <CharactersWithSpaces>1441</CharactersWithSpace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2026-06-22T05:31:47.083Z</dcterms:created>
  <dcterms:modified xsi:type="dcterms:W3CDTF">2026-06-22T05:31:47.083Z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1.39.0</vt:lpwstr>
  </property>
  <property name="SuperdocDocumentOrigin" fmtid="{D5CDD505-2E9C-101B-9397-08002B2CF9AE}" pid="3">
    <vt:lpwstr>google-docs</vt:lpwstr>
  </property>
  <property name="DocumentGuid" fmtid="{D5CDD505-2E9C-101B-9397-08002B2CF9AE}" pid="4">
    <vt:lpwstr>21a75988-2e28-4320-857d-6cdfca143f9e</vt:lpwstr>
  </property>
</Properties>
</file>