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3DA5CAE8" w:rsidR="00082527" w:rsidRPr="008C2115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8C2115">
              <w:rPr>
                <w:b/>
                <w:bCs/>
                <w:color w:val="auto"/>
                <w:sz w:val="28"/>
                <w:szCs w:val="28"/>
                <w:u w:color="FF0000"/>
              </w:rPr>
              <w:t>6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3949C1E9" w:rsidR="00082527" w:rsidRPr="0002615C" w:rsidRDefault="0002615C">
            <w:pPr>
              <w:shd w:val="clear" w:color="auto" w:fill="FFFFFF"/>
              <w:jc w:val="right"/>
              <w:rPr>
                <w:color w:val="auto"/>
              </w:rPr>
            </w:pPr>
            <w:proofErr w:type="spellStart"/>
            <w:r>
              <w:rPr>
                <w:color w:val="auto"/>
                <w:sz w:val="28"/>
                <w:szCs w:val="28"/>
                <w:u w:color="FF0000"/>
              </w:rPr>
              <w:t>Анваржонов</w:t>
            </w:r>
            <w:proofErr w:type="spellEnd"/>
            <w:r>
              <w:rPr>
                <w:color w:val="auto"/>
                <w:sz w:val="28"/>
                <w:szCs w:val="28"/>
                <w:u w:color="FF0000"/>
              </w:rPr>
              <w:t xml:space="preserve"> Ж</w:t>
            </w:r>
            <w:r>
              <w:rPr>
                <w:color w:val="auto"/>
                <w:sz w:val="28"/>
                <w:szCs w:val="28"/>
                <w:u w:color="FF0000"/>
                <w:lang w:val="en-US"/>
              </w:rPr>
              <w:t>.</w:t>
            </w:r>
            <w:r>
              <w:rPr>
                <w:color w:val="auto"/>
                <w:sz w:val="28"/>
                <w:szCs w:val="28"/>
                <w:u w:color="FF0000"/>
              </w:rPr>
              <w:t xml:space="preserve"> Т</w:t>
            </w:r>
            <w:r>
              <w:rPr>
                <w:color w:val="auto"/>
                <w:sz w:val="28"/>
                <w:szCs w:val="28"/>
                <w:u w:color="FF0000"/>
                <w:lang w:val="en-US"/>
              </w:rPr>
              <w:t>.</w:t>
            </w:r>
            <w:r>
              <w:rPr>
                <w:color w:val="auto"/>
                <w:sz w:val="28"/>
                <w:szCs w:val="28"/>
                <w:u w:color="FF0000"/>
              </w:rPr>
              <w:t xml:space="preserve"> 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543D1406" w:rsidR="00082527" w:rsidRDefault="00FD140D" w:rsidP="009946F4">
      <w:pPr>
        <w:shd w:val="clear" w:color="auto" w:fill="FFFFFF"/>
        <w:ind w:left="17016" w:hanging="17016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DE186A">
        <w:rPr>
          <w:color w:val="auto"/>
          <w:sz w:val="28"/>
          <w:szCs w:val="28"/>
          <w:u w:val="single"/>
        </w:rPr>
        <w:t>25</w:t>
      </w:r>
      <w:r>
        <w:rPr>
          <w:color w:val="auto"/>
          <w:sz w:val="28"/>
          <w:szCs w:val="28"/>
        </w:rPr>
        <w:t xml:space="preserve">» </w:t>
      </w:r>
      <w:r w:rsidR="00A56014" w:rsidRPr="00A56014">
        <w:rPr>
          <w:color w:val="auto"/>
          <w:sz w:val="28"/>
          <w:szCs w:val="28"/>
          <w:u w:val="single"/>
        </w:rPr>
        <w:t>ноября</w:t>
      </w:r>
      <w:r w:rsidR="00A5601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</w:t>
      </w:r>
      <w:proofErr w:type="gramStart"/>
      <w:r>
        <w:rPr>
          <w:sz w:val="28"/>
          <w:szCs w:val="28"/>
        </w:rPr>
        <w:t xml:space="preserve">_»   </w:t>
      </w:r>
      <w:proofErr w:type="gramEnd"/>
      <w:r>
        <w:rPr>
          <w:sz w:val="28"/>
          <w:szCs w:val="28"/>
        </w:rPr>
        <w:t xml:space="preserve">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3BFA1466" w:rsidR="00082527" w:rsidRPr="00DE186A" w:rsidRDefault="00FD140D" w:rsidP="00892EC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DE186A">
        <w:rPr>
          <w:b/>
          <w:bCs/>
          <w:sz w:val="28"/>
          <w:szCs w:val="28"/>
        </w:rPr>
        <w:lastRenderedPageBreak/>
        <w:t>Цель работы</w:t>
      </w:r>
      <w:r w:rsidR="00314F62" w:rsidRPr="00DE186A">
        <w:rPr>
          <w:b/>
          <w:bCs/>
          <w:sz w:val="28"/>
          <w:szCs w:val="28"/>
        </w:rPr>
        <w:t xml:space="preserve">: </w:t>
      </w:r>
    </w:p>
    <w:p w14:paraId="5CB4C8C2" w14:textId="77777777" w:rsidR="00DE186A" w:rsidRPr="00DE186A" w:rsidRDefault="00DE186A" w:rsidP="00892EC9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DE186A">
        <w:rPr>
          <w:rFonts w:eastAsia="Times New Roman" w:cs="Times New Roman"/>
          <w:sz w:val="28"/>
          <w:szCs w:val="28"/>
        </w:rPr>
        <w:t>Получить практические навыки в построении IDEF3-модели бизнес-процесса.</w:t>
      </w:r>
    </w:p>
    <w:p w14:paraId="3E3C4234" w14:textId="36982987" w:rsidR="00082527" w:rsidRPr="00DE186A" w:rsidRDefault="00FD140D" w:rsidP="00892EC9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 w:rsidRPr="00DE186A">
        <w:rPr>
          <w:b/>
          <w:bCs/>
          <w:sz w:val="28"/>
          <w:szCs w:val="28"/>
        </w:rPr>
        <w:t>Задание:</w:t>
      </w:r>
    </w:p>
    <w:p w14:paraId="0D579444" w14:textId="77777777" w:rsidR="00DE186A" w:rsidRPr="00DE186A" w:rsidRDefault="00DE186A" w:rsidP="00892EC9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DE186A">
        <w:rPr>
          <w:rFonts w:eastAsia="Times New Roman" w:cs="Times New Roman"/>
          <w:sz w:val="28"/>
          <w:szCs w:val="28"/>
        </w:rPr>
        <w:t>С помощью методологии IDEF3 декомпозировать 1 из функциональных блоков модели окружения (</w:t>
      </w:r>
      <w:r w:rsidRPr="00DE186A">
        <w:rPr>
          <w:rFonts w:eastAsia="Times New Roman" w:cs="Times New Roman"/>
          <w:sz w:val="28"/>
          <w:szCs w:val="28"/>
          <w:lang w:val="en-US"/>
        </w:rPr>
        <w:t>A</w:t>
      </w:r>
      <w:r w:rsidRPr="00DE186A">
        <w:rPr>
          <w:rFonts w:eastAsia="Times New Roman" w:cs="Times New Roman"/>
          <w:sz w:val="28"/>
          <w:szCs w:val="28"/>
        </w:rPr>
        <w:t>0), используя все типы перекрестков.</w:t>
      </w:r>
    </w:p>
    <w:p w14:paraId="07AF995E" w14:textId="2B7B79BD" w:rsidR="00082527" w:rsidRDefault="00FD140D" w:rsidP="00892EC9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14:paraId="15EDB706" w14:textId="2ED96445" w:rsidR="001518AC" w:rsidRPr="0002615C" w:rsidRDefault="0002615C" w:rsidP="00892EC9">
      <w:pPr>
        <w:pStyle w:val="ab"/>
        <w:rPr>
          <w:lang w:val="ru-RU"/>
        </w:rPr>
      </w:pPr>
      <w:proofErr w:type="gramStart"/>
      <w:r>
        <w:rPr>
          <w:lang w:val="ru-RU"/>
        </w:rPr>
        <w:t>Для построении</w:t>
      </w:r>
      <w:proofErr w:type="gramEnd"/>
      <w:r>
        <w:rPr>
          <w:lang w:val="ru-RU"/>
        </w:rPr>
        <w:t xml:space="preserve"> модели с помощью методологии </w:t>
      </w:r>
      <w:r>
        <w:t>IDEF</w:t>
      </w:r>
      <w:r w:rsidRPr="0002615C">
        <w:rPr>
          <w:lang w:val="ru-RU"/>
        </w:rPr>
        <w:t xml:space="preserve">3 </w:t>
      </w:r>
      <w:r>
        <w:rPr>
          <w:lang w:val="ru-RU"/>
        </w:rPr>
        <w:t>произведем декомпозицию блока «выбор курса и приобретение доступа к нему»</w:t>
      </w:r>
    </w:p>
    <w:p w14:paraId="03988B25" w14:textId="607711CF" w:rsidR="00C448A2" w:rsidRPr="00E86917" w:rsidRDefault="0002615C" w:rsidP="00892EC9">
      <w:pPr>
        <w:pStyle w:val="ab"/>
        <w:ind w:firstLine="0"/>
        <w:jc w:val="center"/>
        <w:rPr>
          <w:lang w:val="ru-RU"/>
        </w:rPr>
      </w:pPr>
      <w:r w:rsidRPr="0002615C">
        <w:rPr>
          <w:lang w:val="ru-RU"/>
        </w:rPr>
        <w:drawing>
          <wp:inline distT="0" distB="0" distL="0" distR="0" wp14:anchorId="52F328BC" wp14:editId="037B5F31">
            <wp:extent cx="5727700" cy="30664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8850" w14:textId="7AD557EA" w:rsidR="00346B98" w:rsidRDefault="00981778" w:rsidP="00892EC9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</w:rPr>
      </w:pPr>
      <w:r w:rsidRPr="00346B98">
        <w:rPr>
          <w:rFonts w:cs="Times New Roman"/>
          <w:iCs/>
          <w:color w:val="111111"/>
          <w:sz w:val="28"/>
          <w:shd w:val="clear" w:color="auto" w:fill="FFFFFF"/>
        </w:rPr>
        <w:t>Ри</w:t>
      </w:r>
      <w:r>
        <w:rPr>
          <w:rFonts w:cs="Times New Roman"/>
          <w:iCs/>
          <w:color w:val="111111"/>
          <w:sz w:val="28"/>
          <w:shd w:val="clear" w:color="auto" w:fill="FFFFFF"/>
        </w:rPr>
        <w:t>сунок</w:t>
      </w:r>
      <w:r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 </w:t>
      </w:r>
      <w:r w:rsidR="00346B98"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1 – Скриншот контекстной диаграммы в нотации </w:t>
      </w:r>
      <w:r w:rsidR="00346B98" w:rsidRPr="00346B98">
        <w:rPr>
          <w:rFonts w:cs="Times New Roman"/>
          <w:iCs/>
          <w:color w:val="111111"/>
          <w:sz w:val="28"/>
          <w:shd w:val="clear" w:color="auto" w:fill="FFFFFF"/>
          <w:lang w:val="en-US"/>
        </w:rPr>
        <w:t>IDEF</w:t>
      </w:r>
      <w:r w:rsidR="00DE186A">
        <w:rPr>
          <w:rFonts w:cs="Times New Roman"/>
          <w:iCs/>
          <w:color w:val="111111"/>
          <w:sz w:val="28"/>
          <w:shd w:val="clear" w:color="auto" w:fill="FFFFFF"/>
        </w:rPr>
        <w:t>3</w:t>
      </w:r>
    </w:p>
    <w:p w14:paraId="659A9AD3" w14:textId="0D3A13DB" w:rsidR="004047D5" w:rsidRDefault="004047D5" w:rsidP="00892EC9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</w:rPr>
      </w:pPr>
    </w:p>
    <w:p w14:paraId="08187901" w14:textId="4C2C7B2D" w:rsidR="0002615C" w:rsidRDefault="0002615C">
      <w:pPr>
        <w:rPr>
          <w:rFonts w:cs="Times New Roman"/>
          <w:iCs/>
          <w:color w:val="111111"/>
          <w:sz w:val="28"/>
          <w:shd w:val="clear" w:color="auto" w:fill="FFFFFF"/>
        </w:rPr>
      </w:pPr>
      <w:r>
        <w:rPr>
          <w:rFonts w:cs="Times New Roman"/>
          <w:iCs/>
          <w:color w:val="111111"/>
          <w:sz w:val="28"/>
          <w:shd w:val="clear" w:color="auto" w:fill="FFFFFF"/>
        </w:rPr>
        <w:br w:type="page"/>
      </w:r>
    </w:p>
    <w:p w14:paraId="617E40AB" w14:textId="77777777" w:rsidR="004047D5" w:rsidRPr="00D11F66" w:rsidRDefault="004047D5" w:rsidP="00892EC9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</w:rPr>
      </w:pPr>
    </w:p>
    <w:tbl>
      <w:tblPr>
        <w:tblW w:w="5000" w:type="pct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543"/>
        <w:gridCol w:w="3305"/>
        <w:gridCol w:w="2607"/>
      </w:tblGrid>
      <w:tr w:rsidR="004047D5" w:rsidRPr="0002615C" w14:paraId="0D960DEB" w14:textId="77777777" w:rsidTr="00682AB6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FB921" w14:textId="77777777" w:rsidR="004047D5" w:rsidRPr="0002615C" w:rsidRDefault="004047D5" w:rsidP="00520FAA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8"/>
              </w:rPr>
              <w:t>Обозначение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E0027" w14:textId="77777777" w:rsidR="004047D5" w:rsidRPr="0002615C" w:rsidRDefault="004047D5" w:rsidP="00520FAA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8"/>
              </w:rPr>
              <w:t>Наименование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8B7DA" w14:textId="77777777" w:rsidR="004047D5" w:rsidRPr="0002615C" w:rsidRDefault="004047D5" w:rsidP="00520FAA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8"/>
              </w:rPr>
              <w:t>Смысл в случае слияния стрелок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1FE50" w14:textId="77777777" w:rsidR="004047D5" w:rsidRPr="0002615C" w:rsidRDefault="004047D5" w:rsidP="00520FAA">
            <w:pPr>
              <w:spacing w:before="100" w:beforeAutospacing="1" w:after="100" w:afterAutospacing="1" w:line="360" w:lineRule="auto"/>
              <w:ind w:left="210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8"/>
              </w:rPr>
              <w:t>Смысл в случае разветвления стрелок</w:t>
            </w:r>
          </w:p>
        </w:tc>
      </w:tr>
      <w:tr w:rsidR="004047D5" w:rsidRPr="0002615C" w14:paraId="6AAC15A5" w14:textId="77777777" w:rsidTr="00682AB6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0B574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noProof/>
                <w:color w:val="000000" w:themeColor="text1"/>
                <w:sz w:val="22"/>
                <w:szCs w:val="28"/>
              </w:rPr>
              <w:drawing>
                <wp:inline distT="0" distB="0" distL="0" distR="0" wp14:anchorId="1D1FB149" wp14:editId="63E0F617">
                  <wp:extent cx="297180" cy="297180"/>
                  <wp:effectExtent l="0" t="0" r="762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E0F1D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proofErr w:type="spellStart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Asynchronous</w:t>
            </w:r>
            <w:proofErr w:type="spellEnd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 xml:space="preserve"> AND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69B8E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186" w:hanging="5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Все предшествующие процессы должны быть завершены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A967E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210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Все следующие процессы должны быть запущены</w:t>
            </w:r>
          </w:p>
        </w:tc>
      </w:tr>
      <w:tr w:rsidR="004047D5" w:rsidRPr="0002615C" w14:paraId="5F152442" w14:textId="77777777" w:rsidTr="00682AB6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74BC8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noProof/>
                <w:color w:val="000000" w:themeColor="text1"/>
                <w:sz w:val="22"/>
                <w:szCs w:val="28"/>
              </w:rPr>
              <w:drawing>
                <wp:inline distT="0" distB="0" distL="0" distR="0" wp14:anchorId="484DAF84" wp14:editId="675328A7">
                  <wp:extent cx="297180" cy="297180"/>
                  <wp:effectExtent l="0" t="0" r="762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326A1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proofErr w:type="spellStart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Synchronous</w:t>
            </w:r>
            <w:proofErr w:type="spellEnd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 xml:space="preserve"> AND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DA257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186" w:hanging="5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Все предшествующие процессы завершены одновременно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9B1C1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210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Все следующие процессы запускаются одновременно</w:t>
            </w:r>
          </w:p>
        </w:tc>
      </w:tr>
      <w:tr w:rsidR="004047D5" w:rsidRPr="0002615C" w14:paraId="07EAF028" w14:textId="77777777" w:rsidTr="00682AB6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CEE70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noProof/>
                <w:color w:val="000000" w:themeColor="text1"/>
                <w:sz w:val="22"/>
                <w:szCs w:val="28"/>
              </w:rPr>
              <w:drawing>
                <wp:inline distT="0" distB="0" distL="0" distR="0" wp14:anchorId="7C4B765E" wp14:editId="7608DCF8">
                  <wp:extent cx="281940" cy="297180"/>
                  <wp:effectExtent l="0" t="0" r="381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41F31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proofErr w:type="spellStart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Asynchronous</w:t>
            </w:r>
            <w:proofErr w:type="spellEnd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 xml:space="preserve"> OR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D9935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181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B4A36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210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Один или несколько следующих процессов должны быть запущены</w:t>
            </w:r>
          </w:p>
        </w:tc>
      </w:tr>
      <w:tr w:rsidR="004047D5" w:rsidRPr="0002615C" w14:paraId="71D44C18" w14:textId="77777777" w:rsidTr="00682AB6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BEFCB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noProof/>
                <w:color w:val="000000" w:themeColor="text1"/>
                <w:sz w:val="22"/>
                <w:szCs w:val="28"/>
              </w:rPr>
              <w:drawing>
                <wp:inline distT="0" distB="0" distL="0" distR="0" wp14:anchorId="4D121ACB" wp14:editId="4A9AAB99">
                  <wp:extent cx="297180" cy="297180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B2099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proofErr w:type="spellStart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Synchronous</w:t>
            </w:r>
            <w:proofErr w:type="spellEnd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 xml:space="preserve"> OR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E9655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186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9DB06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210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Один или несколько следующих процессов запускаются одновременно</w:t>
            </w:r>
          </w:p>
        </w:tc>
      </w:tr>
      <w:tr w:rsidR="004047D5" w:rsidRPr="0002615C" w14:paraId="0D555161" w14:textId="77777777" w:rsidTr="00682AB6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82987" w14:textId="77777777" w:rsidR="004047D5" w:rsidRPr="0002615C" w:rsidRDefault="004047D5" w:rsidP="00520FAA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noProof/>
                <w:color w:val="000000" w:themeColor="text1"/>
                <w:sz w:val="22"/>
                <w:szCs w:val="28"/>
              </w:rPr>
              <w:drawing>
                <wp:inline distT="0" distB="0" distL="0" distR="0" wp14:anchorId="2AB5DBDC" wp14:editId="1DC04125">
                  <wp:extent cx="297180" cy="297180"/>
                  <wp:effectExtent l="0" t="0" r="762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E2724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XOR (</w:t>
            </w:r>
            <w:proofErr w:type="spellStart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Exclusive</w:t>
            </w:r>
            <w:proofErr w:type="spellEnd"/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 xml:space="preserve"> OR)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056BC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187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Только один предшествующий процесс завершен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C4F27" w14:textId="77777777" w:rsidR="004047D5" w:rsidRPr="0002615C" w:rsidRDefault="004047D5" w:rsidP="004047D5">
            <w:pPr>
              <w:spacing w:before="100" w:beforeAutospacing="1" w:after="100" w:afterAutospacing="1" w:line="360" w:lineRule="auto"/>
              <w:ind w:left="210"/>
              <w:rPr>
                <w:rFonts w:eastAsia="Times New Roman" w:cs="Times New Roman"/>
                <w:color w:val="000000" w:themeColor="text1"/>
                <w:sz w:val="22"/>
                <w:szCs w:val="28"/>
              </w:rPr>
            </w:pPr>
            <w:r w:rsidRPr="0002615C">
              <w:rPr>
                <w:rFonts w:eastAsia="Times New Roman" w:cs="Times New Roman"/>
                <w:color w:val="000000" w:themeColor="text1"/>
                <w:sz w:val="22"/>
                <w:szCs w:val="28"/>
              </w:rPr>
              <w:t>Только один следующий процесс запускается</w:t>
            </w:r>
          </w:p>
        </w:tc>
      </w:tr>
    </w:tbl>
    <w:p w14:paraId="322764F7" w14:textId="35E960D9" w:rsidR="00346B98" w:rsidRPr="004047D5" w:rsidRDefault="00346B98" w:rsidP="00892EC9">
      <w:pPr>
        <w:spacing w:line="360" w:lineRule="auto"/>
        <w:jc w:val="both"/>
        <w:rPr>
          <w:rFonts w:cs="Times New Roman"/>
          <w:iCs/>
          <w:color w:val="111111"/>
          <w:shd w:val="clear" w:color="auto" w:fill="FFFFFF"/>
        </w:rPr>
      </w:pPr>
      <w:bookmarkStart w:id="0" w:name="_GoBack"/>
      <w:bookmarkEnd w:id="0"/>
    </w:p>
    <w:p w14:paraId="504C41FB" w14:textId="2BBB8FC1" w:rsidR="00082527" w:rsidRPr="00A2647D" w:rsidRDefault="00FD140D" w:rsidP="00892EC9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Выво</w:t>
      </w:r>
      <w:r w:rsidR="00B76515">
        <w:rPr>
          <w:b/>
          <w:bCs/>
          <w:color w:val="auto"/>
          <w:sz w:val="28"/>
          <w:szCs w:val="28"/>
        </w:rPr>
        <w:t>д</w:t>
      </w:r>
      <w:r w:rsidR="00C448A2">
        <w:rPr>
          <w:b/>
          <w:bCs/>
          <w:color w:val="auto"/>
          <w:sz w:val="28"/>
          <w:szCs w:val="28"/>
        </w:rPr>
        <w:t xml:space="preserve">: </w:t>
      </w:r>
      <w:r w:rsidR="00C448A2" w:rsidRPr="00C448A2">
        <w:rPr>
          <w:color w:val="auto"/>
          <w:sz w:val="28"/>
          <w:szCs w:val="28"/>
        </w:rPr>
        <w:t xml:space="preserve">в </w:t>
      </w:r>
      <w:r w:rsidR="00C448A2">
        <w:rPr>
          <w:color w:val="auto"/>
          <w:sz w:val="28"/>
          <w:szCs w:val="28"/>
        </w:rPr>
        <w:t xml:space="preserve">результате выполнения данной практической работы были получены теоретические и практические навыки по работе и </w:t>
      </w:r>
      <w:r w:rsidR="00892EC9">
        <w:rPr>
          <w:color w:val="auto"/>
          <w:sz w:val="28"/>
          <w:szCs w:val="28"/>
        </w:rPr>
        <w:t>декомпозиции</w:t>
      </w:r>
      <w:r w:rsidR="00C448A2">
        <w:rPr>
          <w:color w:val="auto"/>
          <w:sz w:val="28"/>
          <w:szCs w:val="28"/>
        </w:rPr>
        <w:t xml:space="preserve"> диаграмм по методологии </w:t>
      </w:r>
      <w:r w:rsidR="00C448A2">
        <w:rPr>
          <w:color w:val="auto"/>
          <w:sz w:val="28"/>
          <w:szCs w:val="28"/>
          <w:lang w:val="en-US"/>
        </w:rPr>
        <w:t>IDEF</w:t>
      </w:r>
      <w:r w:rsidR="00892EC9">
        <w:rPr>
          <w:color w:val="auto"/>
          <w:sz w:val="28"/>
          <w:szCs w:val="28"/>
        </w:rPr>
        <w:t>3.</w:t>
      </w:r>
    </w:p>
    <w:sectPr w:rsidR="00082527" w:rsidRPr="00A2647D" w:rsidSect="00897106">
      <w:footerReference w:type="default" r:id="rId15"/>
      <w:pgSz w:w="11900" w:h="16840"/>
      <w:pgMar w:top="1440" w:right="1440" w:bottom="1440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EAA4A" w14:textId="77777777" w:rsidR="004B30F3" w:rsidRDefault="004B30F3">
      <w:r>
        <w:separator/>
      </w:r>
    </w:p>
  </w:endnote>
  <w:endnote w:type="continuationSeparator" w:id="0">
    <w:p w14:paraId="29E9DDCE" w14:textId="77777777" w:rsidR="004B30F3" w:rsidRDefault="004B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C7E9" w14:textId="144C604B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336D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67EE9" w14:textId="77777777" w:rsidR="004B30F3" w:rsidRDefault="004B30F3">
      <w:r>
        <w:separator/>
      </w:r>
    </w:p>
  </w:footnote>
  <w:footnote w:type="continuationSeparator" w:id="0">
    <w:p w14:paraId="6C85454C" w14:textId="77777777" w:rsidR="004B30F3" w:rsidRDefault="004B3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AAC0EBA"/>
    <w:multiLevelType w:val="hybridMultilevel"/>
    <w:tmpl w:val="71D45E9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B511C9B"/>
    <w:multiLevelType w:val="hybridMultilevel"/>
    <w:tmpl w:val="393ADD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45EB4"/>
    <w:multiLevelType w:val="hybridMultilevel"/>
    <w:tmpl w:val="F1C8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34ED1"/>
    <w:multiLevelType w:val="hybridMultilevel"/>
    <w:tmpl w:val="ED90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71B0C"/>
    <w:multiLevelType w:val="hybridMultilevel"/>
    <w:tmpl w:val="9BEEA14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1F974FB"/>
    <w:multiLevelType w:val="hybridMultilevel"/>
    <w:tmpl w:val="61241AE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9543BDA"/>
    <w:multiLevelType w:val="hybridMultilevel"/>
    <w:tmpl w:val="CA28F91A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B114B0"/>
    <w:multiLevelType w:val="hybridMultilevel"/>
    <w:tmpl w:val="CBC0086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A65"/>
    <w:rsid w:val="0000714E"/>
    <w:rsid w:val="000130D2"/>
    <w:rsid w:val="0002615C"/>
    <w:rsid w:val="00046353"/>
    <w:rsid w:val="000502BD"/>
    <w:rsid w:val="00082527"/>
    <w:rsid w:val="000873B8"/>
    <w:rsid w:val="000E121A"/>
    <w:rsid w:val="001518AC"/>
    <w:rsid w:val="00170B89"/>
    <w:rsid w:val="00172A27"/>
    <w:rsid w:val="001C55E6"/>
    <w:rsid w:val="001D68A4"/>
    <w:rsid w:val="001F6223"/>
    <w:rsid w:val="002122FA"/>
    <w:rsid w:val="00232FDA"/>
    <w:rsid w:val="0023364D"/>
    <w:rsid w:val="00286A92"/>
    <w:rsid w:val="002A43EC"/>
    <w:rsid w:val="002E36FE"/>
    <w:rsid w:val="002E3E1D"/>
    <w:rsid w:val="00314F62"/>
    <w:rsid w:val="003256B2"/>
    <w:rsid w:val="00346B98"/>
    <w:rsid w:val="003939C5"/>
    <w:rsid w:val="003B1A48"/>
    <w:rsid w:val="003F202A"/>
    <w:rsid w:val="004047D5"/>
    <w:rsid w:val="004233A2"/>
    <w:rsid w:val="004336D0"/>
    <w:rsid w:val="00452050"/>
    <w:rsid w:val="00455524"/>
    <w:rsid w:val="00474168"/>
    <w:rsid w:val="00477D83"/>
    <w:rsid w:val="004B30F3"/>
    <w:rsid w:val="004C40C4"/>
    <w:rsid w:val="004D5977"/>
    <w:rsid w:val="004D6CEA"/>
    <w:rsid w:val="004E6261"/>
    <w:rsid w:val="00500682"/>
    <w:rsid w:val="00520FAA"/>
    <w:rsid w:val="005242E0"/>
    <w:rsid w:val="005242F3"/>
    <w:rsid w:val="00545BC6"/>
    <w:rsid w:val="00555494"/>
    <w:rsid w:val="00564CF4"/>
    <w:rsid w:val="00575085"/>
    <w:rsid w:val="0058335E"/>
    <w:rsid w:val="00586FF4"/>
    <w:rsid w:val="00597E74"/>
    <w:rsid w:val="005F014E"/>
    <w:rsid w:val="00694111"/>
    <w:rsid w:val="006D7FCB"/>
    <w:rsid w:val="006F30C0"/>
    <w:rsid w:val="007442A0"/>
    <w:rsid w:val="007A0708"/>
    <w:rsid w:val="007E1679"/>
    <w:rsid w:val="0082222C"/>
    <w:rsid w:val="0083219B"/>
    <w:rsid w:val="00834646"/>
    <w:rsid w:val="008474E8"/>
    <w:rsid w:val="00862638"/>
    <w:rsid w:val="00866E57"/>
    <w:rsid w:val="00892EC9"/>
    <w:rsid w:val="00897106"/>
    <w:rsid w:val="008B4713"/>
    <w:rsid w:val="008B5720"/>
    <w:rsid w:val="008C2115"/>
    <w:rsid w:val="008D3D79"/>
    <w:rsid w:val="008D4F90"/>
    <w:rsid w:val="008F17F5"/>
    <w:rsid w:val="0095220C"/>
    <w:rsid w:val="00974B39"/>
    <w:rsid w:val="00981778"/>
    <w:rsid w:val="009946F4"/>
    <w:rsid w:val="009A63A7"/>
    <w:rsid w:val="009E2552"/>
    <w:rsid w:val="009F0B8B"/>
    <w:rsid w:val="009F56DA"/>
    <w:rsid w:val="00A2647D"/>
    <w:rsid w:val="00A30DB5"/>
    <w:rsid w:val="00A54170"/>
    <w:rsid w:val="00A56014"/>
    <w:rsid w:val="00A858AE"/>
    <w:rsid w:val="00A92379"/>
    <w:rsid w:val="00B50C4F"/>
    <w:rsid w:val="00B616A9"/>
    <w:rsid w:val="00B76515"/>
    <w:rsid w:val="00BA4298"/>
    <w:rsid w:val="00BF5119"/>
    <w:rsid w:val="00C448A2"/>
    <w:rsid w:val="00C533CC"/>
    <w:rsid w:val="00C802A0"/>
    <w:rsid w:val="00CB1047"/>
    <w:rsid w:val="00CD2AC6"/>
    <w:rsid w:val="00CE7E4F"/>
    <w:rsid w:val="00D11F66"/>
    <w:rsid w:val="00D26468"/>
    <w:rsid w:val="00DA6025"/>
    <w:rsid w:val="00DB6D56"/>
    <w:rsid w:val="00DB79E3"/>
    <w:rsid w:val="00DD19A6"/>
    <w:rsid w:val="00DE186A"/>
    <w:rsid w:val="00DF6927"/>
    <w:rsid w:val="00E22759"/>
    <w:rsid w:val="00E2502A"/>
    <w:rsid w:val="00E6370E"/>
    <w:rsid w:val="00E86917"/>
    <w:rsid w:val="00E9424D"/>
    <w:rsid w:val="00E95719"/>
    <w:rsid w:val="00EC4041"/>
    <w:rsid w:val="00ED642A"/>
    <w:rsid w:val="00EF257A"/>
    <w:rsid w:val="00F156E8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  <w:style w:type="paragraph" w:styleId="a9">
    <w:name w:val="header"/>
    <w:basedOn w:val="a"/>
    <w:link w:val="aa"/>
    <w:uiPriority w:val="99"/>
    <w:unhideWhenUsed/>
    <w:rsid w:val="00897106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7106"/>
    <w:rPr>
      <w:rFonts w:cs="Arial Unicode MS"/>
      <w:color w:val="000000"/>
      <w:sz w:val="24"/>
      <w:szCs w:val="24"/>
      <w:u w:color="000000"/>
    </w:rPr>
  </w:style>
  <w:style w:type="paragraph" w:customStyle="1" w:styleId="ab">
    <w:name w:val="эщкере"/>
    <w:basedOn w:val="a"/>
    <w:link w:val="ac"/>
    <w:qFormat/>
    <w:rsid w:val="00E86917"/>
    <w:pPr>
      <w:spacing w:line="360" w:lineRule="auto"/>
      <w:ind w:firstLine="709"/>
      <w:jc w:val="both"/>
    </w:pPr>
    <w:rPr>
      <w:rFonts w:cs="Times New Roman"/>
      <w:sz w:val="28"/>
      <w:szCs w:val="28"/>
      <w:lang w:val="en-US"/>
    </w:rPr>
  </w:style>
  <w:style w:type="character" w:customStyle="1" w:styleId="ac">
    <w:name w:val="эщкере Знак"/>
    <w:basedOn w:val="a0"/>
    <w:link w:val="ab"/>
    <w:rsid w:val="00E86917"/>
    <w:rPr>
      <w:color w:val="000000"/>
      <w:sz w:val="28"/>
      <w:szCs w:val="2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7E58A-D726-49F3-94D9-B76A0473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anvar</cp:lastModifiedBy>
  <cp:revision>2</cp:revision>
  <dcterms:created xsi:type="dcterms:W3CDTF">2022-12-12T17:59:00Z</dcterms:created>
  <dcterms:modified xsi:type="dcterms:W3CDTF">2022-12-12T17:59:00Z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