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TypeScript – Conditional Statements: Coding Questions (Intermediate Level)</w:t>
      </w:r>
    </w:p>
    <w:p>
      <w:pPr/>
      <w:r>
        <w:t xml:space="preserve">Instructions: Write each solution as a </w:t>
      </w:r>
      <w:r>
        <w:rPr>
          <w:b/>
        </w:rPr>
        <w:t xml:space="preserve">function with typed parameters and a return type</w:t>
      </w:r>
      <w:r>
        <w:t xml:space="preserve">, then call it with the sample inputs. Handle invalid input where mentioned.</w:t>
      </w:r>
    </w:p>
    <w:p>
      <w:pPr/>
      <w:r>
        <w:rPr>
          <w:b/>
        </w:rPr>
        <w:t xml:space="preserve">1. Leap year.</w:t>
      </w:r>
      <w:r>
        <w:t xml:space="preserve"> </w:t>
      </w:r>
      <w:r>
        <w:rPr>
          <w:rStyle w:val="CodeChar"/>
        </w:rPr>
        <w:t xml:space="preserve">isLeapYear(year: number): boolean</w:t>
      </w:r>
      <w:r>
        <w:t xml:space="preserve"> A year is a leap year if it is divisible by 4, except century years, which must be divisible by 400.</w:t>
      </w:r>
    </w:p>
    <w:p>
      <w:pPr>
        <w:pStyle w:val="ListParagraph"/>
        <w:numPr>
          <w:ilvl w:val="0"/>
          <w:numId w:val="2"/>
        </w:numPr>
      </w:pPr>
      <w:r>
        <w:rPr>
          <w:rStyle w:val="CodeChar"/>
        </w:rPr>
        <w:t xml:space="preserve">2024</w:t>
      </w:r>
      <w:r>
        <w:t xml:space="preserve"> → </w:t>
      </w:r>
      <w:r>
        <w:rPr>
          <w:rStyle w:val="CodeChar"/>
        </w:rPr>
        <w:t xml:space="preserve">true</w:t>
      </w:r>
      <w:r>
        <w:t xml:space="preserve">, </w:t>
      </w:r>
      <w:r>
        <w:rPr>
          <w:rStyle w:val="CodeChar"/>
        </w:rPr>
        <w:t xml:space="preserve">1900</w:t>
      </w:r>
      <w:r>
        <w:t xml:space="preserve"> → </w:t>
      </w:r>
      <w:r>
        <w:rPr>
          <w:rStyle w:val="CodeChar"/>
        </w:rPr>
        <w:t xml:space="preserve">false</w:t>
      </w:r>
      <w:r>
        <w:t xml:space="preserve">, </w:t>
      </w:r>
      <w:r>
        <w:rPr>
          <w:rStyle w:val="CodeChar"/>
        </w:rPr>
        <w:t xml:space="preserve">2000</w:t>
      </w:r>
      <w:r>
        <w:t xml:space="preserve"> → </w:t>
      </w:r>
      <w:r>
        <w:rPr>
          <w:rStyle w:val="CodeChar"/>
        </w:rPr>
        <w:t xml:space="preserve">true</w:t>
      </w:r>
    </w:p>
    <w:p>
      <w:pPr/>
      <w:r>
        <w:rPr>
          <w:b/>
        </w:rPr>
        <w:t xml:space="preserve">2. Triangle type.</w:t>
      </w:r>
      <w:r>
        <w:t xml:space="preserve"> </w:t>
      </w:r>
      <w:r>
        <w:rPr>
          <w:rStyle w:val="CodeChar"/>
        </w:rPr>
        <w:t xml:space="preserve">triangleType(a: number, b: number, c: number): string</w:t>
      </w:r>
      <w:r>
        <w:t xml:space="preserve"> Return "Equilateral", "Isosceles", "Scalene" or "Not a triangle". A triangle is valid only if the sum of any two sides is greater than the third.</w:t>
      </w:r>
    </w:p>
    <w:p>
      <w:pPr>
        <w:pStyle w:val="ListParagraph"/>
        <w:numPr>
          <w:ilvl w:val="0"/>
          <w:numId w:val="3"/>
        </w:numPr>
      </w:pPr>
      <w:r>
        <w:rPr>
          <w:rStyle w:val="CodeChar"/>
        </w:rPr>
        <w:t xml:space="preserve">(3, 3, 3)</w:t>
      </w:r>
      <w:r>
        <w:t xml:space="preserve"> → </w:t>
      </w:r>
      <w:r>
        <w:rPr>
          <w:rStyle w:val="CodeChar"/>
        </w:rPr>
        <w:t xml:space="preserve">Equilateral</w:t>
      </w:r>
      <w:r>
        <w:t xml:space="preserve">, </w:t>
      </w:r>
      <w:r>
        <w:rPr>
          <w:rStyle w:val="CodeChar"/>
        </w:rPr>
        <w:t xml:space="preserve">(3, 4, 5)</w:t>
      </w:r>
      <w:r>
        <w:t xml:space="preserve"> → </w:t>
      </w:r>
      <w:r>
        <w:rPr>
          <w:rStyle w:val="CodeChar"/>
        </w:rPr>
        <w:t xml:space="preserve">Scalene</w:t>
      </w:r>
      <w:r>
        <w:t xml:space="preserve">, </w:t>
      </w:r>
      <w:r>
        <w:rPr>
          <w:rStyle w:val="CodeChar"/>
        </w:rPr>
        <w:t xml:space="preserve">(1, 2, 8)</w:t>
      </w:r>
      <w:r>
        <w:t xml:space="preserve"> → </w:t>
      </w:r>
      <w:r>
        <w:rPr>
          <w:rStyle w:val="CodeChar"/>
        </w:rPr>
        <w:t xml:space="preserve">Not a triangle</w:t>
      </w:r>
    </w:p>
    <w:p>
      <w:pPr/>
      <w:r>
        <w:rPr>
          <w:b/>
        </w:rPr>
        <w:t xml:space="preserve">3. Simple calculator.</w:t>
      </w:r>
      <w:r>
        <w:t xml:space="preserve"> </w:t>
      </w:r>
      <w:r>
        <w:rPr>
          <w:rStyle w:val="CodeChar"/>
        </w:rPr>
        <w:t xml:space="preserve">calculate(a: number, op: string, b: number): string | number</w:t>
      </w:r>
      <w:r>
        <w:t xml:space="preserve"> Support </w:t>
      </w:r>
      <w:r>
        <w:rPr>
          <w:rStyle w:val="CodeChar"/>
        </w:rPr>
        <w:t xml:space="preserve">+</w:t>
      </w:r>
      <w:r>
        <w:t xml:space="preserve">, </w:t>
      </w:r>
      <w:r>
        <w:rPr>
          <w:rStyle w:val="CodeChar"/>
        </w:rPr>
        <w:t xml:space="preserve">-</w:t>
      </w:r>
      <w:r>
        <w:t xml:space="preserve">, </w:t>
      </w:r>
      <w:r>
        <w:rPr>
          <w:rStyle w:val="CodeChar"/>
        </w:rPr>
        <w:t xml:space="preserve">*</w:t>
      </w:r>
      <w:r>
        <w:t xml:space="preserve">, </w:t>
      </w:r>
      <w:r>
        <w:rPr>
          <w:rStyle w:val="CodeChar"/>
        </w:rPr>
        <w:t xml:space="preserve">/</w:t>
      </w:r>
      <w:r>
        <w:t xml:space="preserve">, </w:t>
      </w:r>
      <w:r>
        <w:rPr>
          <w:rStyle w:val="CodeChar"/>
        </w:rPr>
        <w:t xml:space="preserve">%</w:t>
      </w:r>
      <w:r>
        <w:t xml:space="preserve"> using </w:t>
      </w:r>
      <w:r>
        <w:rPr>
          <w:rStyle w:val="CodeChar"/>
        </w:rPr>
        <w:t xml:space="preserve">switch</w:t>
      </w:r>
      <w:r>
        <w:t xml:space="preserve">. For division or modulus by zero return "Cannot divide by zero". For an unknown operator return "Invalid operator".</w:t>
      </w:r>
    </w:p>
    <w:p>
      <w:pPr/>
      <w:r>
        <w:rPr>
          <w:b/>
        </w:rPr>
        <w:t xml:space="preserve">4. Days in a month.</w:t>
      </w:r>
      <w:r>
        <w:t xml:space="preserve"> </w:t>
      </w:r>
      <w:r>
        <w:rPr>
          <w:rStyle w:val="CodeChar"/>
        </w:rPr>
        <w:t xml:space="preserve">daysInMonth(month: number, year: number): number</w:t>
      </w:r>
      <w:r>
        <w:t xml:space="preserve"> Use a </w:t>
      </w:r>
      <w:r>
        <w:rPr>
          <w:rStyle w:val="CodeChar"/>
        </w:rPr>
        <w:t xml:space="preserve">switch</w:t>
      </w:r>
      <w:r>
        <w:t xml:space="preserve"> with grouped cases. February depends on the leap year. Return </w:t>
      </w:r>
      <w:r>
        <w:rPr>
          <w:rStyle w:val="CodeChar"/>
        </w:rPr>
        <w:t xml:space="preserve">-1</w:t>
      </w:r>
      <w:r>
        <w:t xml:space="preserve"> for an invalid month.</w:t>
      </w:r>
    </w:p>
    <w:p>
      <w:pPr/>
      <w:r>
        <w:rPr>
          <w:b/>
        </w:rPr>
        <w:t xml:space="preserve">5. Electricity bill.</w:t>
      </w:r>
      <w:r>
        <w:t xml:space="preserve"> </w:t>
      </w:r>
      <w:r>
        <w:rPr>
          <w:rStyle w:val="CodeChar"/>
        </w:rPr>
        <w:t xml:space="preserve">calculateBill(units: number): number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5420"/>
        <w:gridCol w:w="3939"/>
      </w:tblGrid>
      <w:tr>
        <w:trPr>
          <w:tblHeader/>
        </w:trPr>
        <w:tc>
          <w:tcPr>
            <w:tcW w:w="5420" w:type="dxa"/>
            <w:shd w:val="clear" w:color="auto" w:fill="F2F2F2"/>
          </w:tcPr>
          <w:p>
            <w:pPr/>
            <w:r>
              <w:t xml:space="preserve">Units</w:t>
            </w:r>
          </w:p>
        </w:tc>
        <w:tc>
          <w:tcPr>
            <w:tcW w:w="3939" w:type="dxa"/>
            <w:shd w:val="clear" w:color="auto" w:fill="F2F2F2"/>
          </w:tcPr>
          <w:p>
            <w:pPr/>
            <w:r>
              <w:t xml:space="preserve">Rate per unit</w:t>
            </w:r>
          </w:p>
        </w:tc>
      </w:tr>
      <w:tr>
        <w:tc>
          <w:tcPr>
            <w:tcW w:w="5420" w:type="dxa"/>
          </w:tcPr>
          <w:p>
            <w:pPr/>
            <w:r>
              <w:t xml:space="preserve">first 100</w:t>
            </w:r>
          </w:p>
        </w:tc>
        <w:tc>
          <w:tcPr>
            <w:tcW w:w="3939" w:type="dxa"/>
          </w:tcPr>
          <w:p>
            <w:pPr/>
            <w:r>
              <w:t xml:space="preserve">2</w:t>
            </w:r>
          </w:p>
        </w:tc>
      </w:tr>
      <w:tr>
        <w:tc>
          <w:tcPr>
            <w:tcW w:w="5420" w:type="dxa"/>
          </w:tcPr>
          <w:p>
            <w:pPr/>
            <w:r>
              <w:t xml:space="preserve">next 100 (101–200)</w:t>
            </w:r>
          </w:p>
        </w:tc>
        <w:tc>
          <w:tcPr>
            <w:tcW w:w="3939" w:type="dxa"/>
          </w:tcPr>
          <w:p>
            <w:pPr/>
            <w:r>
              <w:t xml:space="preserve">3</w:t>
            </w:r>
          </w:p>
        </w:tc>
      </w:tr>
      <w:tr>
        <w:tc>
          <w:tcPr>
            <w:tcW w:w="5420" w:type="dxa"/>
          </w:tcPr>
          <w:p>
            <w:pPr/>
            <w:r>
              <w:t xml:space="preserve">above 200</w:t>
            </w:r>
          </w:p>
        </w:tc>
        <w:tc>
          <w:tcPr>
            <w:tcW w:w="3939" w:type="dxa"/>
          </w:tcPr>
          <w:p>
            <w:pPr/>
            <w:r>
              <w:t xml:space="preserve">5</w:t>
            </w:r>
          </w:p>
        </w:tc>
      </w:tr>
    </w:tbl>
    <w:p>
      <w:pPr>
        <w:pStyle w:val="ListParagraph"/>
        <w:numPr>
          <w:ilvl w:val="0"/>
          <w:numId w:val="4"/>
        </w:numPr>
      </w:pPr>
      <w:r>
        <w:rPr>
          <w:rStyle w:val="CodeChar"/>
        </w:rPr>
        <w:t xml:space="preserve">150</w:t>
      </w:r>
      <w:r>
        <w:t xml:space="preserve"> → </w:t>
      </w:r>
      <w:r>
        <w:rPr>
          <w:rStyle w:val="CodeChar"/>
        </w:rPr>
        <w:t xml:space="preserve">100×2 + 50×3 = 350</w:t>
      </w:r>
    </w:p>
    <w:p>
      <w:pPr/>
      <w:r>
        <w:rPr>
          <w:b/>
        </w:rPr>
        <w:t xml:space="preserve">6. Character classifier.</w:t>
      </w:r>
      <w:r>
        <w:t xml:space="preserve"> </w:t>
      </w:r>
      <w:r>
        <w:rPr>
          <w:rStyle w:val="CodeChar"/>
        </w:rPr>
        <w:t xml:space="preserve">classifyChar(ch: string): string</w:t>
      </w:r>
      <w:r>
        <w:t xml:space="preserve"> Return one of "Uppercase vowel", "Uppercase consonant", "Lowercase vowel", "Lowercase consonant", "Digit", "Special character". Return "Invalid input" if </w:t>
      </w:r>
      <w:r>
        <w:rPr>
          <w:rStyle w:val="CodeChar"/>
        </w:rPr>
        <w:t xml:space="preserve">ch.length !== 1</w:t>
      </w:r>
      <w:r>
        <w:t xml:space="preserve">.</w:t>
      </w:r>
    </w:p>
    <w:p>
      <w:pPr/>
      <w:r>
        <w:rPr>
          <w:b/>
        </w:rPr>
        <w:t xml:space="preserve">7. Ticket pricing.</w:t>
      </w:r>
      <w:r>
        <w:t xml:space="preserve"> </w:t>
      </w:r>
      <w:r>
        <w:rPr>
          <w:rStyle w:val="CodeChar"/>
        </w:rPr>
        <w:t xml:space="preserve">ticketPrice(age: number, isMember: boolean): number</w:t>
      </w:r>
    </w:p>
    <w:p>
      <w:pPr>
        <w:pStyle w:val="ListParagraph"/>
        <w:numPr>
          <w:ilvl w:val="0"/>
          <w:numId w:val="5"/>
        </w:numPr>
      </w:pPr>
      <w:r>
        <w:t xml:space="preserve">Age below 5 → free</w:t>
      </w:r>
    </w:p>
    <w:p>
      <w:pPr>
        <w:pStyle w:val="ListParagraph"/>
        <w:numPr>
          <w:ilvl w:val="0"/>
          <w:numId w:val="5"/>
        </w:numPr>
      </w:pPr>
      <w:r>
        <w:t xml:space="preserve">Age 5 to 17 → 100</w:t>
      </w:r>
    </w:p>
    <w:p>
      <w:pPr>
        <w:pStyle w:val="ListParagraph"/>
        <w:numPr>
          <w:ilvl w:val="0"/>
          <w:numId w:val="5"/>
        </w:numPr>
      </w:pPr>
      <w:r>
        <w:t xml:space="preserve">Age 18 to 59 → 200</w:t>
      </w:r>
    </w:p>
    <w:p>
      <w:pPr>
        <w:pStyle w:val="ListParagraph"/>
        <w:numPr>
          <w:ilvl w:val="0"/>
          <w:numId w:val="5"/>
        </w:numPr>
      </w:pPr>
      <w:r>
        <w:t xml:space="preserve">Age 60 and above → 120</w:t>
      </w:r>
    </w:p>
    <w:p>
      <w:pPr>
        <w:pStyle w:val="ListParagraph"/>
        <w:numPr>
          <w:ilvl w:val="0"/>
          <w:numId w:val="5"/>
        </w:numPr>
      </w:pPr>
      <w:r>
        <w:t xml:space="preserve">Members get an extra 10% off the final price</w:t>
      </w:r>
    </w:p>
    <w:p>
      <w:pPr/>
      <w:r>
        <w:rPr>
          <w:b/>
        </w:rPr>
        <w:t xml:space="preserve">8. Quadratic equation.</w:t>
      </w:r>
      <w:r>
        <w:t xml:space="preserve"> </w:t>
      </w:r>
      <w:r>
        <w:rPr>
          <w:rStyle w:val="CodeChar"/>
        </w:rPr>
        <w:t xml:space="preserve">solveQuadratic(a: number, b: number, c: number): string</w:t>
      </w:r>
      <w:r>
        <w:t xml:space="preserve"> Compute the discriminant and report: two real roots, one repeated root, or no real roots. If </w:t>
      </w:r>
      <w:r>
        <w:rPr>
          <w:rStyle w:val="CodeChar"/>
        </w:rPr>
        <w:t xml:space="preserve">a === 0</w:t>
      </w:r>
      <w:r>
        <w:t xml:space="preserve">, report "Not a quadratic equation".</w:t>
      </w:r>
    </w:p>
    <w:p>
      <w:pPr/>
      <w:r>
        <w:rPr>
          <w:b/>
        </w:rPr>
        <w:t xml:space="preserve">9. Rewrite using ternary.</w:t>
      </w:r>
      <w:r>
        <w:t xml:space="preserve"> Rewrite your beginner Q6 (positive / negative / zero) as a </w:t>
      </w:r>
      <w:r>
        <w:rPr>
          <w:b/>
        </w:rPr>
        <w:t xml:space="preserve">nested ternary</w:t>
      </w:r>
      <w:r>
        <w:t xml:space="preserve"> expression. Then explain in one comment why deeply nested ternaries hurt readability.</w:t>
      </w:r>
    </w:p>
    <w:p>
      <w:pPr/>
      <w:r>
        <w:rPr>
          <w:b/>
        </w:rPr>
        <w:t xml:space="preserve">10. Time of day greeting.</w:t>
      </w:r>
      <w:r>
        <w:t xml:space="preserve"> </w:t>
      </w:r>
      <w:r>
        <w:rPr>
          <w:rStyle w:val="CodeChar"/>
        </w:rPr>
        <w:t xml:space="preserve">greet(hour: number): string</w:t>
      </w:r>
      <w:r>
        <w:t xml:space="preserve"> Return "Good morning" (5–11), "Good afternoon" (12–16), "Good evening" (17–20), "Good night" (21–23 and 0–4). Return "Invalid hour" if </w:t>
      </w:r>
      <w:r>
        <w:rPr>
          <w:rStyle w:val="CodeChar"/>
        </w:rPr>
        <w:t xml:space="preserve">hour</w:t>
      </w:r>
      <w:r>
        <w:t xml:space="preserve"> is not an integer from 0 to 23.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TypeScript – Conditional Statements Coding Questions (Intermediate Level)</dc:title>
  <dc:description>Claude Docs node/3b2b7b23-52d5@1 docx-w7</dc:description>
  <cp:revision>1</cp:revision>
</cp:coreProperties>
</file>