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sz w:val="28"/>
          <w:szCs w:val="28"/>
        </w:rPr>
        <w:t xml:space="preserve">Week 08 · Monday</w:t>
      </w:r>
    </w:p>
    <w:p>
      <w:pPr>
        <w:spacing w:after="60" w:before="0"/>
        <w:jc w:val="center"/>
      </w:pPr>
      <w:r>
        <w:rPr>
          <w:sz w:val="28"/>
          <w:szCs w:val="28"/>
        </w:rPr>
        <w:t xml:space="preserve">Time Series Analysis — Daily Assignment</w:t>
      </w:r>
    </w:p>
    <w:p>
      <w:pPr>
        <w:spacing w:after="60" w:before="0"/>
        <w:jc w:val="center"/>
      </w:pPr>
      <w:r>
        <w:rPr>
          <w:i/>
          <w:iCs/>
          <w:sz w:val="22"/>
          <w:szCs w:val="22"/>
        </w:rPr>
        <w:t xml:space="preserve">PG Diploma · AI-ML &amp; Agentic AI Engineering · IIT Gandhinagar</w:t>
      </w:r>
    </w:p>
    <w:p>
      <w:pPr>
        <w:spacing w:after="60" w:before="0"/>
        <w:jc w:val="center"/>
      </w:pPr>
      <w:r>
        <w:rPr>
          <w:sz w:val="22"/>
          <w:szCs w:val="22"/>
        </w:rPr>
        <w:t xml:space="preserve">Datasets: Brazilian E-Commerce (Olist)  ·  Industrial Pump Sensor Data</w:t>
      </w:r>
    </w:p>
    <w:p>
      <w:pPr>
        <w:spacing w:after="240" w:before="0"/>
        <w:jc w:val="center"/>
      </w:pPr>
      <w:r>
        <w:rPr>
          <w:sz w:val="22"/>
          <w:szCs w:val="22"/>
        </w:rPr>
        <w:t xml:space="preserve">Deadline: Tuesday · 09:15 AM</w:t>
      </w:r>
    </w:p>
    <w:p>
      <w:pPr>
        <w:pStyle w:val="Heading1"/>
        <w:spacing w:after="120" w:before="240"/>
      </w:pPr>
      <w:r>
        <w:rPr>
          <w:b/>
          <w:bCs/>
        </w:rPr>
        <w:t xml:space="preserve">1. Introduction &amp; Problem Statement</w:t>
      </w:r>
    </w:p>
    <w:p>
      <w:pPr>
        <w:spacing w:after="80" w:before="80"/>
      </w:pPr>
      <w:r>
        <w:t xml:space="preserve">This report presents a comprehensive time series analysis conducted for the Week 08 Monday assignment. Two real-world datasets were provided: daily order data from Olist, a Brazilian e-commerce marketplace, and minute-by-minute sensor readings from industrial warehouse pump equipment. Neither dataset arrived in clean condition, and no model was pre-specified — every methodological choice in the following workflow was made deliberately and is justified below.</w:t>
      </w:r>
    </w:p>
    <w:p>
      <w:pPr>
        <w:spacing w:after="80" w:before="80"/>
      </w:pPr>
      <w:r>
        <w:t xml:space="preserve">The two analytical objectives were: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Project daily order volumes to give the inventory team a concrete buffer-stock recommendation.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Anticipate pump failure risk 24 hours ahead so the maintenance team can plan preventive inspections before an emergency arises.</w:t>
      </w:r>
    </w:p>
    <w:p>
      <w:pPr>
        <w:pStyle w:val="Heading1"/>
        <w:spacing w:after="120" w:before="240"/>
      </w:pPr>
      <w:r>
        <w:rPr>
          <w:b/>
          <w:bCs/>
        </w:rPr>
        <w:t xml:space="preserve">2. Sub-step 1 — E-Commerce EDA &amp; Stationarity</w:t>
      </w:r>
    </w:p>
    <w:p>
      <w:pPr>
        <w:pStyle w:val="Heading2"/>
        <w:spacing w:after="80" w:before="200"/>
      </w:pPr>
      <w:r>
        <w:rPr>
          <w:b/>
          <w:bCs/>
        </w:rPr>
        <w:t xml:space="preserve">2.1 Dataset Construction</w:t>
      </w:r>
    </w:p>
    <w:p>
      <w:pPr>
        <w:spacing w:after="80" w:before="80"/>
      </w:pPr>
      <w:r>
        <w:t xml:space="preserve">The Olist raw dataset is distributed across eight relational CSV files. A daily order-count time series was constructed by aggregating delivered orders by purchase date. Only orders with a "delivered" status were included; cancelled, in-process, and unavailable orders do not represent confirmed transactions and were excluded. Dates with no delivered orders were assigned a value of zero after reindexing to a complete daily calendar range.</w:t>
      </w:r>
    </w:p>
    <w:p>
      <w:pPr>
        <w:spacing w:after="80" w:before="80"/>
      </w:pPr>
      <w:r>
        <w:t xml:space="preserve">The analysis was bounded to January 2017 through August 2018. Data before 2017 consists of only a few weeks of ramp-up activity and provides insufficient seasonal information; data after August 2018 is incomplete. This yielded 602 daily observations.</w:t>
      </w:r>
    </w:p>
    <w:p>
      <w:pPr>
        <w:pStyle w:val="Heading2"/>
        <w:spacing w:after="80" w:before="200"/>
      </w:pPr>
      <w:r>
        <w:rPr>
          <w:b/>
          <w:bCs/>
        </w:rPr>
        <w:t xml:space="preserve">2.2 Stationarity</w:t>
      </w:r>
    </w:p>
    <w:p>
      <w:pPr>
        <w:spacing w:after="80" w:before="80"/>
      </w:pPr>
      <w:r>
        <w:t xml:space="preserve">A unit root test was implemented via OLS regression of the first-differenced series against its lagged level. The resulting t-statistic was −8.40 (p &lt; 10⁻¹⁵), decisively rejecting the unit root null. The series is trend-stationary: it displays a deterministic upward trajectory but no random walk behaviour. Consequently, differencing is unnecessary; a trend term must instead be incorporated into the model.</w:t>
      </w:r>
    </w:p>
    <w:p>
      <w:pPr>
        <w:pStyle w:val="Heading2"/>
        <w:spacing w:after="80" w:before="200"/>
      </w:pPr>
      <w:r>
        <w:rPr>
          <w:b/>
          <w:bCs/>
        </w:rPr>
        <w:t xml:space="preserve">2.3 Patterns Identified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Weekly seasonality: An ACF spike at lag = 7 confirms a seven-day cycle. Mondays see peak order activity; Sundays are the quietest 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Annual seasonality: November exhibits the highest order volumes (Black Friday/Cyber Monday effect), with a secondary peak in March.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Upward trend: A 30-day centred moving average reveals sustained growth throughout the 20-month observation window.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Outliers: A single-day spike to 1,147 orders in November 2017 (compared with a typical ~160) reflects a promotional event and is not a data error.</w:t>
      </w:r>
    </w:p>
    <w:p>
      <w:pPr>
        <w:spacing w:after="40" w:before="100"/>
      </w:pPr>
    </w:p>
    <w:p>
      <w:pPr>
        <w:spacing w:after="160" w:before="60"/>
      </w:pPr>
      <w:r>
        <w:rPr>
          <w:i/>
          <w:iCs/>
          <w:sz w:val="20"/>
          <w:szCs w:val="20"/>
        </w:rPr>
        <w:t xml:space="preserve">Figure 1: Daily order count overview — raw series, rolling statistics, and distribution.</w:t>
      </w:r>
    </w:p>
    <w:p>
      <w:pPr>
        <w:spacing w:after="120" w:before="120"/>
      </w:pPr>
      <w:r>
        <w:drawing>
          <wp:inline distT="0" distB="0" distL="0" distR="0">
            <wp:extent cx="53340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</w:pPr>
      <w:r>
        <w:rPr>
          <w:i/>
          <w:iCs/>
          <w:sz w:val="20"/>
          <w:szCs w:val="20"/>
        </w:rPr>
        <w:t xml:space="preserve">Figure 2: Trend (30-day rolling), day-of-week seasonality, monthly seasonality, and ACF.</w:t>
      </w:r>
    </w:p>
    <w:p>
      <w:pPr>
        <w:spacing w:after="120" w:before="120"/>
      </w:pPr>
      <w:r>
        <w:drawing>
          <wp:inline distT="0" distB="0" distL="0" distR="0">
            <wp:extent cx="5334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b/>
          <w:bCs/>
        </w:rPr>
        <w:t xml:space="preserve">3. Sub-step 2 — Sensor Data Cleaning</w:t>
      </w:r>
    </w:p>
    <w:p>
      <w:pPr>
        <w:pStyle w:val="Heading2"/>
        <w:spacing w:after="80" w:before="200"/>
      </w:pPr>
      <w:r>
        <w:rPr>
          <w:b/>
          <w:bCs/>
        </w:rPr>
        <w:t xml:space="preserve">3.1 Issues Identified</w:t>
      </w:r>
    </w:p>
    <w:p>
      <w:pPr>
        <w:spacing w:after="80" w:before="80"/>
      </w:pPr>
      <w:r>
        <w:t xml:space="preserve">The raw sensor file contains 220,320 rows and 54 columns (timestamp, 52 sensors, and machine_status). The following issues were detected and resolved: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100"/>
        <w:gridCol w:w="1100"/>
        <w:gridCol w:w="1680"/>
        <w:gridCol w:w="2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% Missing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Treatment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sensor_15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Entirely absent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Dropped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recoverable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sensor_50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Extremely high missingness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Dropped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 unreliable to impute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sensor_00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Intermittent gaps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ffill + bfill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 gaps, physically continuous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sensor_07, 08, 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Intermittent gaps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2.1–2.5%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ffill + bfill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 gaps, physically continuous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sensor_51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Intermittent gaps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ffill + bfill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 gaps, physically continuous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Others (minor)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few gaps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&lt;0.5%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ffill + bfill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Negligible impact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t xml:space="preserve">Post-treatment result: zero missing values remain. Final shape is 220,320 × 52.</w:t>
      </w:r>
    </w:p>
    <w:p>
      <w:pPr>
        <w:pStyle w:val="Heading2"/>
        <w:spacing w:after="80" w:before="200"/>
      </w:pPr>
      <w:r>
        <w:rPr>
          <w:b/>
          <w:bCs/>
        </w:rPr>
        <w:t xml:space="preserve">3.2 Cleaning Decisions</w:t>
      </w:r>
    </w:p>
    <w:p>
      <w:pPr>
        <w:spacing w:after="80" w:before="80"/>
      </w:pPr>
      <w:r>
        <w:t xml:space="preserve">Forward-fill is the appropriate strategy here because sensor measurements are physically continuous — the instantaneous value at time T can reasonably be estimated from T−1. Mean imputation would artificially compress signal variance; linear interpolation is functionally equivalent to forward-fill for short gaps (under one hour) and offers no practical advantage.</w:t>
      </w:r>
    </w:p>
    <w:p>
      <w:pPr>
        <w:spacing w:after="80" w:before="80"/>
      </w:pPr>
      <w:r>
        <w:t xml:space="preserve">The class distribution following cleaning is: NORMAL (93.4%), RECOVERING (6.6%), BROKEN (0.003%). This severe imbalance shapes the entire modelling strategy for Sub-step 5.</w:t>
      </w:r>
    </w:p>
    <w:p>
      <w:pPr>
        <w:spacing w:after="160" w:before="60"/>
      </w:pPr>
      <w:r>
        <w:rPr>
          <w:i/>
          <w:iCs/>
          <w:sz w:val="20"/>
          <w:szCs w:val="20"/>
        </w:rPr>
        <w:t xml:space="preserve">Figure 3: Status distribution, missing-value profile, sensor_04 by status, and fill comparison.</w:t>
      </w:r>
    </w:p>
    <w:p>
      <w:pPr>
        <w:spacing w:after="120" w:before="120"/>
      </w:pPr>
      <w:r>
        <w:drawing>
          <wp:inline distT="0" distB="0" distL="0" distR="0">
            <wp:extent cx="5334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b/>
          <w:bCs/>
        </w:rPr>
        <w:t xml:space="preserve">4. Sub-step 3 — Baseline E-Commerce Forecasting</w:t>
      </w:r>
    </w:p>
    <w:p>
      <w:pPr>
        <w:pStyle w:val="Heading2"/>
        <w:spacing w:after="80" w:before="200"/>
      </w:pPr>
      <w:r>
        <w:rPr>
          <w:b/>
          <w:bCs/>
        </w:rPr>
        <w:t xml:space="preserve">4.1 Model Selection</w:t>
      </w:r>
    </w:p>
    <w:p>
      <w:pPr>
        <w:spacing w:after="80" w:before="80"/>
      </w:pPr>
      <w:r>
        <w:t xml:space="preserve">Ridge Regression with engineered time series features was selected as the baseline model. This approach captures the same core information as ARIMAX — autoregressive terms (lagged values), moving-average approximations (rolling means), and seasonal components (cyclical encodings) — while Ridge regularisation guards against coefficient inflation caused by multicollinearity between correlated lag features.</w:t>
      </w:r>
    </w:p>
    <w:p>
      <w:pPr>
        <w:pStyle w:val="Heading2"/>
        <w:spacing w:after="80" w:before="200"/>
      </w:pPr>
      <w:r>
        <w:rPr>
          <w:b/>
          <w:bCs/>
        </w:rPr>
        <w:t xml:space="preserve">4.2 Feature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Lag-1: captures the prior day's order count, which carries the strongest autocorrelation signal.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Lag-7 and Lag-14: capture same-day patterns from the previous one and two weeks.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7-day and 28-day rolling means (shifted): approximate smoothed recent demand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Cyclical encodings for day-of-week, month, and day-of-year: prevent ordinal distance artefacts.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Linear trend index: accounts for long-run volume growth.</w:t>
      </w:r>
    </w:p>
    <w:p>
      <w:pPr>
        <w:pStyle w:val="Heading2"/>
        <w:spacing w:after="80" w:before="200"/>
      </w:pPr>
      <w:r>
        <w:rPr>
          <w:b/>
          <w:bCs/>
        </w:rPr>
        <w:t xml:space="preserve">4.3 Hold-out Design &amp; Metric Choice</w:t>
      </w:r>
    </w:p>
    <w:p>
      <w:pPr>
        <w:spacing w:after="80" w:before="80"/>
      </w:pPr>
      <w:r>
        <w:t xml:space="preserve">The hold-out set covers the final 60 calendar days. Strict temporal ordering is maintained — the model is trained entirely on data preceding the split date and predicts forward. A random split would leak future patterns into training and invalidate the evaluation.</w:t>
      </w:r>
    </w:p>
    <w:p>
      <w:pPr>
        <w:spacing w:after="80" w:before="80"/>
      </w:pPr>
      <w:r>
        <w:t xml:space="preserve">MAE was chosen as the primary evaluation metric. The operational message is direct: "Our forecast deviates by 41 orders per day on average — buffer at least this quantity as safety stock." MAPE performs poorly on days with low order counts, and RMSE is difficult to translate into practical guidance.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(60-day hold-out)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MAE (primary)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40.69 orders/day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RMSE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50.27 orders/day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49.3%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pStyle w:val="Heading1"/>
        <w:spacing w:after="120" w:before="240"/>
      </w:pPr>
      <w:r>
        <w:rPr>
          <w:b/>
          <w:bCs/>
        </w:rPr>
        <w:t xml:space="preserve">5. Sub-step 4 — Seasonal Model Comparison</w:t>
      </w:r>
    </w:p>
    <w:p>
      <w:pPr>
        <w:pStyle w:val="Heading2"/>
        <w:spacing w:after="80" w:before="200"/>
      </w:pPr>
      <w:r>
        <w:rPr>
          <w:b/>
          <w:bCs/>
        </w:rPr>
        <w:t xml:space="preserve">5.1 Rationale</w:t>
      </w:r>
    </w:p>
    <w:p>
      <w:pPr>
        <w:spacing w:after="80" w:before="80"/>
      </w:pPr>
      <w:r>
        <w:t xml:space="preserve">The Ridge model treats all features as purely additive. It cannot capture interactions such as "high lag-1 on a Sunday" behaving differently from "high lag-1 on a Monday." A Random Forest naturally handles such interactions through split conditions on multiple features simultaneously.</w:t>
      </w:r>
    </w:p>
    <w:p>
      <w:pPr>
        <w:spacing w:after="80" w:before="80"/>
      </w:pPr>
      <w:r>
        <w:t xml:space="preserve">To control overfitting, the forest was constrained: max_depth = 6, min_samples_leaf = 10. This ensures that every leaf node is supported by at least 10 training days, yielding stable estimates.</w:t>
      </w:r>
    </w:p>
    <w:p>
      <w:pPr>
        <w:pStyle w:val="Heading2"/>
        <w:spacing w:after="80" w:before="200"/>
      </w:pPr>
      <w:r>
        <w:rPr>
          <w:b/>
          <w:bCs/>
        </w:rPr>
        <w:t xml:space="preserve">5.2 Results &amp; Recommendation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MAE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RMSE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MAPE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Ridge Baseline (Sub-step 3)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40.69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50.27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49.3%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Forest (Sub-step 4)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38.98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49.14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43.9%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Delta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−1.71 (−4.2%)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−1.13 (−2.2%)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−5.4pp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t xml:space="preserve">The Random Forest reduces MAE by 1.71 orders per day — roughly 1% of typical daily volume. This marginal gain does not justify the added operational complexity. Ridge Regression is recommended for deployment: its coefficients are interpretable, it retrains in seconds, and it can be clearly explained to non-technical stakeholders. The Random Forest remains a viable candidate should series variance increase substantially.</w:t>
      </w:r>
    </w:p>
    <w:p>
      <w:pPr>
        <w:spacing w:after="160" w:before="60"/>
      </w:pPr>
      <w:r>
        <w:rPr>
          <w:i/>
          <w:iCs/>
          <w:sz w:val="20"/>
          <w:szCs w:val="20"/>
        </w:rPr>
        <w:t xml:space="preserve">Figure 4: Hold-out forecasts from Ridge and Random Forest, and metrics comparison.</w:t>
      </w:r>
    </w:p>
    <w:p>
      <w:pPr>
        <w:spacing w:after="120" w:before="120"/>
      </w:pPr>
      <w:r>
        <w:drawing>
          <wp:inline distT="0" distB="0" distL="0" distR="0">
            <wp:extent cx="5334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b/>
          <w:bCs/>
        </w:rPr>
        <w:t xml:space="preserve">6. Sub-step 5 — Equipment Failure Prediction</w:t>
      </w:r>
    </w:p>
    <w:p>
      <w:pPr>
        <w:pStyle w:val="Heading2"/>
        <w:spacing w:after="80" w:before="200"/>
      </w:pPr>
      <w:r>
        <w:rPr>
          <w:b/>
          <w:bCs/>
        </w:rPr>
        <w:t xml:space="preserve">6.1 Label Strategy</w:t>
      </w:r>
    </w:p>
    <w:p>
      <w:pPr>
        <w:spacing w:after="80" w:before="80"/>
      </w:pPr>
      <w:r>
        <w:t xml:space="preserve">A binary failure label was constructed by designating the 1,440 minutes (24 hours) immediately before each BROKEN event as class 1. The operational interpretation is: "A label value of 1 at time T indicates that a breakdown will occur within the following 24 hours." The maintenance team receives the alert at T and has one complete shift to arrange a preventive intervention.</w:t>
      </w:r>
    </w:p>
    <w:p>
      <w:pPr>
        <w:pStyle w:val="Heading2"/>
        <w:spacing w:after="80" w:before="200"/>
      </w:pPr>
      <w:r>
        <w:rPr>
          <w:b/>
          <w:bCs/>
        </w:rPr>
        <w:t xml:space="preserve">6.2 Feature Engineering</w:t>
      </w:r>
    </w:p>
    <w:p>
      <w:pPr>
        <w:spacing w:after="80" w:before="80"/>
      </w:pPr>
      <w:r>
        <w:t xml:space="preserve">Raw sensor values capture only instantaneous machine state. To expose the gradual degradation that typically precedes failure, 60-minute rolling means and standard deviations were computed for the 20 most informative sensors. This expanded the feature space threefold, to 60 predictors.</w:t>
      </w:r>
    </w:p>
    <w:p>
      <w:pPr>
        <w:pStyle w:val="Heading2"/>
        <w:spacing w:after="80" w:before="200"/>
      </w:pPr>
      <w:r>
        <w:rPr>
          <w:b/>
          <w:bCs/>
        </w:rPr>
        <w:t xml:space="preserve">6.3 Temporal Split</w:t>
      </w:r>
    </w:p>
    <w:p>
      <w:pPr>
        <w:spacing w:after="80" w:before="80"/>
      </w:pPr>
      <w:r>
        <w:t xml:space="preserve">All 7 BROKEN events fall before August 2018. Splitting at 65% of the dataset (July 9) ensures the test set retains failure labels from the final breakdown window (July 25). An 80% split would have confined all labelled failure periods to the training set, rendering evaluation impossible.</w:t>
      </w:r>
    </w:p>
    <w:p>
      <w:pPr>
        <w:pStyle w:val="Heading2"/>
        <w:spacing w:after="80" w:before="200"/>
      </w:pPr>
      <w:r>
        <w:rPr>
          <w:b/>
          <w:bCs/>
        </w:rPr>
        <w:t xml:space="preserve">6.4 Evaluation &amp; Threshold</w:t>
      </w:r>
    </w:p>
    <w:p>
      <w:pPr>
        <w:spacing w:after="80" w:before="80"/>
      </w:pPr>
      <w:r>
        <w:t xml:space="preserve">The decision threshold was set to 0.3, lowering it from the default 0.5 to increase sensitivity to rare failure events. At this threshold: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3960"/>
        <w:gridCol w:w="20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Operational Meaning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AUC-ROC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0.570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Better-than-random failure risk ranking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0.289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29% of failures flagged 24h before 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false-alarm rate; acceptable given cost asymmetry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 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owing to extreme class imbalance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t xml:space="preserve">The modest AUC reflects limited discriminative power — a consequence of only 7 total failure events, a short five-month observation window, and the possibility that sensor signals do not follow a uniform drift pattern across all failures. Nevertheless, a Recall of 0.29 means the maintenance team avoids nearly one in three emergency shutdowns, representing a meaningful operational benefit.</w:t>
      </w:r>
    </w:p>
    <w:p>
      <w:pPr>
        <w:spacing w:after="160" w:before="60"/>
      </w:pPr>
      <w:r>
        <w:rPr>
          <w:i/>
          <w:iCs/>
          <w:sz w:val="20"/>
          <w:szCs w:val="20"/>
        </w:rPr>
        <w:t xml:space="preserve">Figure 5: ROC curve, Precision-Recall curve, confusion matrix, and top feature importances.</w:t>
      </w:r>
    </w:p>
    <w:p>
      <w:pPr>
        <w:spacing w:after="120" w:before="120"/>
      </w:pPr>
      <w:r>
        <w:drawing>
          <wp:inline distT="0" distB="0" distL="0" distR="0">
            <wp:extent cx="5334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b/>
          <w:bCs/>
        </w:rPr>
        <w:t xml:space="preserve">7. Sub-step 6 — Rule-based vs ML (Hard)</w:t>
      </w:r>
    </w:p>
    <w:p>
      <w:pPr>
        <w:spacing w:after="80" w:before="80"/>
      </w:pPr>
      <w:r>
        <w:t xml:space="preserve">A colleague proposed replacing the ML model with a simple single-sensor threshold rule. The best candidate was sensor_04 (a high-importance feature), evaluated using a 60-minute rolling mean threshold of 637.4 — the value that maximises F1 for the rule alone.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Rule: sensor_04 rolling mean &gt; 637.4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0.013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ML: Random Forest (threshold = 0.3)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0.289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0.027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ML Improvement over 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+4×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+2×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t xml:space="preserve">The ML model delivers 4× better recall. The reason is evident from the sensor_04 distribution plot: this sensor does not cleanly separate normal from pre-failure states. The rule captures extreme momentary spikes that coincide with failure events but misses the slow, multi-sensor degradation drift that precedes them.</w:t>
      </w:r>
    </w:p>
    <w:p>
      <w:pPr>
        <w:spacing w:after="80" w:before="80"/>
      </w:pPr>
      <w:r>
        <w:t xml:space="preserve">Circumstances where the rule might be preferable: in infrastructure-constrained environments where model maintenance is impractical; as a low-overhead safety net running alongside the ML system; or when failures reliably manifest as a single sharp sensor spike rather than gradual multi-variable drift.</w:t>
      </w:r>
    </w:p>
    <w:p>
      <w:pPr>
        <w:spacing w:after="80" w:before="80"/>
      </w:pPr>
      <w:r>
        <w:t xml:space="preserve">Recommendation: Deploy the ML model as the primary alert mechanism. Retain the sensor_04 threshold rule as an independent, hard-coded safety alarm that triggers separately.</w:t>
      </w:r>
    </w:p>
    <w:p>
      <w:pPr>
        <w:spacing w:after="160" w:before="60"/>
      </w:pPr>
      <w:r>
        <w:rPr>
          <w:i/>
          <w:iCs/>
          <w:sz w:val="20"/>
          <w:szCs w:val="20"/>
        </w:rPr>
        <w:t xml:space="preserve">Figure 6: Performance comparison, sensor_04 distribution, cost vs threshold, F1 vs threshold.</w:t>
      </w:r>
    </w:p>
    <w:p>
      <w:pPr>
        <w:spacing w:after="120" w:before="120"/>
      </w:pPr>
      <w:r>
        <w:drawing>
          <wp:inline distT="0" distB="0" distL="0" distR="0">
            <wp:extent cx="5334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b/>
          <w:bCs/>
        </w:rPr>
        <w:t xml:space="preserve">8. Sub-step 7 — Fleet-Scale Cost Optimisation (Hard)</w:t>
      </w:r>
    </w:p>
    <w:p>
      <w:pPr>
        <w:pStyle w:val="Heading2"/>
        <w:spacing w:after="80" w:before="200"/>
      </w:pPr>
      <w:r>
        <w:rPr>
          <w:b/>
          <w:bCs/>
        </w:rPr>
        <w:t xml:space="preserve">8.1 Setup</w:t>
      </w:r>
    </w:p>
    <w:p>
      <w:pPr>
        <w:spacing w:after="80" w:before="80"/>
      </w:pPr>
      <w:r>
        <w:t xml:space="preserve">The model is deployed across a fleet of 100,000 sensors. At every minute, each sensor generates a failure probability score. The cost structure is as follows: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False Negative (missed failure): Rs 50,000 per event — covers emergency repair and production downtime.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False Positive (false alarm): Rs 2,000 per event — covers an unnecessary preventive inspection trip.</w:t>
      </w:r>
    </w:p>
    <w:p>
      <w:pPr>
        <w:pStyle w:val="Heading2"/>
        <w:spacing w:after="80" w:before="200"/>
      </w:pPr>
      <w:r>
        <w:rPr>
          <w:b/>
          <w:bCs/>
        </w:rPr>
        <w:t xml:space="preserve">8.2 Threshold Optimisation</w:t>
      </w:r>
    </w:p>
    <w:p>
      <w:pPr>
        <w:spacing w:after="80" w:before="80"/>
      </w:pPr>
      <w:r>
        <w:t xml:space="preserve">Daily cost was computed across 200 candidate threshold values by applying each to the test set predictions: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cost(threshold) = FN_count × 50,000 + FP_count × 2,000</w:t>
      </w:r>
    </w:p>
    <w:p>
      <w:pPr>
        <w:spacing w:after="80" w:before="80"/>
      </w:pPr>
      <w:r>
        <w:t xml:space="preserve">The minimum-cost threshold was identified at 0.517. The maximum-F1 threshold also landed at 0.517 in this experiment, indicating that F1 and business cost align well under this particular 25:1 cost ratio.</w:t>
      </w:r>
    </w:p>
    <w:p>
      <w:pPr>
        <w:pStyle w:val="Heading2"/>
        <w:spacing w:after="80" w:before="200"/>
      </w:pPr>
      <w:r>
        <w:rPr>
          <w:b/>
          <w:bCs/>
        </w:rPr>
        <w:t xml:space="preserve">8.3 Critical Insight</w:t>
      </w:r>
    </w:p>
    <w:p>
      <w:pPr>
        <w:spacing w:after="80" w:before="80"/>
      </w:pPr>
      <w:r>
        <w:t xml:space="preserve">This alignment should not be assumed to hold in general. F1 is a symmetric metric that weights precision and recall equally, whereas the cost matrix here is strongly asymmetric (a missed failure costs 25× more than a false alarm). Should the cost ratio shift — for example, if inspection costs rise or emergency repair costs fall — the minimum-cost threshold would move while the maximum-F1 threshold remains fixed. In production, the decision threshold must always be optimised against the true cost function, not F1.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Minimum-cost threshold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0.517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Maximum-F1 threshold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0.517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FN cost / FP cost ratio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25:1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 daily fleet cost (100k sensors)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 127Bn*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*The fleet-scale figure is dominated by sensors with non-zero failure probabilities. In practice, fleet costs would be considerably lower, as not all 100,000 sensors would exhibit the same failure rate observed in the test pump.</w:t>
      </w:r>
    </w:p>
    <w:p>
      <w:pPr>
        <w:pStyle w:val="Heading1"/>
        <w:spacing w:after="120" w:before="240"/>
      </w:pPr>
      <w:r>
        <w:rPr>
          <w:b/>
          <w:bCs/>
        </w:rPr>
        <w:t xml:space="preserve">9. Conclusion</w:t>
      </w:r>
    </w:p>
    <w:p>
      <w:pPr>
        <w:spacing w:after="80" w:before="80"/>
      </w:pPr>
      <w:r>
        <w:t xml:space="preserve">Both forecasting problems were addressed end-to-end: from raw data ingestion through cleaning, feature engineering, model selection, evaluation, and translation into operational guidance.</w:t>
      </w:r>
    </w:p>
    <w:p>
      <w:pPr>
        <w:spacing w:after="80" w:before="80"/>
      </w:pPr>
      <w:r>
        <w:t xml:space="preserve">For the e-commerce problem, the Ridge Regression baseline with lag and seasonal features achieves MAE = 40.7 orders/day, which translates directly into a 41-unit daily buffer recommendation for the inventory team. The Random Forest offers only a marginal 4.2% improvement and is not advised for deployment.</w:t>
      </w:r>
    </w:p>
    <w:p>
      <w:pPr>
        <w:spacing w:after="80" w:before="80"/>
      </w:pPr>
      <w:r>
        <w:t xml:space="preserve">For the sensor problem, the Random Forest classifier achieves Recall = 0.29 at a 0.3 decision threshold, successfully flagging nearly one in three failures 24 hours in advance. The single-sensor rule achieves only 0.07 recall, confirming that rolling multi-sensor drift features are essential for effective early warning. The cost-optimised threshold of 0.52 should be used in production; F1 alone must not serve as the sole optimisation target in operational settings.</w:t>
      </w:r>
    </w:p>
    <w:p>
      <w:pPr>
        <w:pStyle w:val="Heading1"/>
        <w:spacing w:after="120" w:before="240"/>
      </w:pPr>
      <w:r>
        <w:rPr>
          <w:b/>
          <w:bCs/>
        </w:rPr>
        <w:t xml:space="preserve">10. AI Usage Declaration</w:t>
      </w:r>
    </w:p>
    <w:p>
      <w:pPr>
        <w:spacing w:after="80" w:before="80"/>
      </w:pPr>
      <w:r>
        <w:t xml:space="preserve">AI tools were drawn upon for code suggestions in this assignment. All generated code was independently reviewed, modified, and annotated.</w:t>
      </w:r>
    </w:p>
    <w:p>
      <w:pPr>
        <w:spacing w:after="60" w:before="80"/>
      </w:pPr>
      <w:r>
        <w:rPr>
          <w:b/>
          <w:bCs/>
        </w:rPr>
        <w:t xml:space="preserve">Prompt used (Sub-step 5):</w:t>
      </w:r>
    </w:p>
    <w:p>
      <w:pPr>
        <w:spacing w:after="80" w:before="60"/>
        <w:ind w:left="720"/>
      </w:pPr>
      <w:r>
        <w:rPr>
          <w:i/>
          <w:iCs/>
          <w:sz w:val="22"/>
          <w:szCs w:val="22"/>
        </w:rPr>
        <w:t xml:space="preserve">"How should I create a pre-failure binary label for 24h before BROKEN events without data leakage?"</w:t>
      </w:r>
    </w:p>
    <w:p>
      <w:pPr>
        <w:spacing w:after="80" w:before="80"/>
      </w:pPr>
      <w:r>
        <w:t xml:space="preserve">Critique: The AI initially suggested forward labelling — marking the 24 hours after a sensor signal. This was corrected to backward labelling: marking the 24 hours before the BROKEN event. The corrected approach is operationally sound — because the model must predict the future from past inputs, labels must be anchored at the event timestamp and look backward in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b3fff99949bf04ee01e5fa752db9fe3e716100.png"/><Relationship Id="rId8" Type="http://schemas.openxmlformats.org/officeDocument/2006/relationships/image" Target="media/9df7ccdd0cd66fd0286d18d0fb617df33186cc3b.png"/><Relationship Id="rId9" Type="http://schemas.openxmlformats.org/officeDocument/2006/relationships/image" Target="media/c994fec170ab651f12d494e7787283078c1bcc13.png"/><Relationship Id="rId10" Type="http://schemas.openxmlformats.org/officeDocument/2006/relationships/image" Target="media/694ab37f6eb36ca4d1f37676f2ded9b62f030052.png"/><Relationship Id="rId11" Type="http://schemas.openxmlformats.org/officeDocument/2006/relationships/image" Target="media/4e71235aa6f54f6b10b28fc1144621b0d8fb61d8.png"/><Relationship Id="rId12" Type="http://schemas.openxmlformats.org/officeDocument/2006/relationships/image" Target="media/0d03b3f3264cb6380f1b3f6881cdf1a5aca2340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2026-04-15T19:20:36.476Z</dcterms:created>
  <dcterms:modified xsi:type="dcterms:W3CDTF">2026-04-15T19:20:36.477Z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