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50"/>
        <w:jc w:val="center"/>
      </w:pPr>
      <w:r>
        <w:rPr>
          <w:b/>
          <w:bCs/>
          <w:sz w:val="40"/>
          <w:szCs w:val="40"/>
        </w:rPr>
        <w:t xml:space="preserve">Multi-Agent AI Customer Support Assistant</w:t>
      </w:r>
    </w:p>
    <w:p>
      <w:pPr>
        <w:spacing w:after="600"/>
        <w:jc w:val="center"/>
      </w:pPr>
      <w:r>
        <w:rPr>
          <w:color w:val="555555"/>
          <w:sz w:val="26"/>
          <w:szCs w:val="26"/>
        </w:rPr>
        <w:t xml:space="preserve">A project report</w:t>
      </w:r>
    </w:p>
    <w:p>
      <w:pPr>
        <w:spacing w:after="100"/>
        <w:jc w:val="center"/>
      </w:pPr>
      <w:r>
        <w:rPr>
          <w:sz w:val="24"/>
          <w:szCs w:val="24"/>
        </w:rPr>
        <w:t xml:space="preserve">Submitted by: [Your Name]</w:t>
      </w:r>
    </w:p>
    <w:p>
      <w:pPr>
        <w:spacing w:after="100"/>
        <w:jc w:val="center"/>
      </w:pPr>
      <w:r>
        <w:rPr>
          <w:sz w:val="24"/>
          <w:szCs w:val="24"/>
        </w:rPr>
        <w:t xml:space="preserve">[Your College / University Name]</w:t>
      </w:r>
    </w:p>
    <w:p>
      <w:pPr>
        <w:spacing w:after="600"/>
        <w:jc w:val="center"/>
      </w:pPr>
      <w:r>
        <w:rPr>
          <w:sz w:val="24"/>
          <w:szCs w:val="24"/>
        </w:rPr>
        <w:t xml:space="preserve">Labmentix AI/ML Internship</w:t>
      </w:r>
    </w:p>
    <w:p>
      <w:r>
        <w:br w:type="page"/>
      </w:r>
    </w:p>
    <w:p>
      <w:pPr>
        <w:pStyle w:val="Heading1"/>
        <w:spacing w:after="150" w:before="300"/>
      </w:pPr>
      <w:r>
        <w:t xml:space="preserve">1. Introduction</w:t>
      </w:r>
    </w:p>
    <w:p>
      <w:pPr>
        <w:spacing w:after="200"/>
      </w:pPr>
      <w:r>
        <w:t xml:space="preserve">For this project I built a customer support chatbot that doesn't just answer everything with one generic AI model, but instead splits the work between several specialized agents — one for billing questions, one for technical issues, one for product info, one for complaints, and one for general FAQs. A router in the middle figures out which agent (or agents) should handle each message. This is closer to how real support teams are organized, and it also made the project a good way to practice a few different AI/ML engineering skills at once: intent classification, retrieval-augmented generation (RAG), prompt design, and building a full-stack app around all of it.</w:t>
      </w:r>
    </w:p>
    <w:p>
      <w:pPr>
        <w:spacing w:after="200"/>
      </w:pPr>
      <w:r>
        <w:t xml:space="preserve">I used a fictional electronics retailer, TechMart Electronics, as the basis for the knowledge base so the agents would have real company policies to pull answers from instead of just guessing.</w:t>
      </w:r>
    </w:p>
    <w:p>
      <w:pPr>
        <w:pStyle w:val="Heading1"/>
        <w:spacing w:after="150" w:before="300"/>
      </w:pPr>
      <w:r>
        <w:t xml:space="preserve">2. What the system does</w:t>
      </w:r>
    </w:p>
    <w:p>
      <w:pPr>
        <w:pStyle w:val="ListParagraph"/>
        <w:numPr>
          <w:ilvl w:val="0"/>
          <w:numId w:val="2"/>
        </w:numPr>
        <w:spacing w:after="80"/>
      </w:pPr>
      <w:r>
        <w:t xml:space="preserve">Figures out what a customer is actually asking about</w:t>
      </w:r>
    </w:p>
    <w:p>
      <w:pPr>
        <w:pStyle w:val="ListParagraph"/>
        <w:numPr>
          <w:ilvl w:val="0"/>
          <w:numId w:val="2"/>
        </w:numPr>
        <w:spacing w:after="80"/>
      </w:pPr>
      <w:r>
        <w:t xml:space="preserve">Routes the message to the right agent, or multiple agents if it spans more than one topic</w:t>
      </w:r>
    </w:p>
    <w:p>
      <w:pPr>
        <w:pStyle w:val="ListParagraph"/>
        <w:numPr>
          <w:ilvl w:val="0"/>
          <w:numId w:val="2"/>
        </w:numPr>
        <w:spacing w:after="80"/>
      </w:pPr>
      <w:r>
        <w:t xml:space="preserve">Looks up the answer in real company documents instead of relying on the model's general knowledge</w:t>
      </w:r>
    </w:p>
    <w:p>
      <w:pPr>
        <w:pStyle w:val="ListParagraph"/>
        <w:numPr>
          <w:ilvl w:val="0"/>
          <w:numId w:val="2"/>
        </w:numPr>
        <w:spacing w:after="80"/>
      </w:pPr>
      <w:r>
        <w:t xml:space="preserve">Keeps track of the conversation so context isn't lost between messages</w:t>
      </w:r>
    </w:p>
    <w:p>
      <w:pPr>
        <w:pStyle w:val="ListParagraph"/>
        <w:numPr>
          <w:ilvl w:val="0"/>
          <w:numId w:val="2"/>
        </w:numPr>
        <w:spacing w:after="80"/>
      </w:pPr>
      <w:r>
        <w:t xml:space="preserve">Flags angry or repeated complaints so they can be escalated to a human</w:t>
      </w:r>
    </w:p>
    <w:p>
      <w:pPr>
        <w:pStyle w:val="ListParagraph"/>
        <w:numPr>
          <w:ilvl w:val="0"/>
          <w:numId w:val="2"/>
        </w:numPr>
        <w:spacing w:after="80"/>
      </w:pPr>
      <w:r>
        <w:t xml:space="preserve">Requires login, so each user's conversation history is private to them</w:t>
      </w:r>
    </w:p>
    <w:p>
      <w:pPr>
        <w:pStyle w:val="Heading1"/>
        <w:spacing w:after="150" w:before="300"/>
      </w:pPr>
      <w:r>
        <w:t xml:space="preserve">3. How it's put together</w:t>
      </w:r>
    </w:p>
    <w:p>
      <w:pPr>
        <w:spacing w:after="200"/>
      </w:pPr>
      <w:r>
        <w:t xml:space="preserve">The frontend is a React app that talks to a FastAPI backend over a REST API. When a logged-in user sends a message, it first passes through an intent classifier (an LLM call that labels the message with one or more categories), then the router sends it to the matching agent(s). Each agent pulls relevant chunks from a FAISS vector index built over the company's PDF documents, and passes that context plus the conversation history to the LLM to generate a reply. Everything gets logged in MongoDB, tied to the user's session, so history persists across visits.</w:t>
      </w:r>
    </w:p>
    <w:p>
      <w:pPr>
        <w:spacing w:after="200"/>
      </w:pPr>
      <w:r>
        <w:rPr>
          <w:i/>
          <w:iCs/>
        </w:rPr>
        <w:t xml:space="preserve">Roughly:</w:t>
      </w:r>
    </w:p>
    <w:p>
      <w:pPr>
        <w:spacing w:after="200"/>
      </w:pPr>
      <w:r>
        <w:t xml:space="preserve">Customer -&gt; React frontend -&gt; FastAPI backend -&gt; login check -&gt; intent detection -&gt; agent router -&gt; (billing / technical / product / complaint / FAQ agent) -&gt; FAISS retrieval over company PDFs -&gt; LangChain + Groq (Llama 3) -&gt; response -&gt; saved to MongoDB</w:t>
      </w:r>
    </w:p>
    <w:p>
      <w:pPr>
        <w:pStyle w:val="Heading1"/>
        <w:spacing w:after="150" w:before="300"/>
      </w:pPr>
      <w:r>
        <w:t xml:space="preserve">4. Tech stack</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shd w:fill="1E3A8A" w:val="clear"/>
          </w:tcPr>
          <w:p>
            <w:r>
              <w:rPr>
                <w:b/>
                <w:bCs/>
                <w:color w:val="FFFFFF"/>
                <w:sz w:val="20"/>
                <w:szCs w:val="20"/>
              </w:rPr>
              <w:t xml:space="preserve">Layer</w:t>
            </w:r>
          </w:p>
        </w:tc>
        <w:tc>
          <w:tcPr>
            <w:tcW w:type="dxa" w:w="6100"/>
            <w:shd w:fill="1E3A8A" w:val="clear"/>
          </w:tcPr>
          <w:p>
            <w:r>
              <w:rPr>
                <w:b/>
                <w:bCs/>
                <w:color w:val="FFFFFF"/>
                <w:sz w:val="20"/>
                <w:szCs w:val="20"/>
              </w:rPr>
              <w:t xml:space="preserve">What I used</w:t>
            </w:r>
          </w:p>
        </w:tc>
      </w:tr>
      <w:tr>
        <w:tc>
          <w:tcPr>
            <w:tcW w:type="dxa" w:w="2400"/>
          </w:tcPr>
          <w:p>
            <w:r>
              <w:rPr>
                <w:b w:val="false"/>
                <w:bCs w:val="false"/>
                <w:color w:val="000000"/>
                <w:sz w:val="20"/>
                <w:szCs w:val="20"/>
              </w:rPr>
              <w:t xml:space="preserve">Frontend</w:t>
            </w:r>
          </w:p>
        </w:tc>
        <w:tc>
          <w:tcPr>
            <w:tcW w:type="dxa" w:w="6100"/>
          </w:tcPr>
          <w:p>
            <w:r>
              <w:rPr>
                <w:b w:val="false"/>
                <w:bCs w:val="false"/>
                <w:color w:val="000000"/>
                <w:sz w:val="20"/>
                <w:szCs w:val="20"/>
              </w:rPr>
              <w:t xml:space="preserve">React (Vite), Tailwind CSS, Axios</w:t>
            </w:r>
          </w:p>
        </w:tc>
      </w:tr>
      <w:tr>
        <w:tc>
          <w:tcPr>
            <w:tcW w:type="dxa" w:w="2400"/>
          </w:tcPr>
          <w:p>
            <w:r>
              <w:rPr>
                <w:b w:val="false"/>
                <w:bCs w:val="false"/>
                <w:color w:val="000000"/>
                <w:sz w:val="20"/>
                <w:szCs w:val="20"/>
              </w:rPr>
              <w:t xml:space="preserve">Backend</w:t>
            </w:r>
          </w:p>
        </w:tc>
        <w:tc>
          <w:tcPr>
            <w:tcW w:type="dxa" w:w="6100"/>
          </w:tcPr>
          <w:p>
            <w:r>
              <w:rPr>
                <w:b w:val="false"/>
                <w:bCs w:val="false"/>
                <w:color w:val="000000"/>
                <w:sz w:val="20"/>
                <w:szCs w:val="20"/>
              </w:rPr>
              <w:t xml:space="preserve">Python, FastAPI</w:t>
            </w:r>
          </w:p>
        </w:tc>
      </w:tr>
      <w:tr>
        <w:tc>
          <w:tcPr>
            <w:tcW w:type="dxa" w:w="2400"/>
          </w:tcPr>
          <w:p>
            <w:r>
              <w:rPr>
                <w:b w:val="false"/>
                <w:bCs w:val="false"/>
                <w:color w:val="000000"/>
                <w:sz w:val="20"/>
                <w:szCs w:val="20"/>
              </w:rPr>
              <w:t xml:space="preserve">Auth</w:t>
            </w:r>
          </w:p>
        </w:tc>
        <w:tc>
          <w:tcPr>
            <w:tcW w:type="dxa" w:w="6100"/>
          </w:tcPr>
          <w:p>
            <w:r>
              <w:rPr>
                <w:b w:val="false"/>
                <w:bCs w:val="false"/>
                <w:color w:val="000000"/>
                <w:sz w:val="20"/>
                <w:szCs w:val="20"/>
              </w:rPr>
              <w:t xml:space="preserve">JWT sessions + bcrypt password hashing</w:t>
            </w:r>
          </w:p>
        </w:tc>
      </w:tr>
      <w:tr>
        <w:tc>
          <w:tcPr>
            <w:tcW w:type="dxa" w:w="2400"/>
          </w:tcPr>
          <w:p>
            <w:r>
              <w:rPr>
                <w:b w:val="false"/>
                <w:bCs w:val="false"/>
                <w:color w:val="000000"/>
                <w:sz w:val="20"/>
                <w:szCs w:val="20"/>
              </w:rPr>
              <w:t xml:space="preserve">LLM</w:t>
            </w:r>
          </w:p>
        </w:tc>
        <w:tc>
          <w:tcPr>
            <w:tcW w:type="dxa" w:w="6100"/>
          </w:tcPr>
          <w:p>
            <w:r>
              <w:rPr>
                <w:b w:val="false"/>
                <w:bCs w:val="false"/>
                <w:color w:val="000000"/>
                <w:sz w:val="20"/>
                <w:szCs w:val="20"/>
              </w:rPr>
              <w:t xml:space="preserve">Llama 3 via Groq, called through LangChain</w:t>
            </w:r>
          </w:p>
        </w:tc>
      </w:tr>
      <w:tr>
        <w:tc>
          <w:tcPr>
            <w:tcW w:type="dxa" w:w="2400"/>
          </w:tcPr>
          <w:p>
            <w:r>
              <w:rPr>
                <w:b w:val="false"/>
                <w:bCs w:val="false"/>
                <w:color w:val="000000"/>
                <w:sz w:val="20"/>
                <w:szCs w:val="20"/>
              </w:rPr>
              <w:t xml:space="preserve">Embeddings</w:t>
            </w:r>
          </w:p>
        </w:tc>
        <w:tc>
          <w:tcPr>
            <w:tcW w:type="dxa" w:w="6100"/>
          </w:tcPr>
          <w:p>
            <w:r>
              <w:rPr>
                <w:b w:val="false"/>
                <w:bCs w:val="false"/>
                <w:color w:val="000000"/>
                <w:sz w:val="20"/>
                <w:szCs w:val="20"/>
              </w:rPr>
              <w:t xml:space="preserve">sentence-transformers (all-MiniLM-L6-v2)</w:t>
            </w:r>
          </w:p>
        </w:tc>
      </w:tr>
      <w:tr>
        <w:tc>
          <w:tcPr>
            <w:tcW w:type="dxa" w:w="2400"/>
          </w:tcPr>
          <w:p>
            <w:r>
              <w:rPr>
                <w:b w:val="false"/>
                <w:bCs w:val="false"/>
                <w:color w:val="000000"/>
                <w:sz w:val="20"/>
                <w:szCs w:val="20"/>
              </w:rPr>
              <w:t xml:space="preserve">Vector store</w:t>
            </w:r>
          </w:p>
        </w:tc>
        <w:tc>
          <w:tcPr>
            <w:tcW w:type="dxa" w:w="6100"/>
          </w:tcPr>
          <w:p>
            <w:r>
              <w:rPr>
                <w:b w:val="false"/>
                <w:bCs w:val="false"/>
                <w:color w:val="000000"/>
                <w:sz w:val="20"/>
                <w:szCs w:val="20"/>
              </w:rPr>
              <w:t xml:space="preserve">FAISS</w:t>
            </w:r>
          </w:p>
        </w:tc>
      </w:tr>
      <w:tr>
        <w:tc>
          <w:tcPr>
            <w:tcW w:type="dxa" w:w="2400"/>
          </w:tcPr>
          <w:p>
            <w:r>
              <w:rPr>
                <w:b w:val="false"/>
                <w:bCs w:val="false"/>
                <w:color w:val="000000"/>
                <w:sz w:val="20"/>
                <w:szCs w:val="20"/>
              </w:rPr>
              <w:t xml:space="preserve">Database</w:t>
            </w:r>
          </w:p>
        </w:tc>
        <w:tc>
          <w:tcPr>
            <w:tcW w:type="dxa" w:w="6100"/>
          </w:tcPr>
          <w:p>
            <w:r>
              <w:rPr>
                <w:b w:val="false"/>
                <w:bCs w:val="false"/>
                <w:color w:val="000000"/>
                <w:sz w:val="20"/>
                <w:szCs w:val="20"/>
              </w:rPr>
              <w:t xml:space="preserve">MongoDB</w:t>
            </w:r>
          </w:p>
        </w:tc>
      </w:tr>
    </w:tbl>
    <w:p>
      <w:pPr>
        <w:spacing w:after="200"/>
      </w:pPr>
    </w:p>
    <w:p>
      <w:pPr>
        <w:pStyle w:val="Heading1"/>
        <w:spacing w:after="150" w:before="300"/>
      </w:pPr>
      <w:r>
        <w:t xml:space="preserve">5. Modules implemented</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tblGrid>
      <w:tr>
        <w:tc>
          <w:tcPr>
            <w:tcW w:type="dxa" w:w="2600"/>
            <w:shd w:fill="1E3A8A" w:val="clear"/>
          </w:tcPr>
          <w:p>
            <w:r>
              <w:rPr>
                <w:b/>
                <w:bCs/>
                <w:color w:val="FFFFFF"/>
                <w:sz w:val="20"/>
                <w:szCs w:val="20"/>
              </w:rPr>
              <w:t xml:space="preserve">Module</w:t>
            </w:r>
          </w:p>
        </w:tc>
        <w:tc>
          <w:tcPr>
            <w:tcW w:type="dxa" w:w="5900"/>
            <w:shd w:fill="1E3A8A" w:val="clear"/>
          </w:tcPr>
          <w:p>
            <w:r>
              <w:rPr>
                <w:b/>
                <w:bCs/>
                <w:color w:val="FFFFFF"/>
                <w:sz w:val="20"/>
                <w:szCs w:val="20"/>
              </w:rPr>
              <w:t xml:space="preserve">Notes</w:t>
            </w:r>
          </w:p>
        </w:tc>
      </w:tr>
      <w:tr>
        <w:tc>
          <w:tcPr>
            <w:tcW w:type="dxa" w:w="2600"/>
          </w:tcPr>
          <w:p>
            <w:r>
              <w:rPr>
                <w:b w:val="false"/>
                <w:bCs w:val="false"/>
                <w:color w:val="000000"/>
                <w:sz w:val="20"/>
                <w:szCs w:val="20"/>
              </w:rPr>
              <w:t xml:space="preserve">Auth (login/register)</w:t>
            </w:r>
          </w:p>
        </w:tc>
        <w:tc>
          <w:tcPr>
            <w:tcW w:type="dxa" w:w="5900"/>
          </w:tcPr>
          <w:p>
            <w:r>
              <w:rPr>
                <w:b w:val="false"/>
                <w:bCs w:val="false"/>
                <w:color w:val="000000"/>
                <w:sz w:val="20"/>
                <w:szCs w:val="20"/>
              </w:rPr>
              <w:t xml:space="preserve">JWT-based, passwords hashed with bcrypt</w:t>
            </w:r>
          </w:p>
        </w:tc>
      </w:tr>
      <w:tr>
        <w:tc>
          <w:tcPr>
            <w:tcW w:type="dxa" w:w="2600"/>
          </w:tcPr>
          <w:p>
            <w:r>
              <w:rPr>
                <w:b w:val="false"/>
                <w:bCs w:val="false"/>
                <w:color w:val="000000"/>
                <w:sz w:val="20"/>
                <w:szCs w:val="20"/>
              </w:rPr>
              <w:t xml:space="preserve">Chat interface</w:t>
            </w:r>
          </w:p>
        </w:tc>
        <w:tc>
          <w:tcPr>
            <w:tcW w:type="dxa" w:w="5900"/>
          </w:tcPr>
          <w:p>
            <w:r>
              <w:rPr>
                <w:b w:val="false"/>
                <w:bCs w:val="false"/>
                <w:color w:val="000000"/>
                <w:sz w:val="20"/>
                <w:szCs w:val="20"/>
              </w:rPr>
              <w:t xml:space="preserve">Message history, typing indicator, per-user sessions</w:t>
            </w:r>
          </w:p>
        </w:tc>
      </w:tr>
      <w:tr>
        <w:tc>
          <w:tcPr>
            <w:tcW w:type="dxa" w:w="2600"/>
          </w:tcPr>
          <w:p>
            <w:r>
              <w:rPr>
                <w:b w:val="false"/>
                <w:bCs w:val="false"/>
                <w:color w:val="000000"/>
                <w:sz w:val="20"/>
                <w:szCs w:val="20"/>
              </w:rPr>
              <w:t xml:space="preserve">Intent detection</w:t>
            </w:r>
          </w:p>
        </w:tc>
        <w:tc>
          <w:tcPr>
            <w:tcW w:type="dxa" w:w="5900"/>
          </w:tcPr>
          <w:p>
            <w:r>
              <w:rPr>
                <w:b w:val="false"/>
                <w:bCs w:val="false"/>
                <w:color w:val="000000"/>
                <w:sz w:val="20"/>
                <w:szCs w:val="20"/>
              </w:rPr>
              <w:t xml:space="preserve">LLM classifies into 6 categories, keyword fallback if the LLM call fails</w:t>
            </w:r>
          </w:p>
        </w:tc>
      </w:tr>
      <w:tr>
        <w:tc>
          <w:tcPr>
            <w:tcW w:type="dxa" w:w="2600"/>
          </w:tcPr>
          <w:p>
            <w:r>
              <w:rPr>
                <w:b w:val="false"/>
                <w:bCs w:val="false"/>
                <w:color w:val="000000"/>
                <w:sz w:val="20"/>
                <w:szCs w:val="20"/>
              </w:rPr>
              <w:t xml:space="preserve">Agent router</w:t>
            </w:r>
          </w:p>
        </w:tc>
        <w:tc>
          <w:tcPr>
            <w:tcW w:type="dxa" w:w="5900"/>
          </w:tcPr>
          <w:p>
            <w:r>
              <w:rPr>
                <w:b w:val="false"/>
                <w:bCs w:val="false"/>
                <w:color w:val="000000"/>
                <w:sz w:val="20"/>
                <w:szCs w:val="20"/>
              </w:rPr>
              <w:t xml:space="preserve">Can dispatch to more than one agent per message</w:t>
            </w:r>
          </w:p>
        </w:tc>
      </w:tr>
      <w:tr>
        <w:tc>
          <w:tcPr>
            <w:tcW w:type="dxa" w:w="2600"/>
          </w:tcPr>
          <w:p>
            <w:r>
              <w:rPr>
                <w:b w:val="false"/>
                <w:bCs w:val="false"/>
                <w:color w:val="000000"/>
                <w:sz w:val="20"/>
                <w:szCs w:val="20"/>
              </w:rPr>
              <w:t xml:space="preserve">5 specialized agents</w:t>
            </w:r>
          </w:p>
        </w:tc>
        <w:tc>
          <w:tcPr>
            <w:tcW w:type="dxa" w:w="5900"/>
          </w:tcPr>
          <w:p>
            <w:r>
              <w:rPr>
                <w:b w:val="false"/>
                <w:bCs w:val="false"/>
                <w:color w:val="000000"/>
                <w:sz w:val="20"/>
                <w:szCs w:val="20"/>
              </w:rPr>
              <w:t xml:space="preserve">Billing, Technical, Product, Complaint, FAQ</w:t>
            </w:r>
          </w:p>
        </w:tc>
      </w:tr>
      <w:tr>
        <w:tc>
          <w:tcPr>
            <w:tcW w:type="dxa" w:w="2600"/>
          </w:tcPr>
          <w:p>
            <w:r>
              <w:rPr>
                <w:b w:val="false"/>
                <w:bCs w:val="false"/>
                <w:color w:val="000000"/>
                <w:sz w:val="20"/>
                <w:szCs w:val="20"/>
              </w:rPr>
              <w:t xml:space="preserve">Knowledge base</w:t>
            </w:r>
          </w:p>
        </w:tc>
        <w:tc>
          <w:tcPr>
            <w:tcW w:type="dxa" w:w="5900"/>
          </w:tcPr>
          <w:p>
            <w:r>
              <w:rPr>
                <w:b w:val="false"/>
                <w:bCs w:val="false"/>
                <w:color w:val="000000"/>
                <w:sz w:val="20"/>
                <w:szCs w:val="20"/>
              </w:rPr>
              <w:t xml:space="preserve">8 PDF documents for TechMart Electronics</w:t>
            </w:r>
          </w:p>
        </w:tc>
      </w:tr>
      <w:tr>
        <w:tc>
          <w:tcPr>
            <w:tcW w:type="dxa" w:w="2600"/>
          </w:tcPr>
          <w:p>
            <w:r>
              <w:rPr>
                <w:b w:val="false"/>
                <w:bCs w:val="false"/>
                <w:color w:val="000000"/>
                <w:sz w:val="20"/>
                <w:szCs w:val="20"/>
              </w:rPr>
              <w:t xml:space="preserve">RAG pipeline</w:t>
            </w:r>
          </w:p>
        </w:tc>
        <w:tc>
          <w:tcPr>
            <w:tcW w:type="dxa" w:w="5900"/>
          </w:tcPr>
          <w:p>
            <w:r>
              <w:rPr>
                <w:b w:val="false"/>
                <w:bCs w:val="false"/>
                <w:color w:val="000000"/>
                <w:sz w:val="20"/>
                <w:szCs w:val="20"/>
              </w:rPr>
              <w:t xml:space="preserve">Chunk -&gt; embed -&gt; FAISS -&gt; retrieve -&gt; generate</w:t>
            </w:r>
          </w:p>
        </w:tc>
      </w:tr>
      <w:tr>
        <w:tc>
          <w:tcPr>
            <w:tcW w:type="dxa" w:w="2600"/>
          </w:tcPr>
          <w:p>
            <w:r>
              <w:rPr>
                <w:b w:val="false"/>
                <w:bCs w:val="false"/>
                <w:color w:val="000000"/>
                <w:sz w:val="20"/>
                <w:szCs w:val="20"/>
              </w:rPr>
              <w:t xml:space="preserve">Conversation memory</w:t>
            </w:r>
          </w:p>
        </w:tc>
        <w:tc>
          <w:tcPr>
            <w:tcW w:type="dxa" w:w="5900"/>
          </w:tcPr>
          <w:p>
            <w:r>
              <w:rPr>
                <w:b w:val="false"/>
                <w:bCs w:val="false"/>
                <w:color w:val="000000"/>
                <w:sz w:val="20"/>
                <w:szCs w:val="20"/>
              </w:rPr>
              <w:t xml:space="preserve">MongoDB, tied to session ID and timestamp</w:t>
            </w:r>
          </w:p>
        </w:tc>
      </w:tr>
      <w:tr>
        <w:tc>
          <w:tcPr>
            <w:tcW w:type="dxa" w:w="2600"/>
          </w:tcPr>
          <w:p>
            <w:r>
              <w:rPr>
                <w:b w:val="false"/>
                <w:bCs w:val="false"/>
                <w:color w:val="000000"/>
                <w:sz w:val="20"/>
                <w:szCs w:val="20"/>
              </w:rPr>
              <w:t xml:space="preserve">Feedback &amp; analytics</w:t>
            </w:r>
          </w:p>
        </w:tc>
        <w:tc>
          <w:tcPr>
            <w:tcW w:type="dxa" w:w="5900"/>
          </w:tcPr>
          <w:p>
            <w:r>
              <w:rPr>
                <w:b w:val="false"/>
                <w:bCs w:val="false"/>
                <w:color w:val="000000"/>
                <w:sz w:val="20"/>
                <w:szCs w:val="20"/>
              </w:rPr>
              <w:t xml:space="preserve">Thumbs up/down on responses, aggregated into a simple stats view</w:t>
            </w:r>
          </w:p>
        </w:tc>
      </w:tr>
    </w:tbl>
    <w:p>
      <w:pPr>
        <w:spacing w:after="200"/>
      </w:pPr>
    </w:p>
    <w:p>
      <w:pPr>
        <w:pStyle w:val="Heading1"/>
        <w:spacing w:after="150" w:before="300"/>
      </w:pPr>
      <w:r>
        <w:t xml:space="preserve">6. Example: routing to more than one agent</w:t>
      </w:r>
    </w:p>
    <w:p>
      <w:pPr>
        <w:spacing w:after="200"/>
      </w:pPr>
      <w:r>
        <w:t xml:space="preserve">A message like "I paid yesterday but my Premium plan is still locked" gets tagged as both billing (a payment happened) and technical (a feature isn't unlocking). Both agents generate a response, and the router combines them into one reply instead of picking just one.</w:t>
      </w:r>
    </w:p>
    <w:p>
      <w:pPr>
        <w:pStyle w:val="Heading1"/>
        <w:spacing w:after="150" w:before="300"/>
      </w:pPr>
      <w:r>
        <w:t xml:space="preserve">7. RAG pipeline, step by step</w:t>
      </w:r>
    </w:p>
    <w:p>
      <w:pPr>
        <w:pStyle w:val="ListParagraph"/>
        <w:numPr>
          <w:ilvl w:val="0"/>
          <w:numId w:val="3"/>
        </w:numPr>
        <w:spacing w:after="80"/>
      </w:pPr>
      <w:r>
        <w:t xml:space="preserve">Load the PDF documents from the knowledge_base folder</w:t>
      </w:r>
    </w:p>
    <w:p>
      <w:pPr>
        <w:pStyle w:val="ListParagraph"/>
        <w:numPr>
          <w:ilvl w:val="0"/>
          <w:numId w:val="3"/>
        </w:numPr>
        <w:spacing w:after="80"/>
      </w:pPr>
      <w:r>
        <w:t xml:space="preserve">Split each document into overlapping chunks (~400 characters)</w:t>
      </w:r>
    </w:p>
    <w:p>
      <w:pPr>
        <w:pStyle w:val="ListParagraph"/>
        <w:numPr>
          <w:ilvl w:val="0"/>
          <w:numId w:val="3"/>
        </w:numPr>
        <w:spacing w:after="80"/>
      </w:pPr>
      <w:r>
        <w:t xml:space="preserve">Turn each chunk into an embedding vector (all-MiniLM-L6-v2)</w:t>
      </w:r>
    </w:p>
    <w:p>
      <w:pPr>
        <w:pStyle w:val="ListParagraph"/>
        <w:numPr>
          <w:ilvl w:val="0"/>
          <w:numId w:val="3"/>
        </w:numPr>
        <w:spacing w:after="80"/>
      </w:pPr>
      <w:r>
        <w:t xml:space="preserve">Store all the vectors in a FAISS index</w:t>
      </w:r>
    </w:p>
    <w:p>
      <w:pPr>
        <w:pStyle w:val="ListParagraph"/>
        <w:numPr>
          <w:ilvl w:val="0"/>
          <w:numId w:val="3"/>
        </w:numPr>
        <w:spacing w:after="80"/>
      </w:pPr>
      <w:r>
        <w:t xml:space="preserve">When a question comes in, embed it the same way</w:t>
      </w:r>
    </w:p>
    <w:p>
      <w:pPr>
        <w:pStyle w:val="ListParagraph"/>
        <w:numPr>
          <w:ilvl w:val="0"/>
          <w:numId w:val="3"/>
        </w:numPr>
        <w:spacing w:after="80"/>
      </w:pPr>
      <w:r>
        <w:t xml:space="preserve">Pull back the most similar chunks (cosine similarity)</w:t>
      </w:r>
    </w:p>
    <w:p>
      <w:pPr>
        <w:pStyle w:val="ListParagraph"/>
        <w:numPr>
          <w:ilvl w:val="0"/>
          <w:numId w:val="3"/>
        </w:numPr>
        <w:spacing w:after="80"/>
      </w:pPr>
      <w:r>
        <w:t xml:space="preserve">Hand those chunks to the LLM as context, along with chat history</w:t>
      </w:r>
    </w:p>
    <w:p>
      <w:pPr>
        <w:pStyle w:val="ListParagraph"/>
        <w:numPr>
          <w:ilvl w:val="0"/>
          <w:numId w:val="3"/>
        </w:numPr>
        <w:spacing w:after="80"/>
      </w:pPr>
      <w:r>
        <w:t xml:space="preserve">The LLM writes the final answer grounded in that context</w:t>
      </w:r>
    </w:p>
    <w:p>
      <w:pPr>
        <w:pStyle w:val="Heading1"/>
        <w:spacing w:after="150" w:before="300"/>
      </w:pPr>
      <w:r>
        <w:t xml:space="preserve">8. Auth and security notes</w:t>
      </w:r>
    </w:p>
    <w:p>
      <w:pPr>
        <w:spacing w:after="200"/>
      </w:pPr>
      <w:r>
        <w:t xml:space="preserve">Passwords are hashed with bcrypt before they ever touch the database — nothing is stored in plain text. Logging in or registering returns a JWT that's valid for 24 hours, which the frontend stores and attaches to every request automatically. The /chat and /history endpoints both check for a valid token before doing anything, so a request without one gets rejected.</w:t>
      </w:r>
    </w:p>
    <w:p>
      <w:pPr>
        <w:pStyle w:val="Heading1"/>
        <w:spacing w:after="150" w:before="300"/>
      </w:pPr>
      <w:r>
        <w:t xml:space="preserve">9. Feedback and analytics</w:t>
      </w:r>
    </w:p>
    <w:p>
      <w:pPr>
        <w:spacing w:after="200"/>
      </w:pPr>
      <w:r>
        <w:t xml:space="preserve">Each AI response has a thumbs up / thumbs down option. Ratings are stored in MongoDB against the message and session, and a simple analytics view aggregates them into: total conversations, messages per agent, and overall satisfaction rate (percentage of thumbs up vs thumbs down). This isn't meant to be a full BI dashboard — just enough to show which agents are getting used and whether responses are landing well.</w:t>
      </w:r>
    </w:p>
    <w:p>
      <w:pPr>
        <w:pStyle w:val="Heading1"/>
        <w:spacing w:after="150" w:before="300"/>
      </w:pPr>
      <w:r>
        <w:t xml:space="preserve">10. Testing</w:t>
      </w:r>
    </w:p>
    <w:p>
      <w:pPr>
        <w:spacing w:after="200"/>
      </w:pPr>
      <w:r>
        <w:t xml:space="preserve">I tested this manually rather than with an automated test suite, given the project timeline. I checked: single-agent queries (e.g. a plain refund question), multi-agent queries (billing + technical combined), the escalation path in the Complaint agent (using frustration-indicating phrases), and that answers were actually grounded in the PDF content rather than made up — I cross-checked specific numbers like the 10-day return window and the 15-day defect replacement window against what the agent said.</w:t>
      </w:r>
    </w:p>
    <w:p>
      <w:pPr>
        <w:pStyle w:val="Heading1"/>
        <w:spacing w:after="150" w:before="300"/>
      </w:pPr>
      <w:r>
        <w:t xml:space="preserve">11. Folder structure</w:t>
      </w:r>
    </w:p>
    <w:p>
      <w:pPr>
        <w:spacing w:after="200"/>
      </w:pPr>
      <w:r>
        <w:rPr>
          <w:rFonts w:ascii="Consolas" w:cs="Consolas" w:eastAsia="Consolas" w:hAnsi="Consolas"/>
          <w:sz w:val="18"/>
          <w:szCs w:val="18"/>
        </w:rPr>
        <w:t xml:space="preserve">customer-support-ai/  frontend/ (components, pages, hooks, services, styles)  backend/  api/ (auth routes)  agents/ (billing, technical, product, complaint, faq, router)  embeddings/ (PDF loading, chunking, embeddings)  vectorstore/ (FAISS)  rag/ (ties the above together)  database/ (MongoDB)  models/ (request/response schemas)  main.py  knowledge_base/ (8 PDFs)  README.md  requirements.txt</w:t>
      </w:r>
    </w:p>
    <w:p>
      <w:pPr>
        <w:pStyle w:val="Heading1"/>
        <w:spacing w:after="150" w:before="300"/>
      </w:pPr>
      <w:r>
        <w:t xml:space="preserve">12. Deployment</w:t>
      </w:r>
    </w:p>
    <w:p>
      <w:pPr>
        <w:spacing w:after="200"/>
      </w:pPr>
      <w:r>
        <w:t xml:space="preserve">The app is live:</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900"/>
      </w:tblGrid>
      <w:tr>
        <w:tc>
          <w:tcPr>
            <w:tcW w:type="dxa" w:w="1800"/>
            <w:shd w:fill="1E3A8A" w:val="clear"/>
          </w:tcPr>
          <w:p>
            <w:r>
              <w:rPr>
                <w:b/>
                <w:bCs/>
                <w:color w:val="FFFFFF"/>
                <w:sz w:val="20"/>
                <w:szCs w:val="20"/>
              </w:rPr>
              <w:t xml:space="preserve">Part</w:t>
            </w:r>
          </w:p>
        </w:tc>
        <w:tc>
          <w:tcPr>
            <w:tcW w:type="dxa" w:w="1800"/>
            <w:shd w:fill="1E3A8A" w:val="clear"/>
          </w:tcPr>
          <w:p>
            <w:r>
              <w:rPr>
                <w:b/>
                <w:bCs/>
                <w:color w:val="FFFFFF"/>
                <w:sz w:val="20"/>
                <w:szCs w:val="20"/>
              </w:rPr>
              <w:t xml:space="preserve">Where</w:t>
            </w:r>
          </w:p>
        </w:tc>
        <w:tc>
          <w:tcPr>
            <w:tcW w:type="dxa" w:w="4900"/>
            <w:shd w:fill="1E3A8A" w:val="clear"/>
          </w:tcPr>
          <w:p>
            <w:r>
              <w:rPr>
                <w:b/>
                <w:bCs/>
                <w:color w:val="FFFFFF"/>
                <w:sz w:val="20"/>
                <w:szCs w:val="20"/>
              </w:rPr>
              <w:t xml:space="preserve">Link</w:t>
            </w:r>
          </w:p>
        </w:tc>
      </w:tr>
      <w:tr>
        <w:tc>
          <w:tcPr>
            <w:tcW w:type="dxa" w:w="1800"/>
          </w:tcPr>
          <w:p>
            <w:r>
              <w:rPr>
                <w:b w:val="false"/>
                <w:bCs w:val="false"/>
                <w:color w:val="000000"/>
                <w:sz w:val="20"/>
                <w:szCs w:val="20"/>
              </w:rPr>
              <w:t xml:space="preserve">Frontend</w:t>
            </w:r>
          </w:p>
        </w:tc>
        <w:tc>
          <w:tcPr>
            <w:tcW w:type="dxa" w:w="1800"/>
          </w:tcPr>
          <w:p>
            <w:r>
              <w:rPr>
                <w:b w:val="false"/>
                <w:bCs w:val="false"/>
                <w:color w:val="000000"/>
                <w:sz w:val="20"/>
                <w:szCs w:val="20"/>
              </w:rPr>
              <w:t xml:space="preserve">Vercel</w:t>
            </w:r>
          </w:p>
        </w:tc>
        <w:tc>
          <w:tcPr>
            <w:tcW w:type="dxa" w:w="4900"/>
          </w:tcPr>
          <w:p>
            <w:r>
              <w:rPr>
                <w:b w:val="false"/>
                <w:bCs w:val="false"/>
                <w:color w:val="000000"/>
                <w:sz w:val="20"/>
                <w:szCs w:val="20"/>
              </w:rPr>
              <w:t xml:space="preserve">customer-support-qawhdibb8-anveiksha.vercel.app</w:t>
            </w:r>
          </w:p>
        </w:tc>
      </w:tr>
      <w:tr>
        <w:tc>
          <w:tcPr>
            <w:tcW w:type="dxa" w:w="1800"/>
          </w:tcPr>
          <w:p>
            <w:r>
              <w:rPr>
                <w:b w:val="false"/>
                <w:bCs w:val="false"/>
                <w:color w:val="000000"/>
                <w:sz w:val="20"/>
                <w:szCs w:val="20"/>
              </w:rPr>
              <w:t xml:space="preserve">Backend</w:t>
            </w:r>
          </w:p>
        </w:tc>
        <w:tc>
          <w:tcPr>
            <w:tcW w:type="dxa" w:w="1800"/>
          </w:tcPr>
          <w:p>
            <w:r>
              <w:rPr>
                <w:b w:val="false"/>
                <w:bCs w:val="false"/>
                <w:color w:val="000000"/>
                <w:sz w:val="20"/>
                <w:szCs w:val="20"/>
              </w:rPr>
              <w:t xml:space="preserve">Railway</w:t>
            </w:r>
          </w:p>
        </w:tc>
        <w:tc>
          <w:tcPr>
            <w:tcW w:type="dxa" w:w="4900"/>
          </w:tcPr>
          <w:p>
            <w:r>
              <w:rPr>
                <w:b w:val="false"/>
                <w:bCs w:val="false"/>
                <w:color w:val="000000"/>
                <w:sz w:val="20"/>
                <w:szCs w:val="20"/>
              </w:rPr>
              <w:t xml:space="preserve">customer-support-ai-production-2f5f.up.railway.app</w:t>
            </w:r>
          </w:p>
        </w:tc>
      </w:tr>
      <w:tr>
        <w:tc>
          <w:tcPr>
            <w:tcW w:type="dxa" w:w="1800"/>
          </w:tcPr>
          <w:p>
            <w:r>
              <w:rPr>
                <w:b w:val="false"/>
                <w:bCs w:val="false"/>
                <w:color w:val="000000"/>
                <w:sz w:val="20"/>
                <w:szCs w:val="20"/>
              </w:rPr>
              <w:t xml:space="preserve">Database</w:t>
            </w:r>
          </w:p>
        </w:tc>
        <w:tc>
          <w:tcPr>
            <w:tcW w:type="dxa" w:w="1800"/>
          </w:tcPr>
          <w:p>
            <w:r>
              <w:rPr>
                <w:b w:val="false"/>
                <w:bCs w:val="false"/>
                <w:color w:val="000000"/>
                <w:sz w:val="20"/>
                <w:szCs w:val="20"/>
              </w:rPr>
              <w:t xml:space="preserve">MongoDB Atlas</w:t>
            </w:r>
          </w:p>
        </w:tc>
        <w:tc>
          <w:tcPr>
            <w:tcW w:type="dxa" w:w="4900"/>
          </w:tcPr>
          <w:p>
            <w:r>
              <w:rPr>
                <w:b w:val="false"/>
                <w:bCs w:val="false"/>
                <w:color w:val="000000"/>
                <w:sz w:val="20"/>
                <w:szCs w:val="20"/>
              </w:rPr>
              <w:t xml:space="preserve">Free M0 cluster</w:t>
            </w:r>
          </w:p>
        </w:tc>
      </w:tr>
    </w:tbl>
    <w:p>
      <w:pPr>
        <w:spacing w:after="200"/>
      </w:pPr>
    </w:p>
    <w:p>
      <w:pPr>
        <w:pStyle w:val="Heading1"/>
        <w:spacing w:after="150" w:before="300"/>
      </w:pPr>
      <w:r>
        <w:t xml:space="preserve">13. Conclusion</w:t>
      </w:r>
    </w:p>
    <w:p>
      <w:pPr>
        <w:spacing w:after="200"/>
      </w:pPr>
      <w:r>
        <w:t xml:space="preserve">This project gave me a chance to work through the full pipeline of an applied AI product — not just calling an LLM API, but designing how multiple agents divide up responsibility, grounding responses in real documents with RAG instead of letting the model improvise, and wrapping all of it in a proper full-stack app with auth and a real database. The biggest thing I'd want to improve with more time is the intent classifier — right now it's a single LLM call with a keyword fallback, and a small labeled dataset plus a lighter dedicated classifier would probably be more reliable at scale.</w:t>
      </w:r>
    </w:p>
    <w:p>
      <w:pPr>
        <w:pStyle w:val="Heading1"/>
        <w:spacing w:after="150" w:before="300"/>
      </w:pPr>
      <w:r>
        <w:t xml:space="preserve">14. Screenshots</w:t>
      </w:r>
    </w:p>
    <w:p>
      <w:pPr>
        <w:spacing w:after="200"/>
      </w:pPr>
      <w:r>
        <w:rPr>
          <w:i/>
          <w:iCs/>
          <w:color w:val="555555"/>
        </w:rPr>
        <w:t xml:space="preserve">[Add screenshots here: login page, a single-agent response, a multi-agent response, and a complaint escalation.]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2026-07-19T14:53:43.349Z</dcterms:created>
  <dcterms:modified xsi:type="dcterms:W3CDTF">2026-07-19T14:53:43.368Z</dcterms:modified>
</cp:coreProperties>
</file>

<file path=docProps/custom.xml><?xml version="1.0" encoding="utf-8"?>
<Properties xmlns="http://schemas.openxmlformats.org/officeDocument/2006/custom-properties" xmlns:vt="http://schemas.openxmlformats.org/officeDocument/2006/docPropsVTypes"/>
</file>