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720" w:after="0" w:line="240" w:lineRule="auto"/>
        <w:jc w:val="center"/>
      </w:pPr>
    </w:p>
    <w:p>
      <w:pPr>
        <w:spacing w:before="0" w:after="0" w:line="240" w:lineRule="auto"/>
        <w:jc w:val="center"/>
      </w:pPr>
      <w:r>
        <w:drawing>
          <wp:inline>
            <wp:extent cx="2651760" cy="882719"/>
            <wp:docPr id="80" name="Picture 80"/>
            <wp:cNvGraphicFramePr>
              <a:graphicFrameLocks noChangeAspect="1"/>
            </wp:cNvGraphicFramePr>
            <a:graphic>
              <a:graphicData uri="http://schemas.openxmlformats.org/drawingml/2006/picture">
                <pic:pic>
                  <pic:nvPicPr>
                    <pic:cNvPr id="0" name="logo_new.png"/>
                    <pic:cNvPicPr/>
                  </pic:nvPicPr>
                  <pic:blipFill>
                    <a:blip r:embed="rId11"/>
                    <a:stretch>
                      <a:fillRect/>
                    </a:stretch>
                  </pic:blipFill>
                  <pic:spPr>
                    <a:xfrm>
                      <a:off x="0" y="0"/>
                      <a:ext cx="2651760" cy="882719"/>
                    </a:xfrm>
                    <a:prstGeom prst="rect"/>
                  </pic:spPr>
                </pic:pic>
              </a:graphicData>
            </a:graphic>
          </wp:inline>
        </w:drawing>
      </w:r>
    </w:p>
    <w:p>
      <w:pPr>
        <w:spacing w:before="600" w:after="0" w:line="240" w:lineRule="auto"/>
        <w:jc w:val="center"/>
      </w:pPr>
    </w:p>
    <w:p>
      <w:pPr>
        <w:spacing w:before="0" w:after="200" w:line="240" w:lineRule="auto"/>
        <w:jc w:val="center"/>
      </w:pPr>
      <w:r>
        <w:rPr>
          <w:rFonts w:ascii="Times New Roman" w:hAnsi="Times New Roman"/>
          <w:b/>
          <w:i w:val="0"/>
          <w:color w:val="5E8A2E"/>
          <w:spacing w:val="60"/>
          <w:sz w:val="22"/>
        </w:rPr>
        <w:t>PRODUCT REQUIREMENTS DOCUMENT</w:t>
      </w:r>
    </w:p>
    <w:p>
      <w:pPr>
        <w:spacing w:before="0" w:after="0" w:line="252" w:lineRule="auto"/>
        <w:jc w:val="center"/>
      </w:pPr>
      <w:r>
        <w:rPr>
          <w:rFonts w:ascii="Times New Roman" w:hAnsi="Times New Roman"/>
          <w:b/>
          <w:i w:val="0"/>
          <w:color w:val="3B3A73"/>
          <w:sz w:val="52"/>
        </w:rPr>
        <w:t>Benefits Intelligence Suite</w:t>
      </w:r>
    </w:p>
    <w:p>
      <w:pPr>
        <w:spacing w:before="0" w:after="200" w:line="252" w:lineRule="auto"/>
        <w:jc w:val="center"/>
      </w:pPr>
      <w:r>
        <w:rPr>
          <w:rFonts w:ascii="Times New Roman" w:hAnsi="Times New Roman"/>
          <w:b/>
          <w:i w:val="0"/>
          <w:color w:val="3B3A73"/>
          <w:sz w:val="40"/>
        </w:rPr>
        <w:t>Dashboard &amp; Prototype Specification</w:t>
      </w:r>
    </w:p>
    <w:p>
      <w:pPr>
        <w:spacing w:before="0" w:after="0" w:line="240" w:lineRule="auto"/>
        <w:jc w:val="center"/>
      </w:pPr>
      <w:r>
        <w:rPr>
          <w:rFonts w:ascii="Times New Roman" w:hAnsi="Times New Roman"/>
          <w:b w:val="0"/>
          <w:i/>
          <w:color w:val="4A4D5E"/>
          <w:sz w:val="28"/>
        </w:rPr>
        <w:t>Screens, user flows, AI/ML simulation, data model and build plan</w:t>
      </w:r>
    </w:p>
    <w:p>
      <w:pPr>
        <w:spacing w:before="0" w:after="80" w:line="240" w:lineRule="auto"/>
        <w:jc w:val="center"/>
      </w:pPr>
      <w:r>
        <w:rPr>
          <w:rFonts w:ascii="Times New Roman" w:hAnsi="Times New Roman"/>
          <w:b w:val="0"/>
          <w:i/>
          <w:color w:val="4A4D5E"/>
          <w:sz w:val="28"/>
        </w:rPr>
        <w:t>Companion to the NivoTime Live Company Project Report</w:t>
      </w:r>
    </w:p>
    <w:p>
      <w:pPr>
        <w:pBdr>
          <w:bottom w:val="single" w:sz="18" w:space="1" w:color="87B549"/>
        </w:pBdr>
        <w:spacing w:before="80" w:after="200" w:line="240" w:lineRule="auto"/>
        <w:jc w:val="center"/>
      </w:pPr>
    </w:p>
    <w:p>
      <w:pPr>
        <w:spacing w:before="0" w:after="1200" w:line="240" w:lineRule="auto"/>
        <w:jc w:val="center"/>
      </w:pPr>
      <w:r>
        <w:rPr>
          <w:rFonts w:ascii="Times New Roman" w:hAnsi="Times New Roman"/>
          <w:b w:val="0"/>
          <w:i w:val="0"/>
          <w:color w:val="3B3A73"/>
          <w:sz w:val="21"/>
        </w:rPr>
        <w:t>Broker Workspace  ·  Benchmarking Cockpit  ·  Quote Desk  ·  AI Simulation Lab  ·  GTM Command Centre</w:t>
      </w:r>
    </w:p>
    <w:p>
      <w:pPr>
        <w:spacing w:before="0" w:after="40" w:line="240" w:lineRule="auto"/>
        <w:jc w:val="center"/>
      </w:pPr>
      <w:r>
        <w:rPr>
          <w:rFonts w:ascii="Times New Roman" w:hAnsi="Times New Roman"/>
          <w:b w:val="0"/>
          <w:i w:val="0"/>
          <w:color w:val="4A4D5E"/>
          <w:sz w:val="20"/>
        </w:rPr>
        <w:t>Prepared by</w:t>
      </w:r>
    </w:p>
    <w:p>
      <w:pPr>
        <w:spacing w:before="0" w:after="40" w:line="240" w:lineRule="auto"/>
        <w:jc w:val="center"/>
      </w:pPr>
      <w:r>
        <w:rPr>
          <w:rFonts w:ascii="Times New Roman" w:hAnsi="Times New Roman"/>
          <w:b/>
          <w:i w:val="0"/>
          <w:color w:val="3B3A73"/>
          <w:sz w:val="30"/>
        </w:rPr>
        <w:t>Anvesha</w:t>
      </w:r>
    </w:p>
    <w:p>
      <w:pPr>
        <w:spacing w:before="0" w:after="40" w:line="240" w:lineRule="auto"/>
        <w:jc w:val="center"/>
      </w:pPr>
      <w:r>
        <w:rPr>
          <w:rFonts w:ascii="Times New Roman" w:hAnsi="Times New Roman"/>
          <w:b w:val="0"/>
          <w:i w:val="0"/>
          <w:sz w:val="23"/>
        </w:rPr>
        <w:t>PGDM (E-Business), Batch 2025–27</w:t>
      </w:r>
    </w:p>
    <w:p>
      <w:pPr>
        <w:spacing w:before="0" w:after="360" w:line="240" w:lineRule="auto"/>
        <w:jc w:val="center"/>
      </w:pPr>
      <w:r>
        <w:rPr>
          <w:rFonts w:ascii="Times New Roman" w:hAnsi="Times New Roman"/>
          <w:b w:val="0"/>
          <w:i w:val="0"/>
          <w:sz w:val="23"/>
        </w:rPr>
        <w:t>Prin. L.N. Welingkar Institute of Management Development &amp; Research (WeSchool), Mumbai</w:t>
      </w:r>
    </w:p>
    <w:p>
      <w:pPr>
        <w:spacing w:before="0" w:after="40" w:line="240" w:lineRule="auto"/>
        <w:jc w:val="center"/>
      </w:pPr>
      <w:r>
        <w:rPr>
          <w:rFonts w:ascii="Times New Roman" w:hAnsi="Times New Roman"/>
          <w:b w:val="0"/>
          <w:i w:val="0"/>
          <w:color w:val="4A4D5E"/>
          <w:sz w:val="20"/>
        </w:rPr>
        <w:t>Industry partner</w:t>
      </w:r>
    </w:p>
    <w:p>
      <w:pPr>
        <w:spacing w:before="0" w:after="360" w:line="240" w:lineRule="auto"/>
        <w:jc w:val="center"/>
      </w:pPr>
      <w:r>
        <w:rPr>
          <w:rFonts w:ascii="Times New Roman" w:hAnsi="Times New Roman"/>
          <w:b/>
          <w:i w:val="0"/>
          <w:sz w:val="23"/>
        </w:rPr>
        <w:t>NivoTime Private Limited, Mumbai</w:t>
      </w:r>
    </w:p>
    <w:p>
      <w:pPr>
        <w:spacing w:before="0" w:after="0" w:line="240" w:lineRule="auto"/>
        <w:jc w:val="center"/>
      </w:pPr>
      <w:r>
        <w:rPr>
          <w:rFonts w:ascii="Times New Roman" w:hAnsi="Times New Roman"/>
          <w:b w:val="0"/>
          <w:i w:val="0"/>
          <w:color w:val="4A4D5E"/>
          <w:sz w:val="23"/>
        </w:rPr>
        <w:t>Version 1.0  ·  September 2026</w:t>
      </w:r>
    </w:p>
    <w:p>
      <w:r>
        <w:br w:type="page"/>
      </w:r>
    </w:p>
    <w:p>
      <w:pPr>
        <w:spacing w:before="0" w:after="160" w:line="240" w:lineRule="auto"/>
        <w:jc w:val="left"/>
      </w:pPr>
      <w:r>
        <w:rPr>
          <w:rFonts w:ascii="Times New Roman" w:hAnsi="Times New Roman"/>
          <w:b/>
          <w:i w:val="0"/>
          <w:color w:val="3B3A73"/>
          <w:sz w:val="36"/>
        </w:rPr>
        <w:t>Table of Contents</w:t>
      </w:r>
    </w:p>
    <w:p>
      <w:pPr>
        <w:pBdr>
          <w:bottom w:val="single" w:sz="8" w:space="1" w:color="3B3A73"/>
        </w:pBdr>
        <w:spacing w:before="80" w:after="200" w:line="240" w:lineRule="auto"/>
        <w:jc w:val="center"/>
      </w:pPr>
    </w:p>
    <w:p>
      <w:pPr>
        <w:tabs>
          <w:tab w:pos="9029" w:val="right" w:leader="dot"/>
        </w:tabs>
        <w:spacing w:line="240" w:lineRule="auto" w:before="140" w:after="30"/>
        <w:ind w:left="0"/>
      </w:pPr>
      <w:hyperlink>
        <w:r>
          <w:rPr>
            <w:rFonts w:ascii="Times New Roman" w:hAnsi="Times New Roman" w:cs="Times New Roman"/>
            <w:b/>
            <w:color w:val="3B3A73"/>
            <w:sz w:val="22"/>
          </w:rPr>
          <w:t xml:space="preserve">Document Control</w:t>
        </w:r>
        <w:r>
          <w:rPr>
            <w:rFonts w:ascii="Times New Roman" w:hAnsi="Times New Roman" w:cs="Times New Roman"/>
            <w:b/>
            <w:color w:val="3B3A73"/>
            <w:sz w:val="22"/>
          </w:rPr>
          <w:t xml:space="preserve">	4</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1. Purpose, Scope and Objectives</w:t>
        </w:r>
        <w:r>
          <w:rPr>
            <w:rFonts w:ascii="Times New Roman" w:hAnsi="Times New Roman" w:cs="Times New Roman"/>
            <w:b/>
            <w:color w:val="3B3A73"/>
            <w:sz w:val="22"/>
          </w:rPr>
          <w:t xml:space="preserve">	4</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1.1 Why this document exists</w:t>
        </w:r>
        <w:r>
          <w:rPr>
            <w:rFonts w:ascii="Times New Roman" w:hAnsi="Times New Roman" w:cs="Times New Roman"/>
            <w:color w:val="000000"/>
            <w:sz w:val="21"/>
          </w:rPr>
          <w:t xml:space="preserve">	4</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1.2 Prototype objectives</w:t>
        </w:r>
        <w:r>
          <w:rPr>
            <w:rFonts w:ascii="Times New Roman" w:hAnsi="Times New Roman" w:cs="Times New Roman"/>
            <w:color w:val="000000"/>
            <w:sz w:val="21"/>
          </w:rPr>
          <w:t xml:space="preserve">	5</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1.3 Scope</w:t>
        </w:r>
        <w:r>
          <w:rPr>
            <w:rFonts w:ascii="Times New Roman" w:hAnsi="Times New Roman" w:cs="Times New Roman"/>
            <w:color w:val="000000"/>
            <w:sz w:val="21"/>
          </w:rPr>
          <w:t xml:space="preserve">	5</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1.4 Guiding principles (from the report)</w:t>
        </w:r>
        <w:r>
          <w:rPr>
            <w:rFonts w:ascii="Times New Roman" w:hAnsi="Times New Roman" w:cs="Times New Roman"/>
            <w:color w:val="000000"/>
            <w:sz w:val="21"/>
          </w:rPr>
          <w:t xml:space="preserve">	5</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2. Users and Personas</w:t>
        </w:r>
        <w:r>
          <w:rPr>
            <w:rFonts w:ascii="Times New Roman" w:hAnsi="Times New Roman" w:cs="Times New Roman"/>
            <w:b/>
            <w:color w:val="3B3A73"/>
            <w:sz w:val="22"/>
          </w:rPr>
          <w:t xml:space="preserve">	6</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3. Product Overview</w:t>
        </w:r>
        <w:r>
          <w:rPr>
            <w:rFonts w:ascii="Times New Roman" w:hAnsi="Times New Roman" w:cs="Times New Roman"/>
            <w:b/>
            <w:color w:val="3B3A73"/>
            <w:sz w:val="22"/>
          </w:rPr>
          <w:t xml:space="preserve">	7</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3.1 Architecture</w:t>
        </w:r>
        <w:r>
          <w:rPr>
            <w:rFonts w:ascii="Times New Roman" w:hAnsi="Times New Roman" w:cs="Times New Roman"/>
            <w:color w:val="000000"/>
            <w:sz w:val="21"/>
          </w:rPr>
          <w:t xml:space="preserve">	7</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3.2 Information architecture</w:t>
        </w:r>
        <w:r>
          <w:rPr>
            <w:rFonts w:ascii="Times New Roman" w:hAnsi="Times New Roman" w:cs="Times New Roman"/>
            <w:color w:val="000000"/>
            <w:sz w:val="21"/>
          </w:rPr>
          <w:t xml:space="preserve">	8</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3.3 Screen inventory</w:t>
        </w:r>
        <w:r>
          <w:rPr>
            <w:rFonts w:ascii="Times New Roman" w:hAnsi="Times New Roman" w:cs="Times New Roman"/>
            <w:color w:val="000000"/>
            <w:sz w:val="21"/>
          </w:rPr>
          <w:t xml:space="preserve">	8</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4. Key User Journeys</w:t>
        </w:r>
        <w:r>
          <w:rPr>
            <w:rFonts w:ascii="Times New Roman" w:hAnsi="Times New Roman" w:cs="Times New Roman"/>
            <w:b/>
            <w:color w:val="3B3A73"/>
            <w:sz w:val="22"/>
          </w:rPr>
          <w:t xml:space="preserve">	9</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4.1 Renewal preparation (the core journey)</w:t>
        </w:r>
        <w:r>
          <w:rPr>
            <w:rFonts w:ascii="Times New Roman" w:hAnsi="Times New Roman" w:cs="Times New Roman"/>
            <w:color w:val="000000"/>
            <w:sz w:val="21"/>
          </w:rPr>
          <w:t xml:space="preserve">	9</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4.2 Broker onboarding</w:t>
        </w:r>
        <w:r>
          <w:rPr>
            <w:rFonts w:ascii="Times New Roman" w:hAnsi="Times New Roman" w:cs="Times New Roman"/>
            <w:color w:val="000000"/>
            <w:sz w:val="21"/>
          </w:rPr>
          <w:t xml:space="preserve">	10</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4.3 Employee zero-login engagement</w:t>
        </w:r>
        <w:r>
          <w:rPr>
            <w:rFonts w:ascii="Times New Roman" w:hAnsi="Times New Roman" w:cs="Times New Roman"/>
            <w:color w:val="000000"/>
            <w:sz w:val="21"/>
          </w:rPr>
          <w:t xml:space="preserve">	10</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5. Functional Requirements by Screen</w:t>
        </w:r>
        <w:r>
          <w:rPr>
            <w:rFonts w:ascii="Times New Roman" w:hAnsi="Times New Roman" w:cs="Times New Roman"/>
            <w:b/>
            <w:color w:val="3B3A73"/>
            <w:sz w:val="22"/>
          </w:rPr>
          <w:t xml:space="preserve">	11</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5.1 S1 — Portfolio Home (Broker Workspace)</w:t>
        </w:r>
        <w:r>
          <w:rPr>
            <w:rFonts w:ascii="Times New Roman" w:hAnsi="Times New Roman" w:cs="Times New Roman"/>
            <w:color w:val="000000"/>
            <w:sz w:val="21"/>
          </w:rPr>
          <w:t xml:space="preserve">	11</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5.2 S2 — Benefits Benchmarking Cockpit (Module 1)</w:t>
        </w:r>
        <w:r>
          <w:rPr>
            <w:rFonts w:ascii="Times New Roman" w:hAnsi="Times New Roman" w:cs="Times New Roman"/>
            <w:color w:val="000000"/>
            <w:sz w:val="21"/>
          </w:rPr>
          <w:t xml:space="preserve">	12</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5.3 S3 — Quote &amp; Renewal Desk (Module 2)</w:t>
        </w:r>
        <w:r>
          <w:rPr>
            <w:rFonts w:ascii="Times New Roman" w:hAnsi="Times New Roman" w:cs="Times New Roman"/>
            <w:color w:val="000000"/>
            <w:sz w:val="21"/>
          </w:rPr>
          <w:t xml:space="preserve">	13</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5.4 S4 — AI Simulation Lab</w:t>
        </w:r>
        <w:r>
          <w:rPr>
            <w:rFonts w:ascii="Times New Roman" w:hAnsi="Times New Roman" w:cs="Times New Roman"/>
            <w:color w:val="000000"/>
            <w:sz w:val="21"/>
          </w:rPr>
          <w:t xml:space="preserve">	15</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5.5 S5 — Vendor &amp; TPA Management (Module 3)</w:t>
        </w:r>
        <w:r>
          <w:rPr>
            <w:rFonts w:ascii="Times New Roman" w:hAnsi="Times New Roman" w:cs="Times New Roman"/>
            <w:color w:val="000000"/>
            <w:sz w:val="21"/>
          </w:rPr>
          <w:t xml:space="preserve">	16</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5.6 S6 — Employee zero-login engagement (Module 4)</w:t>
        </w:r>
        <w:r>
          <w:rPr>
            <w:rFonts w:ascii="Times New Roman" w:hAnsi="Times New Roman" w:cs="Times New Roman"/>
            <w:color w:val="000000"/>
            <w:sz w:val="21"/>
          </w:rPr>
          <w:t xml:space="preserve">	17</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5.7 S7 — Advisory Pack Builder (Module 5)</w:t>
        </w:r>
        <w:r>
          <w:rPr>
            <w:rFonts w:ascii="Times New Roman" w:hAnsi="Times New Roman" w:cs="Times New Roman"/>
            <w:color w:val="000000"/>
            <w:sz w:val="21"/>
          </w:rPr>
          <w:t xml:space="preserve">	17</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5.8 S8 — GTM Command Centre (internal NivoTime dashboard)</w:t>
        </w:r>
        <w:r>
          <w:rPr>
            <w:rFonts w:ascii="Times New Roman" w:hAnsi="Times New Roman" w:cs="Times New Roman"/>
            <w:color w:val="000000"/>
            <w:sz w:val="21"/>
          </w:rPr>
          <w:t xml:space="preserve">	18</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5.9 S9 — Business Case Simulator (internal)</w:t>
        </w:r>
        <w:r>
          <w:rPr>
            <w:rFonts w:ascii="Times New Roman" w:hAnsi="Times New Roman" w:cs="Times New Roman"/>
            <w:color w:val="000000"/>
            <w:sz w:val="21"/>
          </w:rPr>
          <w:t xml:space="preserve">	20</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5.10 ICP scoring logic (used in S8)</w:t>
        </w:r>
        <w:r>
          <w:rPr>
            <w:rFonts w:ascii="Times New Roman" w:hAnsi="Times New Roman" w:cs="Times New Roman"/>
            <w:color w:val="000000"/>
            <w:sz w:val="21"/>
          </w:rPr>
          <w:t xml:space="preserve">	21</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5.11 S10 — Admin: data ingestion and model monitoring</w:t>
        </w:r>
        <w:r>
          <w:rPr>
            <w:rFonts w:ascii="Times New Roman" w:hAnsi="Times New Roman" w:cs="Times New Roman"/>
            <w:color w:val="000000"/>
            <w:sz w:val="21"/>
          </w:rPr>
          <w:t xml:space="preserve">	22</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6. AI / ML Requirements</w:t>
        </w:r>
        <w:r>
          <w:rPr>
            <w:rFonts w:ascii="Times New Roman" w:hAnsi="Times New Roman" w:cs="Times New Roman"/>
            <w:b/>
            <w:color w:val="3B3A73"/>
            <w:sz w:val="22"/>
          </w:rPr>
          <w:t xml:space="preserve">	23</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7. Prototype Simulation of the AI/ML Layer</w:t>
        </w:r>
        <w:r>
          <w:rPr>
            <w:rFonts w:ascii="Times New Roman" w:hAnsi="Times New Roman" w:cs="Times New Roman"/>
            <w:b/>
            <w:color w:val="3B3A73"/>
            <w:sz w:val="22"/>
          </w:rPr>
          <w:t xml:space="preserve">	24</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7.1 Synthetic dataset</w:t>
        </w:r>
        <w:r>
          <w:rPr>
            <w:rFonts w:ascii="Times New Roman" w:hAnsi="Times New Roman" w:cs="Times New Roman"/>
            <w:color w:val="000000"/>
            <w:sz w:val="21"/>
          </w:rPr>
          <w:t xml:space="preserve">	24</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7.2 Results</w:t>
        </w:r>
        <w:r>
          <w:rPr>
            <w:rFonts w:ascii="Times New Roman" w:hAnsi="Times New Roman" w:cs="Times New Roman"/>
            <w:color w:val="000000"/>
            <w:sz w:val="21"/>
          </w:rPr>
          <w:t xml:space="preserve">	24</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7.3 Synthetic data and model pipeline</w:t>
        </w:r>
        <w:r>
          <w:rPr>
            <w:rFonts w:ascii="Times New Roman" w:hAnsi="Times New Roman" w:cs="Times New Roman"/>
            <w:color w:val="000000"/>
            <w:sz w:val="21"/>
          </w:rPr>
          <w:t xml:space="preserve">	25</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8. Data Requirements</w:t>
        </w:r>
        <w:r>
          <w:rPr>
            <w:rFonts w:ascii="Times New Roman" w:hAnsi="Times New Roman" w:cs="Times New Roman"/>
            <w:b/>
            <w:color w:val="3B3A73"/>
            <w:sz w:val="22"/>
          </w:rPr>
          <w:t xml:space="preserve">	26</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8.1 Data model</w:t>
        </w:r>
        <w:r>
          <w:rPr>
            <w:rFonts w:ascii="Times New Roman" w:hAnsi="Times New Roman" w:cs="Times New Roman"/>
            <w:color w:val="000000"/>
            <w:sz w:val="21"/>
          </w:rPr>
          <w:t xml:space="preserve">	26</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8.2 Key data fields</w:t>
        </w:r>
        <w:r>
          <w:rPr>
            <w:rFonts w:ascii="Times New Roman" w:hAnsi="Times New Roman" w:cs="Times New Roman"/>
            <w:color w:val="000000"/>
            <w:sz w:val="21"/>
          </w:rPr>
          <w:t xml:space="preserve">	26</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8.3 Data sourcing plan (solving the “cold start”, report Section 7.5)</w:t>
        </w:r>
        <w:r>
          <w:rPr>
            <w:rFonts w:ascii="Times New Roman" w:hAnsi="Times New Roman" w:cs="Times New Roman"/>
            <w:color w:val="000000"/>
            <w:sz w:val="21"/>
          </w:rPr>
          <w:t xml:space="preserve">	27</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9. Non-Functional Requirements</w:t>
        </w:r>
        <w:r>
          <w:rPr>
            <w:rFonts w:ascii="Times New Roman" w:hAnsi="Times New Roman" w:cs="Times New Roman"/>
            <w:b/>
            <w:color w:val="3B3A73"/>
            <w:sz w:val="22"/>
          </w:rPr>
          <w:t xml:space="preserve">	27</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10. Technology Recommendations for the Prototype</w:t>
        </w:r>
        <w:r>
          <w:rPr>
            <w:rFonts w:ascii="Times New Roman" w:hAnsi="Times New Roman" w:cs="Times New Roman"/>
            <w:b/>
            <w:color w:val="3B3A73"/>
            <w:sz w:val="22"/>
          </w:rPr>
          <w:t xml:space="preserve">	28</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11. Dashboard and Chart Catalogue</w:t>
        </w:r>
        <w:r>
          <w:rPr>
            <w:rFonts w:ascii="Times New Roman" w:hAnsi="Times New Roman" w:cs="Times New Roman"/>
            <w:b/>
            <w:color w:val="3B3A73"/>
            <w:sz w:val="22"/>
          </w:rPr>
          <w:t xml:space="preserve">	28</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12. Build Plan, Testing and Demo</w:t>
        </w:r>
        <w:r>
          <w:rPr>
            <w:rFonts w:ascii="Times New Roman" w:hAnsi="Times New Roman" w:cs="Times New Roman"/>
            <w:b/>
            <w:color w:val="3B3A73"/>
            <w:sz w:val="22"/>
          </w:rPr>
          <w:t xml:space="preserve">	30</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12.1 Sprint plan</w:t>
        </w:r>
        <w:r>
          <w:rPr>
            <w:rFonts w:ascii="Times New Roman" w:hAnsi="Times New Roman" w:cs="Times New Roman"/>
            <w:color w:val="000000"/>
            <w:sz w:val="21"/>
          </w:rPr>
          <w:t xml:space="preserve">	30</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12.2 Acceptance tests</w:t>
        </w:r>
        <w:r>
          <w:rPr>
            <w:rFonts w:ascii="Times New Roman" w:hAnsi="Times New Roman" w:cs="Times New Roman"/>
            <w:color w:val="000000"/>
            <w:sz w:val="21"/>
          </w:rPr>
          <w:t xml:space="preserve">	30</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12.3 Broker demo script (15 minutes)</w:t>
        </w:r>
        <w:r>
          <w:rPr>
            <w:rFonts w:ascii="Times New Roman" w:hAnsi="Times New Roman" w:cs="Times New Roman"/>
            <w:color w:val="000000"/>
            <w:sz w:val="21"/>
          </w:rPr>
          <w:t xml:space="preserve">	31</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13. Success Metrics</w:t>
        </w:r>
        <w:r>
          <w:rPr>
            <w:rFonts w:ascii="Times New Roman" w:hAnsi="Times New Roman" w:cs="Times New Roman"/>
            <w:b/>
            <w:color w:val="3B3A73"/>
            <w:sz w:val="22"/>
          </w:rPr>
          <w:t xml:space="preserve">	31</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14. Risks, Assumptions and Open Questions</w:t>
        </w:r>
        <w:r>
          <w:rPr>
            <w:rFonts w:ascii="Times New Roman" w:hAnsi="Times New Roman" w:cs="Times New Roman"/>
            <w:b/>
            <w:color w:val="3B3A73"/>
            <w:sz w:val="22"/>
          </w:rPr>
          <w:t xml:space="preserve">	31</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14.1 Prototype risks</w:t>
        </w:r>
        <w:r>
          <w:rPr>
            <w:rFonts w:ascii="Times New Roman" w:hAnsi="Times New Roman" w:cs="Times New Roman"/>
            <w:color w:val="000000"/>
            <w:sz w:val="21"/>
          </w:rPr>
          <w:t xml:space="preserve">	31</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14.2 Assumptions</w:t>
        </w:r>
        <w:r>
          <w:rPr>
            <w:rFonts w:ascii="Times New Roman" w:hAnsi="Times New Roman" w:cs="Times New Roman"/>
            <w:color w:val="000000"/>
            <w:sz w:val="21"/>
          </w:rPr>
          <w:t xml:space="preserve">	32</w:t>
        </w:r>
      </w:hyperlink>
    </w:p>
    <w:p>
      <w:pPr>
        <w:tabs>
          <w:tab w:pos="9029" w:val="right" w:leader="dot"/>
        </w:tabs>
        <w:spacing w:line="240" w:lineRule="auto" w:before="0" w:after="30"/>
        <w:ind w:left="432"/>
      </w:pPr>
      <w:hyperlink>
        <w:r>
          <w:rPr>
            <w:rFonts w:ascii="Times New Roman" w:hAnsi="Times New Roman" w:cs="Times New Roman"/>
            <w:color w:val="000000"/>
            <w:sz w:val="21"/>
          </w:rPr>
          <w:t xml:space="preserve">14.3 Open questions for NivoTime</w:t>
        </w:r>
        <w:r>
          <w:rPr>
            <w:rFonts w:ascii="Times New Roman" w:hAnsi="Times New Roman" w:cs="Times New Roman"/>
            <w:color w:val="000000"/>
            <w:sz w:val="21"/>
          </w:rPr>
          <w:t xml:space="preserve">	32</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15. Traceability Matrix</w:t>
        </w:r>
        <w:r>
          <w:rPr>
            <w:rFonts w:ascii="Times New Roman" w:hAnsi="Times New Roman" w:cs="Times New Roman"/>
            <w:b/>
            <w:color w:val="3B3A73"/>
            <w:sz w:val="22"/>
          </w:rPr>
          <w:t xml:space="preserve">	32</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Appendix A: Synthetic Data Specification</w:t>
        </w:r>
        <w:r>
          <w:rPr>
            <w:rFonts w:ascii="Times New Roman" w:hAnsi="Times New Roman" w:cs="Times New Roman"/>
            <w:b/>
            <w:color w:val="3B3A73"/>
            <w:sz w:val="22"/>
          </w:rPr>
          <w:t xml:space="preserve">	34</w:t>
        </w:r>
      </w:hyperlink>
    </w:p>
    <w:p>
      <w:pPr>
        <w:tabs>
          <w:tab w:pos="9029" w:val="right" w:leader="dot"/>
        </w:tabs>
        <w:spacing w:line="240" w:lineRule="auto" w:before="140" w:after="30"/>
        <w:ind w:left="0"/>
      </w:pPr>
      <w:hyperlink>
        <w:r>
          <w:rPr>
            <w:rFonts w:ascii="Times New Roman" w:hAnsi="Times New Roman" w:cs="Times New Roman"/>
            <w:b/>
            <w:color w:val="3B3A73"/>
            <w:sz w:val="22"/>
          </w:rPr>
          <w:t xml:space="preserve">Appendix B: Glossary</w:t>
        </w:r>
        <w:r>
          <w:rPr>
            <w:rFonts w:ascii="Times New Roman" w:hAnsi="Times New Roman" w:cs="Times New Roman"/>
            <w:b/>
            <w:color w:val="3B3A73"/>
            <w:sz w:val="22"/>
          </w:rPr>
          <w:t xml:space="preserve">	34</w:t>
        </w:r>
      </w:hyperlink>
    </w:p>
    <w:p>
      <w:pPr>
        <w:pStyle w:val="Heading1"/>
        <w:pageBreakBefore/>
      </w:pPr>
      <w:r>
        <w:t xml:space="preserve">Document Control</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402"/>
        <w:gridCol w:w="6626"/>
      </w:tblGrid>
      <w:tr>
        <w:trPr>
          <w:cantSplit w:val="true"/>
          <w:tblHeader w:val="true"/>
        </w:trPr>
        <w:tc>
          <w:tcPr>
            <w:tcW w:type="dxa" w:w="240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Item</w:t>
            </w:r>
          </w:p>
        </w:tc>
        <w:tc>
          <w:tcPr>
            <w:tcW w:type="dxa" w:w="662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Detail</w:t>
            </w:r>
          </w:p>
        </w:tc>
      </w:tr>
      <w:tr>
        <w:trPr>
          <w:cantSplit w:val="true"/>
        </w:trPr>
        <w:tc>
          <w:tcPr>
            <w:tcW w:type="dxa" w:w="2402"/>
            <w:tcMar>
              <w:top w:w="40" w:type="dxa"/>
              <w:bottom w:w="40" w:type="dxa"/>
            </w:tcMar>
          </w:tcPr>
          <w:p>
            <w:pPr>
              <w:pStyle w:val="Compact"/>
              <w:spacing w:line="252" w:lineRule="auto" w:after="20" w:before="20"/>
              <w:jc w:val="left"/>
            </w:pPr>
            <w:r>
              <w:rPr>
                <w:rFonts w:ascii="Times New Roman" w:hAnsi="Times New Roman"/>
                <w:sz w:val="19"/>
              </w:rPr>
              <w:t xml:space="preserve">Document</w:t>
            </w:r>
          </w:p>
        </w:tc>
        <w:tc>
          <w:tcPr>
            <w:tcW w:type="dxa" w:w="6627"/>
            <w:tcMar>
              <w:top w:w="40" w:type="dxa"/>
              <w:bottom w:w="40" w:type="dxa"/>
            </w:tcMar>
          </w:tcPr>
          <w:p>
            <w:pPr>
              <w:pStyle w:val="Compact"/>
              <w:spacing w:line="252" w:lineRule="auto" w:after="20" w:before="20"/>
              <w:jc w:val="left"/>
            </w:pPr>
            <w:r>
              <w:rPr>
                <w:rFonts w:ascii="Times New Roman" w:hAnsi="Times New Roman"/>
                <w:sz w:val="19"/>
              </w:rPr>
              <w:t xml:space="preserve">Product Requirements Document (PRD): Benefits Intelligence Suite, dashboard and prototype</w:t>
            </w:r>
          </w:p>
        </w:tc>
      </w:tr>
      <w:tr>
        <w:trPr>
          <w:cantSplit w:val="true"/>
        </w:trPr>
        <w:tc>
          <w:tcPr>
            <w:tcW w:type="dxa" w:w="240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Product</w:t>
            </w:r>
          </w:p>
        </w:tc>
        <w:tc>
          <w:tcPr>
            <w:tcW w:type="dxa" w:w="662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NivoTime Benefits Intelligence Suite (proposed in the Live Company Project report)</w:t>
            </w:r>
          </w:p>
        </w:tc>
      </w:tr>
      <w:tr>
        <w:trPr>
          <w:cantSplit w:val="true"/>
        </w:trPr>
        <w:tc>
          <w:tcPr>
            <w:tcW w:type="dxa" w:w="2402"/>
            <w:tcMar>
              <w:top w:w="40" w:type="dxa"/>
              <w:bottom w:w="40" w:type="dxa"/>
            </w:tcMar>
          </w:tcPr>
          <w:p>
            <w:pPr>
              <w:pStyle w:val="Compact"/>
              <w:spacing w:line="252" w:lineRule="auto" w:after="20" w:before="20"/>
              <w:jc w:val="left"/>
            </w:pPr>
            <w:r>
              <w:rPr>
                <w:rFonts w:ascii="Times New Roman" w:hAnsi="Times New Roman"/>
                <w:sz w:val="19"/>
              </w:rPr>
              <w:t xml:space="preserve">Version</w:t>
            </w:r>
          </w:p>
        </w:tc>
        <w:tc>
          <w:tcPr>
            <w:tcW w:type="dxa" w:w="6627"/>
            <w:tcMar>
              <w:top w:w="40" w:type="dxa"/>
              <w:bottom w:w="40" w:type="dxa"/>
            </w:tcMar>
          </w:tcPr>
          <w:p>
            <w:pPr>
              <w:pStyle w:val="Compact"/>
              <w:spacing w:line="252" w:lineRule="auto" w:after="20" w:before="20"/>
              <w:jc w:val="left"/>
            </w:pPr>
            <w:r>
              <w:rPr>
                <w:rFonts w:ascii="Times New Roman" w:hAnsi="Times New Roman"/>
                <w:sz w:val="19"/>
              </w:rPr>
              <w:t xml:space="preserve">1.0, September 2026</w:t>
            </w:r>
          </w:p>
        </w:tc>
      </w:tr>
      <w:tr>
        <w:trPr>
          <w:cantSplit w:val="true"/>
        </w:trPr>
        <w:tc>
          <w:tcPr>
            <w:tcW w:type="dxa" w:w="240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Prepared by</w:t>
            </w:r>
          </w:p>
        </w:tc>
        <w:tc>
          <w:tcPr>
            <w:tcW w:type="dxa" w:w="662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Anvesha, PGDM (E-Business) 2025–27, WeSchool</w:t>
            </w:r>
          </w:p>
        </w:tc>
      </w:tr>
      <w:tr>
        <w:trPr>
          <w:cantSplit w:val="true"/>
        </w:trPr>
        <w:tc>
          <w:tcPr>
            <w:tcW w:type="dxa" w:w="2402"/>
            <w:tcMar>
              <w:top w:w="40" w:type="dxa"/>
              <w:bottom w:w="40" w:type="dxa"/>
            </w:tcMar>
          </w:tcPr>
          <w:p>
            <w:pPr>
              <w:pStyle w:val="Compact"/>
              <w:spacing w:line="252" w:lineRule="auto" w:after="20" w:before="20"/>
              <w:jc w:val="left"/>
            </w:pPr>
            <w:r>
              <w:rPr>
                <w:rFonts w:ascii="Times New Roman" w:hAnsi="Times New Roman"/>
                <w:sz w:val="19"/>
              </w:rPr>
              <w:t xml:space="preserve">Status</w:t>
            </w:r>
          </w:p>
        </w:tc>
        <w:tc>
          <w:tcPr>
            <w:tcW w:type="dxa" w:w="6627"/>
            <w:tcMar>
              <w:top w:w="40" w:type="dxa"/>
              <w:bottom w:w="40" w:type="dxa"/>
            </w:tcMar>
          </w:tcPr>
          <w:p>
            <w:pPr>
              <w:pStyle w:val="Compact"/>
              <w:spacing w:line="252" w:lineRule="auto" w:after="20" w:before="20"/>
              <w:jc w:val="left"/>
            </w:pPr>
            <w:r>
              <w:rPr>
                <w:rFonts w:ascii="Times New Roman" w:hAnsi="Times New Roman"/>
                <w:sz w:val="19"/>
              </w:rPr>
              <w:t xml:space="preserve">Draft for prototype build and broker-pilot demo</w:t>
            </w:r>
          </w:p>
        </w:tc>
      </w:tr>
      <w:tr>
        <w:trPr>
          <w:cantSplit w:val="true"/>
        </w:trPr>
        <w:tc>
          <w:tcPr>
            <w:tcW w:type="dxa" w:w="240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Parent document</w:t>
            </w:r>
          </w:p>
        </w:tc>
        <w:tc>
          <w:tcPr>
            <w:tcW w:type="dxa" w:w="6627"/>
            <w:shd w:val="clear" w:color="auto" w:fill="F4F5F9"/>
            <w:tcMar>
              <w:top w:w="40" w:type="dxa"/>
              <w:bottom w:w="40" w:type="dxa"/>
            </w:tcMar>
          </w:tcPr>
          <w:p>
            <w:pPr>
              <w:pStyle w:val="Compact"/>
              <w:spacing w:line="252" w:lineRule="auto" w:after="20" w:before="20"/>
              <w:jc w:val="left"/>
            </w:pPr>
            <w:r>
              <w:rPr>
                <w:rFonts w:ascii="Times New Roman" w:hAnsi="Times New Roman"/>
                <w:i/>
                <w:iCs/>
                <w:sz w:val="19"/>
              </w:rPr>
              <w:t xml:space="preserve">From Services Breadth to Benefits Intelligence</w:t>
            </w:r>
            <w:r>
              <w:rPr>
                <w:rFonts w:ascii="Times New Roman" w:hAnsi="Times New Roman"/>
                <w:sz w:val="19"/>
              </w:rPr>
              <w:t xml:space="preserve">, Live Company Project Report (Sections 7, 9–13, 15)</w:t>
            </w:r>
          </w:p>
        </w:tc>
      </w:tr>
      <w:tr>
        <w:trPr>
          <w:cantSplit w:val="true"/>
        </w:trPr>
        <w:tc>
          <w:tcPr>
            <w:tcW w:type="dxa" w:w="2402"/>
            <w:tcMar>
              <w:top w:w="40" w:type="dxa"/>
              <w:bottom w:w="40" w:type="dxa"/>
            </w:tcMar>
          </w:tcPr>
          <w:p>
            <w:pPr>
              <w:pStyle w:val="Compact"/>
              <w:spacing w:line="252" w:lineRule="auto" w:after="20" w:before="20"/>
              <w:jc w:val="left"/>
            </w:pPr>
            <w:r>
              <w:rPr>
                <w:rFonts w:ascii="Times New Roman" w:hAnsi="Times New Roman"/>
                <w:sz w:val="19"/>
              </w:rPr>
              <w:t xml:space="preserve">Data used</w:t>
            </w:r>
          </w:p>
        </w:tc>
        <w:tc>
          <w:tcPr>
            <w:tcW w:type="dxa" w:w="6627"/>
            <w:tcMar>
              <w:top w:w="40" w:type="dxa"/>
              <w:bottom w:w="40" w:type="dxa"/>
            </w:tcMar>
          </w:tcPr>
          <w:p>
            <w:pPr>
              <w:pStyle w:val="Compact"/>
              <w:spacing w:line="252" w:lineRule="auto" w:after="20" w:before="20"/>
              <w:jc w:val="left"/>
            </w:pPr>
            <w:r>
              <w:rPr>
                <w:rFonts w:ascii="Times New Roman" w:hAnsi="Times New Roman"/>
                <w:sz w:val="19"/>
              </w:rPr>
              <w:t xml:space="preserve">Public market data from the report;</w:t>
            </w:r>
            <w:r>
              <w:rPr>
                <w:rFonts w:ascii="Times New Roman" w:hAnsi="Times New Roman"/>
                <w:sz w:val="19"/>
              </w:rPr>
              <w:t xml:space="preserve"> </w:t>
            </w:r>
            <w:r>
              <w:rPr>
                <w:rFonts w:ascii="Times New Roman" w:hAnsi="Times New Roman"/>
                <w:b/>
                <w:bCs/>
                <w:sz w:val="19"/>
              </w:rPr>
              <w:t xml:space="preserve">synthetic data</w:t>
            </w:r>
            <w:r>
              <w:rPr>
                <w:rFonts w:ascii="Times New Roman" w:hAnsi="Times New Roman"/>
                <w:sz w:val="19"/>
              </w:rPr>
              <w:t xml:space="preserve"> </w:t>
            </w:r>
            <w:r>
              <w:rPr>
                <w:rFonts w:ascii="Times New Roman" w:hAnsi="Times New Roman"/>
                <w:sz w:val="19"/>
              </w:rPr>
              <w:t xml:space="preserve">for all screens and AI/ML simulations. No real client data.</w:t>
            </w:r>
          </w:p>
        </w:tc>
      </w:tr>
    </w:tbl>
    <w:p>
      <w:pPr>
        <w:pStyle w:val="BodyText"/>
        <w:keepNext/>
        <w:spacing w:before="160"/>
      </w:pPr>
      <w:r>
        <w:rPr>
          <w:b/>
          <w:bCs/>
        </w:rPr>
        <w:t xml:space="preserve">How to read requirement IDs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935"/>
        <w:gridCol w:w="7093"/>
      </w:tblGrid>
      <w:tr>
        <w:trPr>
          <w:cantSplit w:val="true"/>
          <w:tblHeader w:val="true"/>
        </w:trPr>
        <w:tc>
          <w:tcPr>
            <w:tcW w:type="dxa" w:w="1935"/>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Prefix</w:t>
            </w:r>
          </w:p>
        </w:tc>
        <w:tc>
          <w:tcPr>
            <w:tcW w:type="dxa" w:w="709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Meaning</w:t>
            </w:r>
          </w:p>
        </w:tc>
      </w:tr>
      <w:tr>
        <w:trPr>
          <w:cantSplit w:val="true"/>
        </w:trPr>
        <w:tc>
          <w:tcPr>
            <w:tcW w:type="dxa" w:w="1935"/>
            <w:tcMar>
              <w:top w:w="40" w:type="dxa"/>
              <w:bottom w:w="40" w:type="dxa"/>
            </w:tcMar>
          </w:tcPr>
          <w:p>
            <w:pPr>
              <w:pStyle w:val="Compact"/>
              <w:spacing w:line="252" w:lineRule="auto" w:after="20" w:before="20"/>
              <w:jc w:val="left"/>
            </w:pPr>
            <w:r>
              <w:rPr>
                <w:rFonts w:ascii="Times New Roman" w:hAnsi="Times New Roman"/>
                <w:sz w:val="19"/>
              </w:rPr>
              <w:t xml:space="preserve">FR-xx</w:t>
            </w:r>
          </w:p>
        </w:tc>
        <w:tc>
          <w:tcPr>
            <w:tcW w:type="dxa" w:w="7094"/>
            <w:tcMar>
              <w:top w:w="40" w:type="dxa"/>
              <w:bottom w:w="40" w:type="dxa"/>
            </w:tcMar>
          </w:tcPr>
          <w:p>
            <w:pPr>
              <w:pStyle w:val="Compact"/>
              <w:spacing w:line="252" w:lineRule="auto" w:after="20" w:before="20"/>
              <w:jc w:val="left"/>
            </w:pPr>
            <w:r>
              <w:rPr>
                <w:rFonts w:ascii="Times New Roman" w:hAnsi="Times New Roman"/>
                <w:sz w:val="19"/>
              </w:rPr>
              <w:t xml:space="preserve">Functional requirement (what the product must do)</w:t>
            </w:r>
          </w:p>
        </w:tc>
      </w:tr>
      <w:tr>
        <w:trPr>
          <w:cantSplit w:val="true"/>
        </w:trPr>
        <w:tc>
          <w:tcPr>
            <w:tcW w:type="dxa" w:w="193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AI-xx</w:t>
            </w:r>
          </w:p>
        </w:tc>
        <w:tc>
          <w:tcPr>
            <w:tcW w:type="dxa" w:w="709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 / ML model requirement</w:t>
            </w:r>
          </w:p>
        </w:tc>
      </w:tr>
      <w:tr>
        <w:trPr>
          <w:cantSplit w:val="true"/>
        </w:trPr>
        <w:tc>
          <w:tcPr>
            <w:tcW w:type="dxa" w:w="1935"/>
            <w:tcMar>
              <w:top w:w="40" w:type="dxa"/>
              <w:bottom w:w="40" w:type="dxa"/>
            </w:tcMar>
          </w:tcPr>
          <w:p>
            <w:pPr>
              <w:pStyle w:val="Compact"/>
              <w:spacing w:line="252" w:lineRule="auto" w:after="20" w:before="20"/>
              <w:jc w:val="left"/>
            </w:pPr>
            <w:r>
              <w:rPr>
                <w:rFonts w:ascii="Times New Roman" w:hAnsi="Times New Roman"/>
                <w:sz w:val="19"/>
              </w:rPr>
              <w:t xml:space="preserve">DR-xx</w:t>
            </w:r>
          </w:p>
        </w:tc>
        <w:tc>
          <w:tcPr>
            <w:tcW w:type="dxa" w:w="7094"/>
            <w:tcMar>
              <w:top w:w="40" w:type="dxa"/>
              <w:bottom w:w="40" w:type="dxa"/>
            </w:tcMar>
          </w:tcPr>
          <w:p>
            <w:pPr>
              <w:pStyle w:val="Compact"/>
              <w:spacing w:line="252" w:lineRule="auto" w:after="20" w:before="20"/>
              <w:jc w:val="left"/>
            </w:pPr>
            <w:r>
              <w:rPr>
                <w:rFonts w:ascii="Times New Roman" w:hAnsi="Times New Roman"/>
                <w:sz w:val="19"/>
              </w:rPr>
              <w:t xml:space="preserve">Data requirement</w:t>
            </w:r>
          </w:p>
        </w:tc>
      </w:tr>
      <w:tr>
        <w:trPr>
          <w:cantSplit w:val="true"/>
        </w:trPr>
        <w:tc>
          <w:tcPr>
            <w:tcW w:type="dxa" w:w="193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NFR-xx</w:t>
            </w:r>
          </w:p>
        </w:tc>
        <w:tc>
          <w:tcPr>
            <w:tcW w:type="dxa" w:w="709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Non-functional requirement (security, speed, privacy, usability)</w:t>
            </w:r>
          </w:p>
        </w:tc>
      </w:tr>
      <w:tr>
        <w:trPr>
          <w:cantSplit w:val="true"/>
        </w:trPr>
        <w:tc>
          <w:tcPr>
            <w:tcW w:type="dxa" w:w="1935"/>
            <w:tcMar>
              <w:top w:w="40" w:type="dxa"/>
              <w:bottom w:w="40" w:type="dxa"/>
            </w:tcMar>
          </w:tcPr>
          <w:p>
            <w:pPr>
              <w:pStyle w:val="Compact"/>
              <w:spacing w:line="252" w:lineRule="auto" w:after="20" w:before="20"/>
              <w:jc w:val="left"/>
            </w:pPr>
            <w:r>
              <w:rPr>
                <w:rFonts w:ascii="Times New Roman" w:hAnsi="Times New Roman"/>
                <w:b/>
                <w:bCs/>
                <w:sz w:val="19"/>
              </w:rPr>
              <w:t xml:space="preserve">Priority</w:t>
            </w:r>
          </w:p>
        </w:tc>
        <w:tc>
          <w:tcPr>
            <w:tcW w:type="dxa" w:w="7094"/>
            <w:tcMar>
              <w:top w:w="40" w:type="dxa"/>
              <w:bottom w:w="40" w:type="dxa"/>
            </w:tcMar>
          </w:tcPr>
          <w:p>
            <w:pPr>
              <w:pStyle w:val="Compact"/>
              <w:spacing w:line="252" w:lineRule="auto" w:after="20" w:before="20"/>
              <w:jc w:val="left"/>
            </w:pPr>
            <w:r>
              <w:rPr>
                <w:rFonts w:ascii="Times New Roman" w:hAnsi="Times New Roman"/>
                <w:b/>
                <w:bCs/>
                <w:sz w:val="19"/>
              </w:rPr>
              <w:t xml:space="preserve">Must</w:t>
            </w:r>
            <w:r>
              <w:rPr>
                <w:rFonts w:ascii="Times New Roman" w:hAnsi="Times New Roman"/>
                <w:sz w:val="19"/>
              </w:rPr>
              <w:t xml:space="preserve"> </w:t>
            </w:r>
            <w:r>
              <w:rPr>
                <w:rFonts w:ascii="Times New Roman" w:hAnsi="Times New Roman"/>
                <w:sz w:val="19"/>
              </w:rPr>
              <w:t xml:space="preserve">= needed for the pilot prototype;</w:t>
            </w:r>
            <w:r>
              <w:rPr>
                <w:rFonts w:ascii="Times New Roman" w:hAnsi="Times New Roman"/>
                <w:sz w:val="19"/>
              </w:rPr>
              <w:t xml:space="preserve"> </w:t>
            </w:r>
            <w:r>
              <w:rPr>
                <w:rFonts w:ascii="Times New Roman" w:hAnsi="Times New Roman"/>
                <w:b/>
                <w:bCs/>
                <w:sz w:val="19"/>
              </w:rPr>
              <w:t xml:space="preserve">Should</w:t>
            </w:r>
            <w:r>
              <w:rPr>
                <w:rFonts w:ascii="Times New Roman" w:hAnsi="Times New Roman"/>
                <w:sz w:val="19"/>
              </w:rPr>
              <w:t xml:space="preserve"> </w:t>
            </w:r>
            <w:r>
              <w:rPr>
                <w:rFonts w:ascii="Times New Roman" w:hAnsi="Times New Roman"/>
                <w:sz w:val="19"/>
              </w:rPr>
              <w:t xml:space="preserve">= strongly wanted;</w:t>
            </w:r>
            <w:r>
              <w:rPr>
                <w:rFonts w:ascii="Times New Roman" w:hAnsi="Times New Roman"/>
                <w:sz w:val="19"/>
              </w:rPr>
              <w:t xml:space="preserve"> </w:t>
            </w:r>
            <w:r>
              <w:rPr>
                <w:rFonts w:ascii="Times New Roman" w:hAnsi="Times New Roman"/>
                <w:b/>
                <w:bCs/>
                <w:sz w:val="19"/>
              </w:rPr>
              <w:t xml:space="preserve">Could</w:t>
            </w:r>
            <w:r>
              <w:rPr>
                <w:rFonts w:ascii="Times New Roman" w:hAnsi="Times New Roman"/>
                <w:sz w:val="19"/>
              </w:rPr>
              <w:t xml:space="preserve"> </w:t>
            </w:r>
            <w:r>
              <w:rPr>
                <w:rFonts w:ascii="Times New Roman" w:hAnsi="Times New Roman"/>
                <w:sz w:val="19"/>
              </w:rPr>
              <w:t xml:space="preserve">= nice to have;</w:t>
            </w:r>
            <w:r>
              <w:rPr>
                <w:rFonts w:ascii="Times New Roman" w:hAnsi="Times New Roman"/>
                <w:sz w:val="19"/>
              </w:rPr>
              <w:t xml:space="preserve"> </w:t>
            </w:r>
            <w:r>
              <w:rPr>
                <w:rFonts w:ascii="Times New Roman" w:hAnsi="Times New Roman"/>
                <w:b/>
                <w:bCs/>
                <w:sz w:val="19"/>
              </w:rPr>
              <w:t xml:space="preserve">Won’t (now)</w:t>
            </w:r>
            <w:r>
              <w:rPr>
                <w:rFonts w:ascii="Times New Roman" w:hAnsi="Times New Roman"/>
                <w:sz w:val="19"/>
              </w:rPr>
              <w:t xml:space="preserve"> </w:t>
            </w:r>
            <w:r>
              <w:rPr>
                <w:rFonts w:ascii="Times New Roman" w:hAnsi="Times New Roman"/>
                <w:sz w:val="19"/>
              </w:rPr>
              <w:t xml:space="preserve">= later phase</w:t>
            </w:r>
          </w:p>
        </w:tc>
      </w:tr>
    </w:tbl>
    <w:p>
      <w:pPr>
        <w:pStyle w:val="Heading1"/>
        <w:spacing w:before="160"/>
      </w:pPr>
      <w:r>
        <w:t xml:space="preserve">1. Purpose, Scope and Objectives</w:t>
      </w:r>
    </w:p>
    <w:p>
      <w:pPr>
        <w:pStyle w:val="Heading2"/>
      </w:pPr>
      <w:r>
        <w:t xml:space="preserve">1.1 Why this document exists</w:t>
      </w:r>
    </w:p>
    <w:p>
      <w:pPr>
        <w:pStyle w:val="Compact"/>
        <w:numPr>
          <w:ilvl w:val="0"/>
          <w:numId w:val="1001"/>
        </w:numPr>
        <w:spacing w:after="60" w:line="324" w:lineRule="auto"/>
      </w:pPr>
      <w:r>
        <w:t xml:space="preserve">The Live Company Project report recommends that NivoTime build an</w:t>
      </w:r>
      <w:r>
        <w:t xml:space="preserve"> </w:t>
      </w:r>
      <w:r>
        <w:rPr>
          <w:b/>
          <w:bCs/>
        </w:rPr>
        <w:t xml:space="preserve">AI-powered Benefits Intelligence Suite</w:t>
      </w:r>
      <w:r>
        <w:t xml:space="preserve"> </w:t>
      </w:r>
      <w:r>
        <w:t xml:space="preserve">and sell it mainly through mid-size insurance brokers (report, Sections 7–9).</w:t>
      </w:r>
    </w:p>
    <w:p>
      <w:pPr>
        <w:pStyle w:val="Compact"/>
        <w:numPr>
          <w:ilvl w:val="0"/>
          <w:numId w:val="1001"/>
        </w:numPr>
        <w:spacing w:after="60" w:line="324" w:lineRule="auto"/>
      </w:pPr>
      <w:r>
        <w:t xml:space="preserve">This PRD turns that recommendation into a</w:t>
      </w:r>
      <w:r>
        <w:t xml:space="preserve"> </w:t>
      </w:r>
      <w:r>
        <w:rPr>
          <w:b/>
          <w:bCs/>
        </w:rPr>
        <w:t xml:space="preserve">buildable specification</w:t>
      </w:r>
      <w:r>
        <w:t xml:space="preserve">: every screen, chart, user flow, data field and AI model the prototype needs, with acceptance criteria.</w:t>
      </w:r>
    </w:p>
    <w:p>
      <w:pPr>
        <w:pStyle w:val="Compact"/>
        <w:numPr>
          <w:ilvl w:val="0"/>
          <w:numId w:val="1001"/>
        </w:numPr>
        <w:spacing w:after="60" w:line="324" w:lineRule="auto"/>
      </w:pPr>
      <w:r>
        <w:t xml:space="preserve">It covers two things:</w:t>
      </w:r>
    </w:p>
    <w:p>
      <w:pPr>
        <w:pStyle w:val="Compact"/>
        <w:numPr>
          <w:ilvl w:val="1"/>
          <w:numId w:val="1002"/>
        </w:numPr>
        <w:spacing w:after="60" w:line="324" w:lineRule="auto"/>
      </w:pPr>
      <w:r>
        <w:t xml:space="preserve">The</w:t>
      </w:r>
      <w:r>
        <w:t xml:space="preserve"> </w:t>
      </w:r>
      <w:r>
        <w:rPr>
          <w:b/>
          <w:bCs/>
        </w:rPr>
        <w:t xml:space="preserve">customer-facing product</w:t>
      </w:r>
      <w:r>
        <w:t xml:space="preserve"> </w:t>
      </w:r>
      <w:r>
        <w:t xml:space="preserve">used by brokers, HR teams, employees and vendors.</w:t>
      </w:r>
    </w:p>
    <w:p>
      <w:pPr>
        <w:pStyle w:val="Compact"/>
        <w:numPr>
          <w:ilvl w:val="1"/>
          <w:numId w:val="1002"/>
        </w:numPr>
        <w:spacing w:after="60" w:line="324" w:lineRule="auto"/>
      </w:pPr>
      <w:r>
        <w:t xml:space="preserve">The</w:t>
      </w:r>
      <w:r>
        <w:t xml:space="preserve"> </w:t>
      </w:r>
      <w:r>
        <w:rPr>
          <w:b/>
          <w:bCs/>
        </w:rPr>
        <w:t xml:space="preserve">internal NivoTime dashboards</w:t>
      </w:r>
      <w:r>
        <w:t xml:space="preserve"> </w:t>
      </w:r>
      <w:r>
        <w:t xml:space="preserve">(go-to-market command centre and business-case simulator) that track whether the strategy is working.</w:t>
      </w:r>
    </w:p>
    <w:p>
      <w:pPr>
        <w:pStyle w:val="Heading2"/>
      </w:pPr>
      <w:r>
        <w:t xml:space="preserve">1.2 Prototype objectives</w:t>
      </w:r>
    </w:p>
    <w:p>
      <w:pPr>
        <w:pStyle w:val="FirstParagraph"/>
      </w:pPr>
      <w:r>
        <w:t xml:space="preserve">Kept separate, as in the report: what the prototype must</w:t>
      </w:r>
      <w:r>
        <w:t xml:space="preserve"> </w:t>
      </w:r>
      <w:r>
        <w:rPr>
          <w:i/>
          <w:iCs/>
        </w:rPr>
        <w:t xml:space="preserve">do</w:t>
      </w:r>
      <w:r>
        <w:t xml:space="preserve">, and how we will</w:t>
      </w:r>
      <w:r>
        <w:t xml:space="preserve"> </w:t>
      </w:r>
      <w:r>
        <w:rPr>
          <w:i/>
          <w:iCs/>
        </w:rPr>
        <w:t xml:space="preserve">measure</w:t>
      </w:r>
      <w:r>
        <w:t xml:space="preserve"> </w:t>
      </w:r>
      <w:r>
        <w:t xml:space="preserve">whether it works.</w:t>
      </w:r>
    </w:p>
    <w:p>
      <w:pPr>
        <w:pStyle w:val="BodyText"/>
        <w:keepNext/>
      </w:pPr>
      <w:r>
        <w:rPr>
          <w:b/>
          <w:bCs/>
        </w:rPr>
        <w:t xml:space="preserve">Product objectives</w:t>
      </w:r>
    </w:p>
    <w:p>
      <w:pPr>
        <w:pStyle w:val="Compact"/>
        <w:numPr>
          <w:ilvl w:val="0"/>
          <w:numId w:val="1003"/>
        </w:numPr>
        <w:spacing w:after="60" w:line="324" w:lineRule="auto"/>
      </w:pPr>
      <w:r>
        <w:t xml:space="preserve">Let a broker compare a client’s benefits with a peer group, filtered by co-pay, company size, industry, family cover and sum insured.</w:t>
      </w:r>
    </w:p>
    <w:p>
      <w:pPr>
        <w:pStyle w:val="Compact"/>
        <w:numPr>
          <w:ilvl w:val="0"/>
          <w:numId w:val="1003"/>
        </w:numPr>
        <w:spacing w:after="60" w:line="324" w:lineRule="auto"/>
      </w:pPr>
      <w:r>
        <w:t xml:space="preserve">Turn 4–6 insurer quotes (PDF or Excel) into one structured comparison with flagged differences.</w:t>
      </w:r>
    </w:p>
    <w:p>
      <w:pPr>
        <w:pStyle w:val="Compact"/>
        <w:numPr>
          <w:ilvl w:val="0"/>
          <w:numId w:val="1003"/>
        </w:numPr>
        <w:spacing w:after="60" w:line="324" w:lineRule="auto"/>
      </w:pPr>
      <w:r>
        <w:t xml:space="preserve">Simulate the premium effect of plan changes and forecast next year’s renewal loading.</w:t>
      </w:r>
    </w:p>
    <w:p>
      <w:pPr>
        <w:pStyle w:val="Compact"/>
        <w:numPr>
          <w:ilvl w:val="0"/>
          <w:numId w:val="1003"/>
        </w:numPr>
        <w:spacing w:after="60" w:line="324" w:lineRule="auto"/>
      </w:pPr>
      <w:r>
        <w:t xml:space="preserve">Track insurer, TPA and wellness vendor service levels in one place.</w:t>
      </w:r>
    </w:p>
    <w:p>
      <w:pPr>
        <w:pStyle w:val="Compact"/>
        <w:numPr>
          <w:ilvl w:val="0"/>
          <w:numId w:val="1003"/>
        </w:numPr>
        <w:spacing w:after="60" w:line="324" w:lineRule="auto"/>
      </w:pPr>
      <w:r>
        <w:t xml:space="preserve">Reach employees through nudges without requiring routine logins.</w:t>
      </w:r>
    </w:p>
    <w:p>
      <w:pPr>
        <w:pStyle w:val="Compact"/>
        <w:numPr>
          <w:ilvl w:val="0"/>
          <w:numId w:val="1003"/>
        </w:numPr>
        <w:spacing w:after="60" w:line="324" w:lineRule="auto"/>
      </w:pPr>
      <w:r>
        <w:t xml:space="preserve">Give NivoTime management one view of segments, pipeline and business-case scenarios.</w:t>
      </w:r>
    </w:p>
    <w:p>
      <w:pPr>
        <w:pStyle w:val="FirstParagraph"/>
        <w:keepNext/>
      </w:pPr>
      <w:r>
        <w:rPr>
          <w:b/>
          <w:bCs/>
        </w:rPr>
        <w:t xml:space="preserve">Measurement and validation objectives</w:t>
      </w:r>
    </w:p>
    <w:p>
      <w:pPr>
        <w:pStyle w:val="Compact"/>
        <w:numPr>
          <w:ilvl w:val="0"/>
          <w:numId w:val="1004"/>
        </w:numPr>
        <w:spacing w:after="60" w:line="324" w:lineRule="auto"/>
      </w:pPr>
      <w:r>
        <w:t xml:space="preserve">Renewal pack preparation time falls by</w:t>
      </w:r>
      <w:r>
        <w:t xml:space="preserve"> </w:t>
      </w:r>
      <w:r>
        <w:rPr>
          <w:b/>
          <w:bCs/>
        </w:rPr>
        <w:t xml:space="preserve">≥50%</w:t>
      </w:r>
      <w:r>
        <w:t xml:space="preserve"> </w:t>
      </w:r>
      <w:r>
        <w:t xml:space="preserve">in pilot (report KPI, Section 13.4).</w:t>
      </w:r>
    </w:p>
    <w:p>
      <w:pPr>
        <w:pStyle w:val="Compact"/>
        <w:numPr>
          <w:ilvl w:val="0"/>
          <w:numId w:val="1004"/>
        </w:numPr>
        <w:spacing w:after="60" w:line="324" w:lineRule="auto"/>
      </w:pPr>
      <w:r>
        <w:t xml:space="preserve">Quote field extraction accuracy is</w:t>
      </w:r>
      <w:r>
        <w:t xml:space="preserve"> </w:t>
      </w:r>
      <w:r>
        <w:rPr>
          <w:b/>
          <w:bCs/>
        </w:rPr>
        <w:t xml:space="preserve">≥95%</w:t>
      </w:r>
      <w:r>
        <w:t xml:space="preserve">; low-confidence fields go to human review.</w:t>
      </w:r>
    </w:p>
    <w:p>
      <w:pPr>
        <w:pStyle w:val="Compact"/>
        <w:numPr>
          <w:ilvl w:val="0"/>
          <w:numId w:val="1004"/>
        </w:numPr>
        <w:spacing w:after="60" w:line="324" w:lineRule="auto"/>
      </w:pPr>
      <w:r>
        <w:t xml:space="preserve">Renewal forecast error is</w:t>
      </w:r>
      <w:r>
        <w:t xml:space="preserve"> </w:t>
      </w:r>
      <w:r>
        <w:rPr>
          <w:b/>
          <w:bCs/>
        </w:rPr>
        <w:t xml:space="preserve">within ±5 percentage points</w:t>
      </w:r>
      <w:r>
        <w:t xml:space="preserve"> </w:t>
      </w:r>
      <w:r>
        <w:t xml:space="preserve">on back-tested renewals.</w:t>
      </w:r>
    </w:p>
    <w:p>
      <w:pPr>
        <w:pStyle w:val="Compact"/>
        <w:numPr>
          <w:ilvl w:val="0"/>
          <w:numId w:val="1004"/>
        </w:numPr>
        <w:spacing w:after="60" w:line="324" w:lineRule="auto"/>
      </w:pPr>
      <w:r>
        <w:rPr>
          <w:b/>
          <w:bCs/>
        </w:rPr>
        <w:t xml:space="preserve">≥70%</w:t>
      </w:r>
      <w:r>
        <w:t xml:space="preserve"> </w:t>
      </w:r>
      <w:r>
        <w:t xml:space="preserve">of broker users are active weekly by day 60;</w:t>
      </w:r>
      <w:r>
        <w:t xml:space="preserve"> </w:t>
      </w:r>
      <w:r>
        <w:rPr>
          <w:b/>
          <w:bCs/>
        </w:rPr>
        <w:t xml:space="preserve">≥60%</w:t>
      </w:r>
      <w:r>
        <w:t xml:space="preserve"> </w:t>
      </w:r>
      <w:r>
        <w:t xml:space="preserve">employee activation.</w:t>
      </w:r>
    </w:p>
    <w:p>
      <w:pPr>
        <w:pStyle w:val="Compact"/>
        <w:numPr>
          <w:ilvl w:val="0"/>
          <w:numId w:val="1004"/>
        </w:numPr>
        <w:spacing w:after="60" w:line="324" w:lineRule="auto"/>
      </w:pPr>
      <w:r>
        <w:rPr>
          <w:b/>
          <w:bCs/>
        </w:rPr>
        <w:t xml:space="preserve">≥50%</w:t>
      </w:r>
      <w:r>
        <w:t xml:space="preserve"> </w:t>
      </w:r>
      <w:r>
        <w:t xml:space="preserve">of pilots convert to paid contracts (report Appendix C).</w:t>
      </w:r>
    </w:p>
    <w:p>
      <w:pPr>
        <w:pStyle w:val="Heading2"/>
      </w:pPr>
      <w:r>
        <w:t xml:space="preserve">1.3 Scope</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4450"/>
        <w:gridCol w:w="4577"/>
      </w:tblGrid>
      <w:tr>
        <w:trPr>
          <w:cantSplit w:val="true"/>
          <w:tblHeader w:val="true"/>
        </w:trPr>
        <w:tc>
          <w:tcPr>
            <w:tcW w:type="dxa" w:w="44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In scope (prototype)</w:t>
            </w:r>
          </w:p>
        </w:tc>
        <w:tc>
          <w:tcPr>
            <w:tcW w:type="dxa" w:w="457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Out of scope (later phases)</w:t>
            </w:r>
          </w:p>
        </w:tc>
      </w:tr>
      <w:tr>
        <w:trPr>
          <w:cantSplit w:val="true"/>
        </w:trPr>
        <w:tc>
          <w:tcPr>
            <w:tcW w:type="dxa" w:w="4451"/>
            <w:tcMar>
              <w:top w:w="40" w:type="dxa"/>
              <w:bottom w:w="40" w:type="dxa"/>
            </w:tcMar>
          </w:tcPr>
          <w:p>
            <w:pPr>
              <w:pStyle w:val="Compact"/>
              <w:spacing w:line="252" w:lineRule="auto" w:after="20" w:before="20"/>
              <w:jc w:val="left"/>
            </w:pPr>
            <w:r>
              <w:rPr>
                <w:rFonts w:ascii="Times New Roman" w:hAnsi="Times New Roman"/>
                <w:sz w:val="19"/>
              </w:rPr>
              <w:t xml:space="preserve">Broker Workspace: portfolio, cockpit, quote desk, simulation lab, advisory packs</w:t>
            </w:r>
          </w:p>
        </w:tc>
        <w:tc>
          <w:tcPr>
            <w:tcW w:type="dxa" w:w="4578"/>
            <w:tcMar>
              <w:top w:w="40" w:type="dxa"/>
              <w:bottom w:w="40" w:type="dxa"/>
            </w:tcMar>
          </w:tcPr>
          <w:p>
            <w:pPr>
              <w:pStyle w:val="Compact"/>
              <w:spacing w:line="252" w:lineRule="auto" w:after="20" w:before="20"/>
              <w:jc w:val="left"/>
            </w:pPr>
            <w:r>
              <w:rPr>
                <w:rFonts w:ascii="Times New Roman" w:hAnsi="Times New Roman"/>
                <w:sz w:val="19"/>
              </w:rPr>
              <w:t xml:space="preserve">Native mobile apps (responsive web only)</w:t>
            </w:r>
          </w:p>
        </w:tc>
      </w:tr>
      <w:tr>
        <w:trPr>
          <w:cantSplit w:val="true"/>
        </w:trPr>
        <w:tc>
          <w:tcPr>
            <w:tcW w:type="dxa" w:w="44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HR/CFO views (read-only benchmark, forecast, engagement)</w:t>
            </w:r>
          </w:p>
        </w:tc>
        <w:tc>
          <w:tcPr>
            <w:tcW w:type="dxa" w:w="45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Live insurer API integrations (file upload used instead)</w:t>
            </w:r>
          </w:p>
        </w:tc>
      </w:tr>
      <w:tr>
        <w:trPr>
          <w:cantSplit w:val="true"/>
        </w:trPr>
        <w:tc>
          <w:tcPr>
            <w:tcW w:type="dxa" w:w="4451"/>
            <w:tcMar>
              <w:top w:w="40" w:type="dxa"/>
              <w:bottom w:w="40" w:type="dxa"/>
            </w:tcMar>
          </w:tcPr>
          <w:p>
            <w:pPr>
              <w:pStyle w:val="Compact"/>
              <w:spacing w:line="252" w:lineRule="auto" w:after="20" w:before="20"/>
              <w:jc w:val="left"/>
            </w:pPr>
            <w:r>
              <w:rPr>
                <w:rFonts w:ascii="Times New Roman" w:hAnsi="Times New Roman"/>
                <w:sz w:val="19"/>
              </w:rPr>
              <w:t xml:space="preserve">Employee zero-login nudge flow (demo channel)</w:t>
            </w:r>
          </w:p>
        </w:tc>
        <w:tc>
          <w:tcPr>
            <w:tcW w:type="dxa" w:w="4578"/>
            <w:tcMar>
              <w:top w:w="40" w:type="dxa"/>
              <w:bottom w:w="40" w:type="dxa"/>
            </w:tcMar>
          </w:tcPr>
          <w:p>
            <w:pPr>
              <w:pStyle w:val="Compact"/>
              <w:spacing w:line="252" w:lineRule="auto" w:after="20" w:before="20"/>
              <w:jc w:val="left"/>
            </w:pPr>
            <w:r>
              <w:rPr>
                <w:rFonts w:ascii="Times New Roman" w:hAnsi="Times New Roman"/>
                <w:sz w:val="19"/>
              </w:rPr>
              <w:t xml:space="preserve">Bima Sugam integration (roadmap item, report Section 13.2)</w:t>
            </w:r>
          </w:p>
        </w:tc>
      </w:tr>
      <w:tr>
        <w:trPr>
          <w:cantSplit w:val="true"/>
        </w:trPr>
        <w:tc>
          <w:tcPr>
            <w:tcW w:type="dxa" w:w="44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Vendor/TPA SLA tracking</w:t>
            </w:r>
          </w:p>
        </w:tc>
        <w:tc>
          <w:tcPr>
            <w:tcW w:type="dxa" w:w="45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Payments, billing and invoicing</w:t>
            </w:r>
          </w:p>
        </w:tc>
      </w:tr>
      <w:tr>
        <w:trPr>
          <w:cantSplit w:val="true"/>
        </w:trPr>
        <w:tc>
          <w:tcPr>
            <w:tcW w:type="dxa" w:w="4451"/>
            <w:tcMar>
              <w:top w:w="40" w:type="dxa"/>
              <w:bottom w:w="40" w:type="dxa"/>
            </w:tcMar>
          </w:tcPr>
          <w:p>
            <w:pPr>
              <w:pStyle w:val="Compact"/>
              <w:spacing w:line="252" w:lineRule="auto" w:after="20" w:before="20"/>
              <w:jc w:val="left"/>
            </w:pPr>
            <w:r>
              <w:rPr>
                <w:rFonts w:ascii="Times New Roman" w:hAnsi="Times New Roman"/>
                <w:sz w:val="19"/>
              </w:rPr>
              <w:t xml:space="preserve">Internal GTM Command Centre and business simulator</w:t>
            </w:r>
          </w:p>
        </w:tc>
        <w:tc>
          <w:tcPr>
            <w:tcW w:type="dxa" w:w="4578"/>
            <w:tcMar>
              <w:top w:w="40" w:type="dxa"/>
              <w:bottom w:w="40" w:type="dxa"/>
            </w:tcMar>
          </w:tcPr>
          <w:p>
            <w:pPr>
              <w:pStyle w:val="Compact"/>
              <w:spacing w:line="252" w:lineRule="auto" w:after="20" w:before="20"/>
              <w:jc w:val="left"/>
            </w:pPr>
            <w:r>
              <w:rPr>
                <w:rFonts w:ascii="Times New Roman" w:hAnsi="Times New Roman"/>
                <w:sz w:val="19"/>
              </w:rPr>
              <w:t xml:space="preserve">GCC / ZOYAME localisation</w:t>
            </w:r>
          </w:p>
        </w:tc>
      </w:tr>
      <w:tr>
        <w:trPr>
          <w:cantSplit w:val="true"/>
        </w:trPr>
        <w:tc>
          <w:tcPr>
            <w:tcW w:type="dxa" w:w="44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Admin: data ingestion, consent tags, model monitoring</w:t>
            </w:r>
          </w:p>
        </w:tc>
        <w:tc>
          <w:tcPr>
            <w:tcW w:type="dxa" w:w="45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Production-grade ISO 27001 controls (designed for, not certified)</w:t>
            </w:r>
          </w:p>
        </w:tc>
      </w:tr>
    </w:tbl>
    <w:p>
      <w:pPr>
        <w:pStyle w:val="Heading2"/>
        <w:spacing w:before="160"/>
      </w:pPr>
      <w:r>
        <w:t xml:space="preserve">1.4 Guiding principles (from the report)</w:t>
      </w:r>
    </w:p>
    <w:p>
      <w:pPr>
        <w:pStyle w:val="Compact"/>
        <w:numPr>
          <w:ilvl w:val="0"/>
          <w:numId w:val="1005"/>
        </w:numPr>
        <w:spacing w:after="60" w:line="324" w:lineRule="auto"/>
      </w:pPr>
      <w:r>
        <w:rPr>
          <w:b/>
          <w:bCs/>
        </w:rPr>
        <w:t xml:space="preserve">AI for work, not as a label:</w:t>
      </w:r>
      <w:r>
        <w:t xml:space="preserve"> </w:t>
      </w:r>
      <w:r>
        <w:t xml:space="preserve">every AI feature must replace a measurable manual task.</w:t>
      </w:r>
    </w:p>
    <w:p>
      <w:pPr>
        <w:pStyle w:val="Compact"/>
        <w:numPr>
          <w:ilvl w:val="0"/>
          <w:numId w:val="1005"/>
        </w:numPr>
        <w:spacing w:after="60" w:line="324" w:lineRule="auto"/>
      </w:pPr>
      <w:r>
        <w:rPr>
          <w:b/>
          <w:bCs/>
        </w:rPr>
        <w:t xml:space="preserve">Broker-first, white-label:</w:t>
      </w:r>
      <w:r>
        <w:t xml:space="preserve"> </w:t>
      </w:r>
      <w:r>
        <w:t xml:space="preserve">the broker’s brand faces the client; NivoTime stays in the background.</w:t>
      </w:r>
    </w:p>
    <w:p>
      <w:pPr>
        <w:pStyle w:val="Compact"/>
        <w:numPr>
          <w:ilvl w:val="0"/>
          <w:numId w:val="1005"/>
        </w:numPr>
        <w:spacing w:after="60" w:line="324" w:lineRule="auto"/>
      </w:pPr>
      <w:r>
        <w:rPr>
          <w:b/>
          <w:bCs/>
        </w:rPr>
        <w:t xml:space="preserve">Human in the loop:</w:t>
      </w:r>
      <w:r>
        <w:t xml:space="preserve"> </w:t>
      </w:r>
      <w:r>
        <w:t xml:space="preserve">no AI output reaches a client without broker review.</w:t>
      </w:r>
    </w:p>
    <w:p>
      <w:pPr>
        <w:pStyle w:val="Compact"/>
        <w:numPr>
          <w:ilvl w:val="0"/>
          <w:numId w:val="1005"/>
        </w:numPr>
        <w:spacing w:after="60" w:line="324" w:lineRule="auto"/>
      </w:pPr>
      <w:r>
        <w:rPr>
          <w:b/>
          <w:bCs/>
        </w:rPr>
        <w:t xml:space="preserve">Privacy by design:</w:t>
      </w:r>
      <w:r>
        <w:t xml:space="preserve"> </w:t>
      </w:r>
      <w:r>
        <w:t xml:space="preserve">anonymised benchmarks, minimum peer set of 10 companies, DPDP-ready consent tags.</w:t>
      </w:r>
    </w:p>
    <w:p>
      <w:pPr>
        <w:pStyle w:val="Compact"/>
        <w:numPr>
          <w:ilvl w:val="0"/>
          <w:numId w:val="1005"/>
        </w:numPr>
        <w:spacing w:after="60" w:line="324" w:lineRule="auto"/>
      </w:pPr>
      <w:r>
        <w:rPr>
          <w:b/>
          <w:bCs/>
        </w:rPr>
        <w:t xml:space="preserve">Configure, don’t customise:</w:t>
      </w:r>
      <w:r>
        <w:t xml:space="preserve"> </w:t>
      </w:r>
      <w:r>
        <w:t xml:space="preserve">industry needs are met by templates and settings, not separate code.</w:t>
      </w:r>
    </w:p>
    <w:p>
      <w:pPr>
        <w:pStyle w:val="Heading1"/>
      </w:pPr>
      <w:r>
        <w:t xml:space="preserve">2. Users and Personas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663"/>
        <w:gridCol w:w="1540"/>
        <w:gridCol w:w="1939"/>
        <w:gridCol w:w="2304"/>
        <w:gridCol w:w="1616"/>
      </w:tblGrid>
      <w:tr>
        <w:trPr>
          <w:cantSplit w:val="true"/>
          <w:tblHeader w:val="true"/>
        </w:trPr>
        <w:tc>
          <w:tcPr>
            <w:tcW w:type="dxa" w:w="166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Persona</w:t>
            </w:r>
          </w:p>
        </w:tc>
        <w:tc>
          <w:tcPr>
            <w:tcW w:type="dxa" w:w="154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Role</w:t>
            </w:r>
          </w:p>
        </w:tc>
        <w:tc>
          <w:tcPr>
            <w:tcW w:type="dxa" w:w="194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Main goal</w:t>
            </w:r>
          </w:p>
        </w:tc>
        <w:tc>
          <w:tcPr>
            <w:tcW w:type="dxa" w:w="230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Top pain today</w:t>
            </w:r>
          </w:p>
        </w:tc>
        <w:tc>
          <w:tcPr>
            <w:tcW w:type="dxa" w:w="161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Key screens</w:t>
            </w:r>
          </w:p>
        </w:tc>
      </w:tr>
      <w:tr>
        <w:trPr>
          <w:cantSplit w:val="true"/>
        </w:trPr>
        <w:tc>
          <w:tcPr>
            <w:tcW w:type="dxa" w:w="1663"/>
            <w:tcMar>
              <w:top w:w="40" w:type="dxa"/>
              <w:bottom w:w="40" w:type="dxa"/>
            </w:tcMar>
          </w:tcPr>
          <w:p>
            <w:pPr>
              <w:pStyle w:val="Compact"/>
              <w:spacing w:line="252" w:lineRule="auto" w:after="20" w:before="20"/>
              <w:jc w:val="left"/>
            </w:pPr>
            <w:r>
              <w:rPr>
                <w:rFonts w:ascii="Times New Roman" w:hAnsi="Times New Roman"/>
                <w:b/>
                <w:bCs/>
                <w:sz w:val="19"/>
              </w:rPr>
              <w:t xml:space="preserve">Rohit</w:t>
            </w:r>
            <w:r>
              <w:rPr>
                <w:rFonts w:ascii="Times New Roman" w:hAnsi="Times New Roman"/>
                <w:sz w:val="19"/>
              </w:rPr>
              <w:t xml:space="preserve">, Broker MD</w:t>
            </w:r>
          </w:p>
        </w:tc>
        <w:tc>
          <w:tcPr>
            <w:tcW w:type="dxa" w:w="1541"/>
            <w:tcMar>
              <w:top w:w="40" w:type="dxa"/>
              <w:bottom w:w="40" w:type="dxa"/>
            </w:tcMar>
          </w:tcPr>
          <w:p>
            <w:pPr>
              <w:pStyle w:val="Compact"/>
              <w:spacing w:line="252" w:lineRule="auto" w:after="20" w:before="20"/>
              <w:jc w:val="left"/>
            </w:pPr>
            <w:r>
              <w:rPr>
                <w:rFonts w:ascii="Times New Roman" w:hAnsi="Times New Roman"/>
                <w:sz w:val="19"/>
              </w:rPr>
              <w:t xml:space="preserve">Economic buyer at a mid-size broker</w:t>
            </w:r>
          </w:p>
        </w:tc>
        <w:tc>
          <w:tcPr>
            <w:tcW w:type="dxa" w:w="1940"/>
            <w:tcMar>
              <w:top w:w="40" w:type="dxa"/>
              <w:bottom w:w="40" w:type="dxa"/>
            </w:tcMar>
          </w:tcPr>
          <w:p>
            <w:pPr>
              <w:pStyle w:val="Compact"/>
              <w:spacing w:line="252" w:lineRule="auto" w:after="20" w:before="20"/>
              <w:jc w:val="left"/>
            </w:pPr>
            <w:r>
              <w:rPr>
                <w:rFonts w:ascii="Times New Roman" w:hAnsi="Times New Roman"/>
                <w:sz w:val="19"/>
              </w:rPr>
              <w:t xml:space="preserve">Look as sharp as tech-first brokers; keep clients</w:t>
            </w:r>
          </w:p>
        </w:tc>
        <w:tc>
          <w:tcPr>
            <w:tcW w:type="dxa" w:w="2304"/>
            <w:tcMar>
              <w:top w:w="40" w:type="dxa"/>
              <w:bottom w:w="40" w:type="dxa"/>
            </w:tcMar>
          </w:tcPr>
          <w:p>
            <w:pPr>
              <w:pStyle w:val="Compact"/>
              <w:spacing w:line="252" w:lineRule="auto" w:after="20" w:before="20"/>
              <w:jc w:val="left"/>
            </w:pPr>
            <w:r>
              <w:rPr>
                <w:rFonts w:ascii="Times New Roman" w:hAnsi="Times New Roman"/>
                <w:sz w:val="19"/>
              </w:rPr>
              <w:t xml:space="preserve">Losing clients to Plum/Pazcare-type brokers</w:t>
            </w:r>
          </w:p>
        </w:tc>
        <w:tc>
          <w:tcPr>
            <w:tcW w:type="dxa" w:w="1616"/>
            <w:tcMar>
              <w:top w:w="40" w:type="dxa"/>
              <w:bottom w:w="40" w:type="dxa"/>
            </w:tcMar>
          </w:tcPr>
          <w:p>
            <w:pPr>
              <w:pStyle w:val="Compact"/>
              <w:spacing w:line="252" w:lineRule="auto" w:after="20" w:before="20"/>
              <w:jc w:val="left"/>
            </w:pPr>
            <w:r>
              <w:rPr>
                <w:rFonts w:ascii="Times New Roman" w:hAnsi="Times New Roman"/>
                <w:sz w:val="19"/>
              </w:rPr>
              <w:t xml:space="preserve">Portfolio home, GTM-style reports</w:t>
            </w:r>
          </w:p>
        </w:tc>
      </w:tr>
      <w:tr>
        <w:trPr>
          <w:cantSplit w:val="true"/>
        </w:trPr>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b/>
                <w:bCs/>
                <w:sz w:val="19"/>
              </w:rPr>
              <w:t xml:space="preserve">Meera</w:t>
            </w:r>
            <w:r>
              <w:rPr>
                <w:rFonts w:ascii="Times New Roman" w:hAnsi="Times New Roman"/>
                <w:sz w:val="19"/>
              </w:rPr>
              <w:t xml:space="preserve">, Account manager</w:t>
            </w:r>
          </w:p>
        </w:tc>
        <w:tc>
          <w:tcPr>
            <w:tcW w:type="dxa" w:w="154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Daily user at the broker</w:t>
            </w:r>
          </w:p>
        </w:tc>
        <w:tc>
          <w:tcPr>
            <w:tcW w:type="dxa" w:w="19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Renewal pack in hours, not weeks</w:t>
            </w:r>
          </w:p>
        </w:tc>
        <w:tc>
          <w:tcPr>
            <w:tcW w:type="dxa" w:w="230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Re-typing quotes; no peer data</w:t>
            </w:r>
          </w:p>
        </w:tc>
        <w:tc>
          <w:tcPr>
            <w:tcW w:type="dxa" w:w="161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Cockpit, Quote Desk, Simulation Lab</w:t>
            </w:r>
          </w:p>
        </w:tc>
      </w:tr>
      <w:tr>
        <w:trPr>
          <w:cantSplit w:val="true"/>
        </w:trPr>
        <w:tc>
          <w:tcPr>
            <w:tcW w:type="dxa" w:w="1663"/>
            <w:tcMar>
              <w:top w:w="40" w:type="dxa"/>
              <w:bottom w:w="40" w:type="dxa"/>
            </w:tcMar>
          </w:tcPr>
          <w:p>
            <w:pPr>
              <w:pStyle w:val="Compact"/>
              <w:spacing w:line="252" w:lineRule="auto" w:after="20" w:before="20"/>
              <w:jc w:val="left"/>
            </w:pPr>
            <w:r>
              <w:rPr>
                <w:rFonts w:ascii="Times New Roman" w:hAnsi="Times New Roman"/>
                <w:b/>
                <w:bCs/>
                <w:sz w:val="19"/>
              </w:rPr>
              <w:t xml:space="preserve">Anita</w:t>
            </w:r>
            <w:r>
              <w:rPr>
                <w:rFonts w:ascii="Times New Roman" w:hAnsi="Times New Roman"/>
                <w:sz w:val="19"/>
              </w:rPr>
              <w:t xml:space="preserve">, CHRO / Total Rewards</w:t>
            </w:r>
          </w:p>
        </w:tc>
        <w:tc>
          <w:tcPr>
            <w:tcW w:type="dxa" w:w="1541"/>
            <w:tcMar>
              <w:top w:w="40" w:type="dxa"/>
              <w:bottom w:w="40" w:type="dxa"/>
            </w:tcMar>
          </w:tcPr>
          <w:p>
            <w:pPr>
              <w:pStyle w:val="Compact"/>
              <w:spacing w:line="252" w:lineRule="auto" w:after="20" w:before="20"/>
              <w:jc w:val="left"/>
            </w:pPr>
            <w:r>
              <w:rPr>
                <w:rFonts w:ascii="Times New Roman" w:hAnsi="Times New Roman"/>
                <w:sz w:val="19"/>
              </w:rPr>
              <w:t xml:space="preserve">Employer decision maker</w:t>
            </w:r>
          </w:p>
        </w:tc>
        <w:tc>
          <w:tcPr>
            <w:tcW w:type="dxa" w:w="1940"/>
            <w:tcMar>
              <w:top w:w="40" w:type="dxa"/>
              <w:bottom w:w="40" w:type="dxa"/>
            </w:tcMar>
          </w:tcPr>
          <w:p>
            <w:pPr>
              <w:pStyle w:val="Compact"/>
              <w:spacing w:line="252" w:lineRule="auto" w:after="20" w:before="20"/>
              <w:jc w:val="left"/>
            </w:pPr>
            <w:r>
              <w:rPr>
                <w:rFonts w:ascii="Times New Roman" w:hAnsi="Times New Roman"/>
                <w:sz w:val="19"/>
              </w:rPr>
              <w:t xml:space="preserve">Prove benefits are competitive; control premium</w:t>
            </w:r>
          </w:p>
        </w:tc>
        <w:tc>
          <w:tcPr>
            <w:tcW w:type="dxa" w:w="2304"/>
            <w:tcMar>
              <w:top w:w="40" w:type="dxa"/>
              <w:bottom w:w="40" w:type="dxa"/>
            </w:tcMar>
          </w:tcPr>
          <w:p>
            <w:pPr>
              <w:pStyle w:val="Compact"/>
              <w:spacing w:line="252" w:lineRule="auto" w:after="20" w:before="20"/>
              <w:jc w:val="left"/>
            </w:pPr>
            <w:r>
              <w:rPr>
                <w:rFonts w:ascii="Times New Roman" w:hAnsi="Times New Roman"/>
                <w:sz w:val="19"/>
              </w:rPr>
              <w:t xml:space="preserve">Renewal surprises; spreadsheets</w:t>
            </w:r>
          </w:p>
        </w:tc>
        <w:tc>
          <w:tcPr>
            <w:tcW w:type="dxa" w:w="1616"/>
            <w:tcMar>
              <w:top w:w="40" w:type="dxa"/>
              <w:bottom w:w="40" w:type="dxa"/>
            </w:tcMar>
          </w:tcPr>
          <w:p>
            <w:pPr>
              <w:pStyle w:val="Compact"/>
              <w:spacing w:line="252" w:lineRule="auto" w:after="20" w:before="20"/>
              <w:jc w:val="left"/>
            </w:pPr>
            <w:r>
              <w:rPr>
                <w:rFonts w:ascii="Times New Roman" w:hAnsi="Times New Roman"/>
                <w:sz w:val="19"/>
              </w:rPr>
              <w:t xml:space="preserve">HR benchmark snapshot, forecast</w:t>
            </w:r>
          </w:p>
        </w:tc>
      </w:tr>
      <w:tr>
        <w:trPr>
          <w:cantSplit w:val="true"/>
        </w:trPr>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b/>
                <w:bCs/>
                <w:sz w:val="19"/>
              </w:rPr>
              <w:t xml:space="preserve">Vikram</w:t>
            </w:r>
            <w:r>
              <w:rPr>
                <w:rFonts w:ascii="Times New Roman" w:hAnsi="Times New Roman"/>
                <w:sz w:val="19"/>
              </w:rPr>
              <w:t xml:space="preserve">, CFO</w:t>
            </w:r>
          </w:p>
        </w:tc>
        <w:tc>
          <w:tcPr>
            <w:tcW w:type="dxa" w:w="154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Employer economic influencer</w:t>
            </w:r>
          </w:p>
        </w:tc>
        <w:tc>
          <w:tcPr>
            <w:tcW w:type="dxa" w:w="19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Predictable benefits cost</w:t>
            </w:r>
          </w:p>
        </w:tc>
        <w:tc>
          <w:tcPr>
            <w:tcW w:type="dxa" w:w="230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No forward view of renewal</w:t>
            </w:r>
          </w:p>
        </w:tc>
        <w:tc>
          <w:tcPr>
            <w:tcW w:type="dxa" w:w="161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Forecast, scenario summary</w:t>
            </w:r>
          </w:p>
        </w:tc>
      </w:tr>
      <w:tr>
        <w:trPr>
          <w:cantSplit w:val="true"/>
        </w:trPr>
        <w:tc>
          <w:tcPr>
            <w:tcW w:type="dxa" w:w="1663"/>
            <w:tcMar>
              <w:top w:w="40" w:type="dxa"/>
              <w:bottom w:w="40" w:type="dxa"/>
            </w:tcMar>
          </w:tcPr>
          <w:p>
            <w:pPr>
              <w:pStyle w:val="Compact"/>
              <w:spacing w:line="252" w:lineRule="auto" w:after="20" w:before="20"/>
              <w:jc w:val="left"/>
            </w:pPr>
            <w:r>
              <w:rPr>
                <w:rFonts w:ascii="Times New Roman" w:hAnsi="Times New Roman"/>
                <w:b/>
                <w:bCs/>
                <w:sz w:val="19"/>
              </w:rPr>
              <w:t xml:space="preserve">Priya</w:t>
            </w:r>
            <w:r>
              <w:rPr>
                <w:rFonts w:ascii="Times New Roman" w:hAnsi="Times New Roman"/>
                <w:sz w:val="19"/>
              </w:rPr>
              <w:t xml:space="preserve">, Employee</w:t>
            </w:r>
          </w:p>
        </w:tc>
        <w:tc>
          <w:tcPr>
            <w:tcW w:type="dxa" w:w="1541"/>
            <w:tcMar>
              <w:top w:w="40" w:type="dxa"/>
              <w:bottom w:w="40" w:type="dxa"/>
            </w:tcMar>
          </w:tcPr>
          <w:p>
            <w:pPr>
              <w:pStyle w:val="Compact"/>
              <w:spacing w:line="252" w:lineRule="auto" w:after="20" w:before="20"/>
              <w:jc w:val="left"/>
            </w:pPr>
            <w:r>
              <w:rPr>
                <w:rFonts w:ascii="Times New Roman" w:hAnsi="Times New Roman"/>
                <w:sz w:val="19"/>
              </w:rPr>
              <w:t xml:space="preserve">End user</w:t>
            </w:r>
          </w:p>
        </w:tc>
        <w:tc>
          <w:tcPr>
            <w:tcW w:type="dxa" w:w="1940"/>
            <w:tcMar>
              <w:top w:w="40" w:type="dxa"/>
              <w:bottom w:w="40" w:type="dxa"/>
            </w:tcMar>
          </w:tcPr>
          <w:p>
            <w:pPr>
              <w:pStyle w:val="Compact"/>
              <w:spacing w:line="252" w:lineRule="auto" w:after="20" w:before="20"/>
              <w:jc w:val="left"/>
            </w:pPr>
            <w:r>
              <w:rPr>
                <w:rFonts w:ascii="Times New Roman" w:hAnsi="Times New Roman"/>
                <w:sz w:val="19"/>
              </w:rPr>
              <w:t xml:space="preserve">Understand and use benefits easily</w:t>
            </w:r>
          </w:p>
        </w:tc>
        <w:tc>
          <w:tcPr>
            <w:tcW w:type="dxa" w:w="2304"/>
            <w:tcMar>
              <w:top w:w="40" w:type="dxa"/>
              <w:bottom w:w="40" w:type="dxa"/>
            </w:tcMar>
          </w:tcPr>
          <w:p>
            <w:pPr>
              <w:pStyle w:val="Compact"/>
              <w:spacing w:line="252" w:lineRule="auto" w:after="20" w:before="20"/>
              <w:jc w:val="left"/>
            </w:pPr>
            <w:r>
              <w:rPr>
                <w:rFonts w:ascii="Times New Roman" w:hAnsi="Times New Roman"/>
                <w:sz w:val="19"/>
              </w:rPr>
              <w:t xml:space="preserve">Forgets benefits; portal fatigue</w:t>
            </w:r>
          </w:p>
        </w:tc>
        <w:tc>
          <w:tcPr>
            <w:tcW w:type="dxa" w:w="1616"/>
            <w:tcMar>
              <w:top w:w="40" w:type="dxa"/>
              <w:bottom w:w="40" w:type="dxa"/>
            </w:tcMar>
          </w:tcPr>
          <w:p>
            <w:pPr>
              <w:pStyle w:val="Compact"/>
              <w:spacing w:line="252" w:lineRule="auto" w:after="20" w:before="20"/>
              <w:jc w:val="left"/>
            </w:pPr>
            <w:r>
              <w:rPr>
                <w:rFonts w:ascii="Times New Roman" w:hAnsi="Times New Roman"/>
                <w:sz w:val="19"/>
              </w:rPr>
              <w:t xml:space="preserve">Zero-login nudges, deep links</w:t>
            </w:r>
          </w:p>
        </w:tc>
      </w:tr>
      <w:tr>
        <w:trPr>
          <w:cantSplit w:val="true"/>
        </w:trPr>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b/>
                <w:bCs/>
                <w:sz w:val="19"/>
              </w:rPr>
              <w:t xml:space="preserve">TPA coordinator</w:t>
            </w:r>
          </w:p>
        </w:tc>
        <w:tc>
          <w:tcPr>
            <w:tcW w:type="dxa" w:w="154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Vendor user</w:t>
            </w:r>
          </w:p>
        </w:tc>
        <w:tc>
          <w:tcPr>
            <w:tcW w:type="dxa" w:w="19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Meet SLAs, close tickets</w:t>
            </w:r>
          </w:p>
        </w:tc>
        <w:tc>
          <w:tcPr>
            <w:tcW w:type="dxa" w:w="230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Scattered requests</w:t>
            </w:r>
          </w:p>
        </w:tc>
        <w:tc>
          <w:tcPr>
            <w:tcW w:type="dxa" w:w="161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Vendor portal</w:t>
            </w:r>
          </w:p>
        </w:tc>
      </w:tr>
      <w:tr>
        <w:trPr>
          <w:cantSplit w:val="true"/>
        </w:trPr>
        <w:tc>
          <w:tcPr>
            <w:tcW w:type="dxa" w:w="1663"/>
            <w:tcMar>
              <w:top w:w="40" w:type="dxa"/>
              <w:bottom w:w="40" w:type="dxa"/>
            </w:tcMar>
          </w:tcPr>
          <w:p>
            <w:pPr>
              <w:pStyle w:val="Compact"/>
              <w:spacing w:line="252" w:lineRule="auto" w:after="20" w:before="20"/>
              <w:jc w:val="left"/>
            </w:pPr>
            <w:r>
              <w:rPr>
                <w:rFonts w:ascii="Times New Roman" w:hAnsi="Times New Roman"/>
                <w:b/>
                <w:bCs/>
                <w:sz w:val="19"/>
              </w:rPr>
              <w:t xml:space="preserve">NivoTime leadership</w:t>
            </w:r>
          </w:p>
        </w:tc>
        <w:tc>
          <w:tcPr>
            <w:tcW w:type="dxa" w:w="1541"/>
            <w:tcMar>
              <w:top w:w="40" w:type="dxa"/>
              <w:bottom w:w="40" w:type="dxa"/>
            </w:tcMar>
          </w:tcPr>
          <w:p>
            <w:pPr>
              <w:pStyle w:val="Compact"/>
              <w:spacing w:line="252" w:lineRule="auto" w:after="20" w:before="20"/>
              <w:jc w:val="left"/>
            </w:pPr>
            <w:r>
              <w:rPr>
                <w:rFonts w:ascii="Times New Roman" w:hAnsi="Times New Roman"/>
                <w:sz w:val="19"/>
              </w:rPr>
              <w:t xml:space="preserve">Internal</w:t>
            </w:r>
          </w:p>
        </w:tc>
        <w:tc>
          <w:tcPr>
            <w:tcW w:type="dxa" w:w="1940"/>
            <w:tcMar>
              <w:top w:w="40" w:type="dxa"/>
              <w:bottom w:w="40" w:type="dxa"/>
            </w:tcMar>
          </w:tcPr>
          <w:p>
            <w:pPr>
              <w:pStyle w:val="Compact"/>
              <w:spacing w:line="252" w:lineRule="auto" w:after="20" w:before="20"/>
              <w:jc w:val="left"/>
            </w:pPr>
            <w:r>
              <w:rPr>
                <w:rFonts w:ascii="Times New Roman" w:hAnsi="Times New Roman"/>
                <w:sz w:val="19"/>
              </w:rPr>
              <w:t xml:space="preserve">Know if the strategy is working</w:t>
            </w:r>
          </w:p>
        </w:tc>
        <w:tc>
          <w:tcPr>
            <w:tcW w:type="dxa" w:w="2304"/>
            <w:tcMar>
              <w:top w:w="40" w:type="dxa"/>
              <w:bottom w:w="40" w:type="dxa"/>
            </w:tcMar>
          </w:tcPr>
          <w:p>
            <w:pPr>
              <w:pStyle w:val="Compact"/>
              <w:spacing w:line="252" w:lineRule="auto" w:after="20" w:before="20"/>
              <w:jc w:val="left"/>
            </w:pPr>
            <w:r>
              <w:rPr>
                <w:rFonts w:ascii="Times New Roman" w:hAnsi="Times New Roman"/>
                <w:sz w:val="19"/>
              </w:rPr>
              <w:t xml:space="preserve">No pipeline or segment view</w:t>
            </w:r>
          </w:p>
        </w:tc>
        <w:tc>
          <w:tcPr>
            <w:tcW w:type="dxa" w:w="1616"/>
            <w:tcMar>
              <w:top w:w="40" w:type="dxa"/>
              <w:bottom w:w="40" w:type="dxa"/>
            </w:tcMar>
          </w:tcPr>
          <w:p>
            <w:pPr>
              <w:pStyle w:val="Compact"/>
              <w:spacing w:line="252" w:lineRule="auto" w:after="20" w:before="20"/>
              <w:jc w:val="left"/>
            </w:pPr>
            <w:r>
              <w:rPr>
                <w:rFonts w:ascii="Times New Roman" w:hAnsi="Times New Roman"/>
                <w:sz w:val="19"/>
              </w:rPr>
              <w:t xml:space="preserve">GTM Command Centre, business simulator</w:t>
            </w:r>
          </w:p>
        </w:tc>
      </w:tr>
      <w:tr>
        <w:trPr>
          <w:cantSplit w:val="true"/>
        </w:trPr>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b/>
                <w:bCs/>
                <w:sz w:val="19"/>
              </w:rPr>
              <w:t xml:space="preserve">NivoTime admin / analyst</w:t>
            </w:r>
          </w:p>
        </w:tc>
        <w:tc>
          <w:tcPr>
            <w:tcW w:type="dxa" w:w="154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Internal</w:t>
            </w:r>
          </w:p>
        </w:tc>
        <w:tc>
          <w:tcPr>
            <w:tcW w:type="dxa" w:w="19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Clean data, healthy models</w:t>
            </w:r>
          </w:p>
        </w:tc>
        <w:tc>
          <w:tcPr>
            <w:tcW w:type="dxa" w:w="230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Messy files; no monitoring</w:t>
            </w:r>
          </w:p>
        </w:tc>
        <w:tc>
          <w:tcPr>
            <w:tcW w:type="dxa" w:w="161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Admin &amp; model monitoring</w:t>
            </w:r>
          </w:p>
        </w:tc>
      </w:tr>
    </w:tbl>
    <w:p>
      <w:pPr>
        <w:pStyle w:val="BodyText"/>
        <w:keepNext/>
        <w:spacing w:before="160"/>
      </w:pPr>
      <w:r>
        <w:rPr>
          <w:b/>
          <w:bCs/>
        </w:rPr>
        <w:t xml:space="preserve">Roles and permissions (summary)</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908"/>
        <w:gridCol w:w="1173"/>
        <w:gridCol w:w="1296"/>
        <w:gridCol w:w="1418"/>
        <w:gridCol w:w="1296"/>
        <w:gridCol w:w="1051"/>
        <w:gridCol w:w="1785"/>
      </w:tblGrid>
      <w:tr>
        <w:trPr>
          <w:cantSplit w:val="true"/>
          <w:tblHeader w:val="true"/>
        </w:trPr>
        <w:tc>
          <w:tcPr>
            <w:tcW w:type="dxa" w:w="190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Capability</w:t>
            </w:r>
          </w:p>
        </w:tc>
        <w:tc>
          <w:tcPr>
            <w:tcW w:type="dxa" w:w="117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Broker MD</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Account manager</w:t>
            </w:r>
          </w:p>
        </w:tc>
        <w:tc>
          <w:tcPr>
            <w:tcW w:type="dxa" w:w="141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HR / CFO</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Employee</w:t>
            </w:r>
          </w:p>
        </w:tc>
        <w:tc>
          <w:tcPr>
            <w:tcW w:type="dxa" w:w="10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Vendor</w:t>
            </w:r>
          </w:p>
        </w:tc>
        <w:tc>
          <w:tcPr>
            <w:tcW w:type="dxa" w:w="178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NivoTime admin</w:t>
            </w:r>
          </w:p>
        </w:tc>
      </w:tr>
      <w:tr>
        <w:trPr>
          <w:cantSplit w:val="true"/>
        </w:trPr>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View client benchmarks</w:t>
            </w:r>
          </w:p>
        </w:tc>
        <w:tc>
          <w:tcPr>
            <w:tcW w:type="dxa" w:w="1174"/>
            <w:tcMar>
              <w:top w:w="40" w:type="dxa"/>
              <w:bottom w:w="40" w:type="dxa"/>
            </w:tcMar>
          </w:tcPr>
          <w:p>
            <w:pPr>
              <w:pStyle w:val="Compact"/>
              <w:spacing w:line="252" w:lineRule="auto" w:after="20" w:before="20"/>
              <w:jc w:val="left"/>
            </w:pPr>
            <w:r>
              <w:rPr>
                <w:rFonts w:ascii="Times New Roman" w:hAnsi="Times New Roman"/>
                <w:sz w:val="19"/>
              </w:rPr>
              <w:t xml:space="preserve">All clients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Assigned clients</w:t>
            </w:r>
          </w:p>
        </w:tc>
        <w:tc>
          <w:tcPr>
            <w:tcW w:type="dxa" w:w="1418"/>
            <w:tcMar>
              <w:top w:w="40" w:type="dxa"/>
              <w:bottom w:w="40" w:type="dxa"/>
            </w:tcMar>
          </w:tcPr>
          <w:p>
            <w:pPr>
              <w:pStyle w:val="Compact"/>
              <w:spacing w:line="252" w:lineRule="auto" w:after="20" w:before="20"/>
              <w:jc w:val="left"/>
            </w:pPr>
            <w:r>
              <w:rPr>
                <w:rFonts w:ascii="Times New Roman" w:hAnsi="Times New Roman"/>
                <w:sz w:val="19"/>
              </w:rPr>
              <w:t xml:space="preserve">Own company</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Anonymised only</w:t>
            </w:r>
          </w:p>
        </w:tc>
      </w:tr>
      <w:tr>
        <w:trPr>
          <w:cantSplit w:val="true"/>
        </w:trPr>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Upload quotes and data</w:t>
            </w:r>
          </w:p>
        </w:tc>
        <w:tc>
          <w:tcPr>
            <w:tcW w:type="dxa" w:w="117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Yes</w:t>
            </w:r>
          </w:p>
        </w:tc>
        <w:tc>
          <w:tcPr>
            <w:tcW w:type="dxa" w:w="141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Census only</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SLA data</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Yes</w:t>
            </w:r>
          </w:p>
        </w:tc>
      </w:tr>
      <w:tr>
        <w:trPr>
          <w:cantSplit w:val="true"/>
        </w:trPr>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Run simulations</w:t>
            </w:r>
          </w:p>
        </w:tc>
        <w:tc>
          <w:tcPr>
            <w:tcW w:type="dxa" w:w="1174"/>
            <w:tcMar>
              <w:top w:w="40" w:type="dxa"/>
              <w:bottom w:w="40" w:type="dxa"/>
            </w:tcMar>
          </w:tcPr>
          <w:p>
            <w:pPr>
              <w:pStyle w:val="Compact"/>
              <w:spacing w:line="252" w:lineRule="auto" w:after="20" w:before="20"/>
              <w:jc w:val="left"/>
            </w:pPr>
            <w:r>
              <w:rPr>
                <w:rFonts w:ascii="Times New Roman" w:hAnsi="Times New Roman"/>
                <w:sz w:val="19"/>
              </w:rPr>
              <w:t xml:space="preserve">Yes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Yes</w:t>
            </w:r>
          </w:p>
        </w:tc>
        <w:tc>
          <w:tcPr>
            <w:tcW w:type="dxa" w:w="1418"/>
            <w:tcMar>
              <w:top w:w="40" w:type="dxa"/>
              <w:bottom w:w="40" w:type="dxa"/>
            </w:tcMar>
          </w:tcPr>
          <w:p>
            <w:pPr>
              <w:pStyle w:val="Compact"/>
              <w:spacing w:line="252" w:lineRule="auto" w:after="20" w:before="20"/>
              <w:jc w:val="left"/>
            </w:pPr>
            <w:r>
              <w:rPr>
                <w:rFonts w:ascii="Times New Roman" w:hAnsi="Times New Roman"/>
                <w:sz w:val="19"/>
              </w:rPr>
              <w:t xml:space="preserve">View shared scenarios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Yes</w:t>
            </w:r>
          </w:p>
        </w:tc>
      </w:tr>
      <w:tr>
        <w:trPr>
          <w:cantSplit w:val="true"/>
        </w:trPr>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Approve client-facing pack</w:t>
            </w:r>
          </w:p>
        </w:tc>
        <w:tc>
          <w:tcPr>
            <w:tcW w:type="dxa" w:w="117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Yes</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Draft only</w:t>
            </w:r>
          </w:p>
        </w:tc>
        <w:tc>
          <w:tcPr>
            <w:tcW w:type="dxa" w:w="141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Approve decision</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r>
      <w:tr>
        <w:trPr>
          <w:cantSplit w:val="true"/>
        </w:trPr>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See individual employee data</w:t>
            </w:r>
          </w:p>
        </w:tc>
        <w:tc>
          <w:tcPr>
            <w:tcW w:type="dxa" w:w="1174"/>
            <w:tcMar>
              <w:top w:w="40" w:type="dxa"/>
              <w:bottom w:w="40" w:type="dxa"/>
            </w:tcMar>
          </w:tcPr>
          <w:p>
            <w:pPr>
              <w:pStyle w:val="Compact"/>
              <w:spacing w:line="252" w:lineRule="auto" w:after="20" w:before="20"/>
              <w:jc w:val="left"/>
            </w:pPr>
            <w:r>
              <w:rPr>
                <w:rFonts w:ascii="Times New Roman" w:hAnsi="Times New Roman"/>
                <w:sz w:val="19"/>
              </w:rPr>
              <w:t xml:space="preserve">No</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Limited (renewal tasks)</w:t>
            </w:r>
          </w:p>
        </w:tc>
        <w:tc>
          <w:tcPr>
            <w:tcW w:type="dxa" w:w="1418"/>
            <w:tcMar>
              <w:top w:w="40" w:type="dxa"/>
              <w:bottom w:w="40" w:type="dxa"/>
            </w:tcMar>
          </w:tcPr>
          <w:p>
            <w:pPr>
              <w:pStyle w:val="Compact"/>
              <w:spacing w:line="252" w:lineRule="auto" w:after="20" w:before="20"/>
              <w:jc w:val="left"/>
            </w:pPr>
            <w:r>
              <w:rPr>
                <w:rFonts w:ascii="Times New Roman" w:hAnsi="Times New Roman"/>
                <w:sz w:val="19"/>
              </w:rPr>
              <w:t xml:space="preserve">Own employees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Own record</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Claim status only</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No (anonymised)</w:t>
            </w:r>
          </w:p>
        </w:tc>
      </w:tr>
      <w:tr>
        <w:trPr>
          <w:cantSplit w:val="true"/>
        </w:trPr>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GTM and business dashboards</w:t>
            </w:r>
          </w:p>
        </w:tc>
        <w:tc>
          <w:tcPr>
            <w:tcW w:type="dxa" w:w="117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41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Yes</w:t>
            </w:r>
          </w:p>
        </w:tc>
      </w:tr>
    </w:tbl>
    <w:p>
      <w:pPr>
        <w:pStyle w:val="Heading1"/>
        <w:spacing w:before="160"/>
      </w:pPr>
      <w:r>
        <w:t xml:space="preserve">3. Product Overview</w:t>
      </w:r>
    </w:p>
    <w:p>
      <w:pPr>
        <w:pStyle w:val="Heading2"/>
      </w:pPr>
      <w:r>
        <w:t xml:space="preserve">3.1 Architecture</w:t>
      </w:r>
    </w:p>
    <w:p>
      <w:pPr>
        <w:pStyle w:val="CaptionedFigure"/>
      </w:pPr>
      <w:r>
        <w:drawing>
          <wp:inline>
            <wp:extent cx="5733288" cy="4232697"/>
            <wp:effectExtent b="0" l="0" r="0" t="0"/>
            <wp:docPr descr="Proposed architecture of the Benefits Intelligence Suite (from the report)" title="" id="21" name="Picture"/>
            <a:graphic>
              <a:graphicData uri="http://schemas.openxmlformats.org/drawingml/2006/picture">
                <pic:pic>
                  <pic:nvPicPr>
                    <pic:cNvPr descr="fig/f3_architecture.png" id="22" name="Picture"/>
                    <pic:cNvPicPr>
                      <a:picLocks noChangeArrowheads="1" noChangeAspect="1"/>
                    </pic:cNvPicPr>
                  </pic:nvPicPr>
                  <pic:blipFill>
                    <a:blip r:embed="rId20"/>
                    <a:stretch>
                      <a:fillRect/>
                    </a:stretch>
                  </pic:blipFill>
                  <pic:spPr bwMode="auto">
                    <a:xfrm>
                      <a:off x="0" y="0"/>
                      <a:ext cx="5733288" cy="4232697"/>
                    </a:xfrm>
                    <a:prstGeom prst="rect">
                      <a:avLst/>
                    </a:prstGeom>
                    <a:noFill/>
                    <a:ln w="9525">
                      <a:noFill/>
                      <a:headEnd/>
                      <a:tailEnd/>
                    </a:ln>
                  </pic:spPr>
                </pic:pic>
              </a:graphicData>
            </a:graphic>
          </wp:inline>
        </w:drawing>
      </w:r>
    </w:p>
    <w:p>
      <w:pPr>
        <w:pStyle w:val="ImageCaption"/>
      </w:pPr>
      <w:r>
        <w:t xml:space="preserve">Proposed architecture of the Benefits Intelligence Suite (from the report)</w:t>
      </w:r>
    </w:p>
    <w:p>
      <w:pPr>
        <w:pStyle w:val="Heading2"/>
      </w:pPr>
      <w:r>
        <w:t xml:space="preserve">3.2 Information architecture</w:t>
      </w:r>
    </w:p>
    <w:p>
      <w:pPr>
        <w:pStyle w:val="CaptionedFigure"/>
      </w:pPr>
      <w:r>
        <w:drawing>
          <wp:inline>
            <wp:extent cx="5733288" cy="3305311"/>
            <wp:effectExtent b="0" l="0" r="0" t="0"/>
            <wp:docPr descr="Sitemap of the prototype" title="" id="24" name="Picture"/>
            <a:graphic>
              <a:graphicData uri="http://schemas.openxmlformats.org/drawingml/2006/picture">
                <pic:pic>
                  <pic:nvPicPr>
                    <pic:cNvPr descr="fig/d1_sitemap.png" id="25" name="Picture"/>
                    <pic:cNvPicPr>
                      <a:picLocks noChangeArrowheads="1" noChangeAspect="1"/>
                    </pic:cNvPicPr>
                  </pic:nvPicPr>
                  <pic:blipFill>
                    <a:blip r:embed="rId23"/>
                    <a:stretch>
                      <a:fillRect/>
                    </a:stretch>
                  </pic:blipFill>
                  <pic:spPr bwMode="auto">
                    <a:xfrm>
                      <a:off x="0" y="0"/>
                      <a:ext cx="5733288" cy="3305311"/>
                    </a:xfrm>
                    <a:prstGeom prst="rect">
                      <a:avLst/>
                    </a:prstGeom>
                    <a:noFill/>
                    <a:ln w="9525">
                      <a:noFill/>
                      <a:headEnd/>
                      <a:tailEnd/>
                    </a:ln>
                  </pic:spPr>
                </pic:pic>
              </a:graphicData>
            </a:graphic>
          </wp:inline>
        </w:drawing>
      </w:r>
    </w:p>
    <w:p>
      <w:pPr>
        <w:pStyle w:val="ImageCaption"/>
      </w:pPr>
      <w:r>
        <w:t xml:space="preserve">Sitemap of the prototype</w:t>
      </w:r>
    </w:p>
    <w:p>
      <w:pPr>
        <w:pStyle w:val="Heading2"/>
      </w:pPr>
      <w:r>
        <w:t xml:space="preserve">3.3 Screen inventory</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684"/>
        <w:gridCol w:w="2990"/>
        <w:gridCol w:w="2256"/>
        <w:gridCol w:w="1801"/>
        <w:gridCol w:w="1296"/>
      </w:tblGrid>
      <w:tr>
        <w:trPr>
          <w:cantSplit w:val="true"/>
          <w:tblHeader w:val="true"/>
        </w:trPr>
        <w:tc>
          <w:tcPr>
            <w:tcW w:type="dxa" w:w="68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w:t>
            </w:r>
          </w:p>
        </w:tc>
        <w:tc>
          <w:tcPr>
            <w:tcW w:type="dxa" w:w="299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Screen</w:t>
            </w:r>
          </w:p>
        </w:tc>
        <w:tc>
          <w:tcPr>
            <w:tcW w:type="dxa" w:w="225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Users</w:t>
            </w:r>
          </w:p>
        </w:tc>
        <w:tc>
          <w:tcPr>
            <w:tcW w:type="dxa" w:w="180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Module</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r>
      <w:tr>
        <w:trPr>
          <w:cantSplit w:val="true"/>
        </w:trPr>
        <w:tc>
          <w:tcPr>
            <w:tcW w:type="dxa" w:w="684"/>
            <w:tcMar>
              <w:top w:w="40" w:type="dxa"/>
              <w:bottom w:w="40" w:type="dxa"/>
            </w:tcMar>
          </w:tcPr>
          <w:p>
            <w:pPr>
              <w:pStyle w:val="Compact"/>
              <w:spacing w:line="252" w:lineRule="auto" w:after="20" w:before="20"/>
              <w:jc w:val="left"/>
            </w:pPr>
            <w:r>
              <w:rPr>
                <w:rFonts w:ascii="Times New Roman" w:hAnsi="Times New Roman"/>
                <w:sz w:val="19"/>
              </w:rPr>
              <w:t xml:space="preserve">S1</w:t>
            </w:r>
          </w:p>
        </w:tc>
        <w:tc>
          <w:tcPr>
            <w:tcW w:type="dxa" w:w="2990"/>
            <w:tcMar>
              <w:top w:w="40" w:type="dxa"/>
              <w:bottom w:w="40" w:type="dxa"/>
            </w:tcMar>
          </w:tcPr>
          <w:p>
            <w:pPr>
              <w:pStyle w:val="Compact"/>
              <w:spacing w:line="252" w:lineRule="auto" w:after="20" w:before="20"/>
              <w:jc w:val="left"/>
            </w:pPr>
            <w:r>
              <w:rPr>
                <w:rFonts w:ascii="Times New Roman" w:hAnsi="Times New Roman"/>
                <w:sz w:val="19"/>
              </w:rPr>
              <w:t xml:space="preserve">Portfolio Home</w:t>
            </w:r>
          </w:p>
        </w:tc>
        <w:tc>
          <w:tcPr>
            <w:tcW w:type="dxa" w:w="2257"/>
            <w:tcMar>
              <w:top w:w="40" w:type="dxa"/>
              <w:bottom w:w="40" w:type="dxa"/>
            </w:tcMar>
          </w:tcPr>
          <w:p>
            <w:pPr>
              <w:pStyle w:val="Compact"/>
              <w:spacing w:line="252" w:lineRule="auto" w:after="20" w:before="20"/>
              <w:jc w:val="left"/>
            </w:pPr>
            <w:r>
              <w:rPr>
                <w:rFonts w:ascii="Times New Roman" w:hAnsi="Times New Roman"/>
                <w:sz w:val="19"/>
              </w:rPr>
              <w:t xml:space="preserve">Broker MD, account manager</w:t>
            </w:r>
          </w:p>
        </w:tc>
        <w:tc>
          <w:tcPr>
            <w:tcW w:type="dxa" w:w="1802"/>
            <w:tcMar>
              <w:top w:w="40" w:type="dxa"/>
              <w:bottom w:w="40" w:type="dxa"/>
            </w:tcMar>
          </w:tcPr>
          <w:p>
            <w:pPr>
              <w:pStyle w:val="Compact"/>
              <w:spacing w:line="252" w:lineRule="auto" w:after="20" w:before="20"/>
              <w:jc w:val="left"/>
            </w:pPr>
            <w:r>
              <w:rPr>
                <w:rFonts w:ascii="Times New Roman" w:hAnsi="Times New Roman"/>
                <w:sz w:val="19"/>
              </w:rPr>
              <w:t xml:space="preserve">Broker Workspace</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68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S2</w:t>
            </w:r>
          </w:p>
        </w:tc>
        <w:tc>
          <w:tcPr>
            <w:tcW w:type="dxa" w:w="299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Benefits Benchmarking Cockpit</w:t>
            </w:r>
          </w:p>
        </w:tc>
        <w:tc>
          <w:tcPr>
            <w:tcW w:type="dxa" w:w="225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Broker, HR, CFO</w:t>
            </w:r>
          </w:p>
        </w:tc>
        <w:tc>
          <w:tcPr>
            <w:tcW w:type="dxa" w:w="180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M1</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684"/>
            <w:tcMar>
              <w:top w:w="40" w:type="dxa"/>
              <w:bottom w:w="40" w:type="dxa"/>
            </w:tcMar>
          </w:tcPr>
          <w:p>
            <w:pPr>
              <w:pStyle w:val="Compact"/>
              <w:spacing w:line="252" w:lineRule="auto" w:after="20" w:before="20"/>
              <w:jc w:val="left"/>
            </w:pPr>
            <w:r>
              <w:rPr>
                <w:rFonts w:ascii="Times New Roman" w:hAnsi="Times New Roman"/>
                <w:sz w:val="19"/>
              </w:rPr>
              <w:t xml:space="preserve">S3</w:t>
            </w:r>
          </w:p>
        </w:tc>
        <w:tc>
          <w:tcPr>
            <w:tcW w:type="dxa" w:w="2990"/>
            <w:tcMar>
              <w:top w:w="40" w:type="dxa"/>
              <w:bottom w:w="40" w:type="dxa"/>
            </w:tcMar>
          </w:tcPr>
          <w:p>
            <w:pPr>
              <w:pStyle w:val="Compact"/>
              <w:spacing w:line="252" w:lineRule="auto" w:after="20" w:before="20"/>
              <w:jc w:val="left"/>
            </w:pPr>
            <w:r>
              <w:rPr>
                <w:rFonts w:ascii="Times New Roman" w:hAnsi="Times New Roman"/>
                <w:sz w:val="19"/>
              </w:rPr>
              <w:t xml:space="preserve">Quote &amp; Renewal Desk</w:t>
            </w:r>
          </w:p>
        </w:tc>
        <w:tc>
          <w:tcPr>
            <w:tcW w:type="dxa" w:w="2257"/>
            <w:tcMar>
              <w:top w:w="40" w:type="dxa"/>
              <w:bottom w:w="40" w:type="dxa"/>
            </w:tcMar>
          </w:tcPr>
          <w:p>
            <w:pPr>
              <w:pStyle w:val="Compact"/>
              <w:spacing w:line="252" w:lineRule="auto" w:after="20" w:before="20"/>
              <w:jc w:val="left"/>
            </w:pPr>
            <w:r>
              <w:rPr>
                <w:rFonts w:ascii="Times New Roman" w:hAnsi="Times New Roman"/>
                <w:sz w:val="19"/>
              </w:rPr>
              <w:t xml:space="preserve">Account manager</w:t>
            </w:r>
          </w:p>
        </w:tc>
        <w:tc>
          <w:tcPr>
            <w:tcW w:type="dxa" w:w="1802"/>
            <w:tcMar>
              <w:top w:w="40" w:type="dxa"/>
              <w:bottom w:w="40" w:type="dxa"/>
            </w:tcMar>
          </w:tcPr>
          <w:p>
            <w:pPr>
              <w:pStyle w:val="Compact"/>
              <w:spacing w:line="252" w:lineRule="auto" w:after="20" w:before="20"/>
              <w:jc w:val="left"/>
            </w:pPr>
            <w:r>
              <w:rPr>
                <w:rFonts w:ascii="Times New Roman" w:hAnsi="Times New Roman"/>
                <w:sz w:val="19"/>
              </w:rPr>
              <w:t xml:space="preserve">M2</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68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S4</w:t>
            </w:r>
          </w:p>
        </w:tc>
        <w:tc>
          <w:tcPr>
            <w:tcW w:type="dxa" w:w="299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 Simulation Lab</w:t>
            </w:r>
          </w:p>
        </w:tc>
        <w:tc>
          <w:tcPr>
            <w:tcW w:type="dxa" w:w="225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Broker, HR</w:t>
            </w:r>
          </w:p>
        </w:tc>
        <w:tc>
          <w:tcPr>
            <w:tcW w:type="dxa" w:w="180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M1/M2 + AI layer</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r>
      <w:tr>
        <w:trPr>
          <w:cantSplit w:val="true"/>
        </w:trPr>
        <w:tc>
          <w:tcPr>
            <w:tcW w:type="dxa" w:w="684"/>
            <w:tcMar>
              <w:top w:w="40" w:type="dxa"/>
              <w:bottom w:w="40" w:type="dxa"/>
            </w:tcMar>
          </w:tcPr>
          <w:p>
            <w:pPr>
              <w:pStyle w:val="Compact"/>
              <w:spacing w:line="252" w:lineRule="auto" w:after="20" w:before="20"/>
              <w:jc w:val="left"/>
            </w:pPr>
            <w:r>
              <w:rPr>
                <w:rFonts w:ascii="Times New Roman" w:hAnsi="Times New Roman"/>
                <w:sz w:val="19"/>
              </w:rPr>
              <w:t xml:space="preserve">S5</w:t>
            </w:r>
          </w:p>
        </w:tc>
        <w:tc>
          <w:tcPr>
            <w:tcW w:type="dxa" w:w="2990"/>
            <w:tcMar>
              <w:top w:w="40" w:type="dxa"/>
              <w:bottom w:w="40" w:type="dxa"/>
            </w:tcMar>
          </w:tcPr>
          <w:p>
            <w:pPr>
              <w:pStyle w:val="Compact"/>
              <w:spacing w:line="252" w:lineRule="auto" w:after="20" w:before="20"/>
              <w:jc w:val="left"/>
            </w:pPr>
            <w:r>
              <w:rPr>
                <w:rFonts w:ascii="Times New Roman" w:hAnsi="Times New Roman"/>
                <w:sz w:val="19"/>
              </w:rPr>
              <w:t xml:space="preserve">Vendor &amp; TPA Management</w:t>
            </w:r>
          </w:p>
        </w:tc>
        <w:tc>
          <w:tcPr>
            <w:tcW w:type="dxa" w:w="2257"/>
            <w:tcMar>
              <w:top w:w="40" w:type="dxa"/>
              <w:bottom w:w="40" w:type="dxa"/>
            </w:tcMar>
          </w:tcPr>
          <w:p>
            <w:pPr>
              <w:pStyle w:val="Compact"/>
              <w:spacing w:line="252" w:lineRule="auto" w:after="20" w:before="20"/>
              <w:jc w:val="left"/>
            </w:pPr>
            <w:r>
              <w:rPr>
                <w:rFonts w:ascii="Times New Roman" w:hAnsi="Times New Roman"/>
                <w:sz w:val="19"/>
              </w:rPr>
              <w:t xml:space="preserve">Broker, HR, vendor</w:t>
            </w:r>
          </w:p>
        </w:tc>
        <w:tc>
          <w:tcPr>
            <w:tcW w:type="dxa" w:w="1802"/>
            <w:tcMar>
              <w:top w:w="40" w:type="dxa"/>
              <w:bottom w:w="40" w:type="dxa"/>
            </w:tcMar>
          </w:tcPr>
          <w:p>
            <w:pPr>
              <w:pStyle w:val="Compact"/>
              <w:spacing w:line="252" w:lineRule="auto" w:after="20" w:before="20"/>
              <w:jc w:val="left"/>
            </w:pPr>
            <w:r>
              <w:rPr>
                <w:rFonts w:ascii="Times New Roman" w:hAnsi="Times New Roman"/>
                <w:sz w:val="19"/>
              </w:rPr>
              <w:t xml:space="preserve">M3</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r>
      <w:tr>
        <w:trPr>
          <w:cantSplit w:val="true"/>
        </w:trPr>
        <w:tc>
          <w:tcPr>
            <w:tcW w:type="dxa" w:w="68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S6</w:t>
            </w:r>
          </w:p>
        </w:tc>
        <w:tc>
          <w:tcPr>
            <w:tcW w:type="dxa" w:w="299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Employee zero-login flow</w:t>
            </w:r>
          </w:p>
        </w:tc>
        <w:tc>
          <w:tcPr>
            <w:tcW w:type="dxa" w:w="225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Employee</w:t>
            </w:r>
          </w:p>
        </w:tc>
        <w:tc>
          <w:tcPr>
            <w:tcW w:type="dxa" w:w="180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M4</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r>
      <w:tr>
        <w:trPr>
          <w:cantSplit w:val="true"/>
        </w:trPr>
        <w:tc>
          <w:tcPr>
            <w:tcW w:type="dxa" w:w="684"/>
            <w:tcMar>
              <w:top w:w="40" w:type="dxa"/>
              <w:bottom w:w="40" w:type="dxa"/>
            </w:tcMar>
          </w:tcPr>
          <w:p>
            <w:pPr>
              <w:pStyle w:val="Compact"/>
              <w:spacing w:line="252" w:lineRule="auto" w:after="20" w:before="20"/>
              <w:jc w:val="left"/>
            </w:pPr>
            <w:r>
              <w:rPr>
                <w:rFonts w:ascii="Times New Roman" w:hAnsi="Times New Roman"/>
                <w:sz w:val="19"/>
              </w:rPr>
              <w:t xml:space="preserve">S7</w:t>
            </w:r>
          </w:p>
        </w:tc>
        <w:tc>
          <w:tcPr>
            <w:tcW w:type="dxa" w:w="2990"/>
            <w:tcMar>
              <w:top w:w="40" w:type="dxa"/>
              <w:bottom w:w="40" w:type="dxa"/>
            </w:tcMar>
          </w:tcPr>
          <w:p>
            <w:pPr>
              <w:pStyle w:val="Compact"/>
              <w:spacing w:line="252" w:lineRule="auto" w:after="20" w:before="20"/>
              <w:jc w:val="left"/>
            </w:pPr>
            <w:r>
              <w:rPr>
                <w:rFonts w:ascii="Times New Roman" w:hAnsi="Times New Roman"/>
                <w:sz w:val="19"/>
              </w:rPr>
              <w:t xml:space="preserve">Advisory pack builder</w:t>
            </w:r>
          </w:p>
        </w:tc>
        <w:tc>
          <w:tcPr>
            <w:tcW w:type="dxa" w:w="2257"/>
            <w:tcMar>
              <w:top w:w="40" w:type="dxa"/>
              <w:bottom w:w="40" w:type="dxa"/>
            </w:tcMar>
          </w:tcPr>
          <w:p>
            <w:pPr>
              <w:pStyle w:val="Compact"/>
              <w:spacing w:line="252" w:lineRule="auto" w:after="20" w:before="20"/>
              <w:jc w:val="left"/>
            </w:pPr>
            <w:r>
              <w:rPr>
                <w:rFonts w:ascii="Times New Roman" w:hAnsi="Times New Roman"/>
                <w:sz w:val="19"/>
              </w:rPr>
              <w:t xml:space="preserve">Broker</w:t>
            </w:r>
          </w:p>
        </w:tc>
        <w:tc>
          <w:tcPr>
            <w:tcW w:type="dxa" w:w="1802"/>
            <w:tcMar>
              <w:top w:w="40" w:type="dxa"/>
              <w:bottom w:w="40" w:type="dxa"/>
            </w:tcMar>
          </w:tcPr>
          <w:p>
            <w:pPr>
              <w:pStyle w:val="Compact"/>
              <w:spacing w:line="252" w:lineRule="auto" w:after="20" w:before="20"/>
              <w:jc w:val="left"/>
            </w:pPr>
            <w:r>
              <w:rPr>
                <w:rFonts w:ascii="Times New Roman" w:hAnsi="Times New Roman"/>
                <w:sz w:val="19"/>
              </w:rPr>
              <w:t xml:space="preserve">M5</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r>
      <w:tr>
        <w:trPr>
          <w:cantSplit w:val="true"/>
        </w:trPr>
        <w:tc>
          <w:tcPr>
            <w:tcW w:type="dxa" w:w="68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S8</w:t>
            </w:r>
          </w:p>
        </w:tc>
        <w:tc>
          <w:tcPr>
            <w:tcW w:type="dxa" w:w="299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GTM Command Centre</w:t>
            </w:r>
          </w:p>
        </w:tc>
        <w:tc>
          <w:tcPr>
            <w:tcW w:type="dxa" w:w="225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NivoTime leadership</w:t>
            </w:r>
          </w:p>
        </w:tc>
        <w:tc>
          <w:tcPr>
            <w:tcW w:type="dxa" w:w="180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Internal</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r>
      <w:tr>
        <w:trPr>
          <w:cantSplit w:val="true"/>
        </w:trPr>
        <w:tc>
          <w:tcPr>
            <w:tcW w:type="dxa" w:w="684"/>
            <w:tcMar>
              <w:top w:w="40" w:type="dxa"/>
              <w:bottom w:w="40" w:type="dxa"/>
            </w:tcMar>
          </w:tcPr>
          <w:p>
            <w:pPr>
              <w:pStyle w:val="Compact"/>
              <w:spacing w:line="252" w:lineRule="auto" w:after="20" w:before="20"/>
              <w:jc w:val="left"/>
            </w:pPr>
            <w:r>
              <w:rPr>
                <w:rFonts w:ascii="Times New Roman" w:hAnsi="Times New Roman"/>
                <w:sz w:val="19"/>
              </w:rPr>
              <w:t xml:space="preserve">S9</w:t>
            </w:r>
          </w:p>
        </w:tc>
        <w:tc>
          <w:tcPr>
            <w:tcW w:type="dxa" w:w="2990"/>
            <w:tcMar>
              <w:top w:w="40" w:type="dxa"/>
              <w:bottom w:w="40" w:type="dxa"/>
            </w:tcMar>
          </w:tcPr>
          <w:p>
            <w:pPr>
              <w:pStyle w:val="Compact"/>
              <w:spacing w:line="252" w:lineRule="auto" w:after="20" w:before="20"/>
              <w:jc w:val="left"/>
            </w:pPr>
            <w:r>
              <w:rPr>
                <w:rFonts w:ascii="Times New Roman" w:hAnsi="Times New Roman"/>
                <w:sz w:val="19"/>
              </w:rPr>
              <w:t xml:space="preserve">Business Case Simulator</w:t>
            </w:r>
          </w:p>
        </w:tc>
        <w:tc>
          <w:tcPr>
            <w:tcW w:type="dxa" w:w="2257"/>
            <w:tcMar>
              <w:top w:w="40" w:type="dxa"/>
              <w:bottom w:w="40" w:type="dxa"/>
            </w:tcMar>
          </w:tcPr>
          <w:p>
            <w:pPr>
              <w:pStyle w:val="Compact"/>
              <w:spacing w:line="252" w:lineRule="auto" w:after="20" w:before="20"/>
              <w:jc w:val="left"/>
            </w:pPr>
            <w:r>
              <w:rPr>
                <w:rFonts w:ascii="Times New Roman" w:hAnsi="Times New Roman"/>
                <w:sz w:val="19"/>
              </w:rPr>
              <w:t xml:space="preserve">NivoTime leadership</w:t>
            </w:r>
          </w:p>
        </w:tc>
        <w:tc>
          <w:tcPr>
            <w:tcW w:type="dxa" w:w="1802"/>
            <w:tcMar>
              <w:top w:w="40" w:type="dxa"/>
              <w:bottom w:w="40" w:type="dxa"/>
            </w:tcMar>
          </w:tcPr>
          <w:p>
            <w:pPr>
              <w:pStyle w:val="Compact"/>
              <w:spacing w:line="252" w:lineRule="auto" w:after="20" w:before="20"/>
              <w:jc w:val="left"/>
            </w:pPr>
            <w:r>
              <w:rPr>
                <w:rFonts w:ascii="Times New Roman" w:hAnsi="Times New Roman"/>
                <w:sz w:val="19"/>
              </w:rPr>
              <w:t xml:space="preserve">Internal</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Could</w:t>
            </w:r>
          </w:p>
        </w:tc>
      </w:tr>
      <w:tr>
        <w:trPr>
          <w:cantSplit w:val="true"/>
        </w:trPr>
        <w:tc>
          <w:tcPr>
            <w:tcW w:type="dxa" w:w="68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S10</w:t>
            </w:r>
          </w:p>
        </w:tc>
        <w:tc>
          <w:tcPr>
            <w:tcW w:type="dxa" w:w="299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Admin: ingestion and model monitoring</w:t>
            </w:r>
          </w:p>
        </w:tc>
        <w:tc>
          <w:tcPr>
            <w:tcW w:type="dxa" w:w="225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NivoTime admin</w:t>
            </w:r>
          </w:p>
        </w:tc>
        <w:tc>
          <w:tcPr>
            <w:tcW w:type="dxa" w:w="180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Platform</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r>
    </w:tbl>
    <w:p>
      <w:pPr>
        <w:pStyle w:val="Heading1"/>
        <w:spacing w:before="160"/>
      </w:pPr>
      <w:r>
        <w:t xml:space="preserve">4. Key User Journeys</w:t>
      </w:r>
    </w:p>
    <w:p>
      <w:pPr>
        <w:pStyle w:val="Heading2"/>
      </w:pPr>
      <w:r>
        <w:t xml:space="preserve">4.1 Renewal preparation (the core journey)</w:t>
      </w:r>
    </w:p>
    <w:p>
      <w:pPr>
        <w:pStyle w:val="CaptionedFigure"/>
      </w:pPr>
      <w:r>
        <w:drawing>
          <wp:inline>
            <wp:extent cx="5733288" cy="3284748"/>
            <wp:effectExtent b="0" l="0" r="0" t="0"/>
            <wp:docPr descr="Renewal preparation swimlane" title="" id="27" name="Picture"/>
            <a:graphic>
              <a:graphicData uri="http://schemas.openxmlformats.org/drawingml/2006/picture">
                <pic:pic>
                  <pic:nvPicPr>
                    <pic:cNvPr descr="fig/d2_renewal_flow.png" id="28" name="Picture"/>
                    <pic:cNvPicPr>
                      <a:picLocks noChangeArrowheads="1" noChangeAspect="1"/>
                    </pic:cNvPicPr>
                  </pic:nvPicPr>
                  <pic:blipFill>
                    <a:blip r:embed="rId26"/>
                    <a:stretch>
                      <a:fillRect/>
                    </a:stretch>
                  </pic:blipFill>
                  <pic:spPr bwMode="auto">
                    <a:xfrm>
                      <a:off x="0" y="0"/>
                      <a:ext cx="5733288" cy="3284748"/>
                    </a:xfrm>
                    <a:prstGeom prst="rect">
                      <a:avLst/>
                    </a:prstGeom>
                    <a:noFill/>
                    <a:ln w="9525">
                      <a:noFill/>
                      <a:headEnd/>
                      <a:tailEnd/>
                    </a:ln>
                  </pic:spPr>
                </pic:pic>
              </a:graphicData>
            </a:graphic>
          </wp:inline>
        </w:drawing>
      </w:r>
    </w:p>
    <w:p>
      <w:pPr>
        <w:pStyle w:val="ImageCaption"/>
      </w:pPr>
      <w:r>
        <w:t xml:space="preserve">Renewal preparation swimlane</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806"/>
        <w:gridCol w:w="1368"/>
        <w:gridCol w:w="2578"/>
        <w:gridCol w:w="2857"/>
        <w:gridCol w:w="1418"/>
      </w:tblGrid>
      <w:tr>
        <w:trPr>
          <w:cantSplit w:val="true"/>
          <w:tblHeader w:val="true"/>
        </w:trPr>
        <w:tc>
          <w:tcPr>
            <w:tcW w:type="dxa" w:w="80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Step</w:t>
            </w:r>
          </w:p>
        </w:tc>
        <w:tc>
          <w:tcPr>
            <w:tcW w:type="dxa" w:w="136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Actor</w:t>
            </w:r>
          </w:p>
        </w:tc>
        <w:tc>
          <w:tcPr>
            <w:tcW w:type="dxa" w:w="257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What happens</w:t>
            </w:r>
          </w:p>
        </w:tc>
        <w:tc>
          <w:tcPr>
            <w:tcW w:type="dxa" w:w="285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System response</w:t>
            </w:r>
          </w:p>
        </w:tc>
        <w:tc>
          <w:tcPr>
            <w:tcW w:type="dxa" w:w="141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Target time</w:t>
            </w:r>
          </w:p>
        </w:tc>
      </w:tr>
      <w:tr>
        <w:trPr>
          <w:cantSplit w:val="true"/>
        </w:trPr>
        <w:tc>
          <w:tcPr>
            <w:tcW w:type="dxa" w:w="806"/>
            <w:tcMar>
              <w:top w:w="40" w:type="dxa"/>
              <w:bottom w:w="40" w:type="dxa"/>
            </w:tcMar>
          </w:tcPr>
          <w:p>
            <w:pPr>
              <w:pStyle w:val="Compact"/>
              <w:spacing w:line="252" w:lineRule="auto" w:after="20" w:before="20"/>
              <w:jc w:val="left"/>
            </w:pPr>
            <w:r>
              <w:rPr>
                <w:rFonts w:ascii="Times New Roman" w:hAnsi="Times New Roman"/>
                <w:sz w:val="19"/>
              </w:rPr>
              <w:t xml:space="preserve">1</w:t>
            </w:r>
          </w:p>
        </w:tc>
        <w:tc>
          <w:tcPr>
            <w:tcW w:type="dxa" w:w="1368"/>
            <w:tcMar>
              <w:top w:w="40" w:type="dxa"/>
              <w:bottom w:w="40" w:type="dxa"/>
            </w:tcMar>
          </w:tcPr>
          <w:p>
            <w:pPr>
              <w:pStyle w:val="Compact"/>
              <w:spacing w:line="252" w:lineRule="auto" w:after="20" w:before="20"/>
              <w:jc w:val="left"/>
            </w:pPr>
            <w:r>
              <w:rPr>
                <w:rFonts w:ascii="Times New Roman" w:hAnsi="Times New Roman"/>
                <w:sz w:val="19"/>
              </w:rPr>
              <w:t xml:space="preserve">Platform</w:t>
            </w:r>
          </w:p>
        </w:tc>
        <w:tc>
          <w:tcPr>
            <w:tcW w:type="dxa" w:w="2578"/>
            <w:tcMar>
              <w:top w:w="40" w:type="dxa"/>
              <w:bottom w:w="40" w:type="dxa"/>
            </w:tcMar>
          </w:tcPr>
          <w:p>
            <w:pPr>
              <w:pStyle w:val="Compact"/>
              <w:spacing w:line="252" w:lineRule="auto" w:after="20" w:before="20"/>
              <w:jc w:val="left"/>
            </w:pPr>
            <w:r>
              <w:rPr>
                <w:rFonts w:ascii="Times New Roman" w:hAnsi="Times New Roman"/>
                <w:sz w:val="19"/>
              </w:rPr>
              <w:t xml:space="preserve">Renewal date is 90 days away</w:t>
            </w:r>
          </w:p>
        </w:tc>
        <w:tc>
          <w:tcPr>
            <w:tcW w:type="dxa" w:w="2858"/>
            <w:tcMar>
              <w:top w:w="40" w:type="dxa"/>
              <w:bottom w:w="40" w:type="dxa"/>
            </w:tcMar>
          </w:tcPr>
          <w:p>
            <w:pPr>
              <w:pStyle w:val="Compact"/>
              <w:spacing w:line="252" w:lineRule="auto" w:after="20" w:before="20"/>
              <w:jc w:val="left"/>
            </w:pPr>
            <w:r>
              <w:rPr>
                <w:rFonts w:ascii="Times New Roman" w:hAnsi="Times New Roman"/>
                <w:sz w:val="19"/>
              </w:rPr>
              <w:t xml:space="preserve">Alert on Portfolio Home; task list created</w:t>
            </w:r>
          </w:p>
        </w:tc>
        <w:tc>
          <w:tcPr>
            <w:tcW w:type="dxa" w:w="1418"/>
            <w:tcMar>
              <w:top w:w="40" w:type="dxa"/>
              <w:bottom w:w="40" w:type="dxa"/>
            </w:tcMar>
          </w:tcPr>
          <w:p>
            <w:pPr>
              <w:pStyle w:val="Compact"/>
              <w:spacing w:line="252" w:lineRule="auto" w:after="20" w:before="20"/>
              <w:jc w:val="left"/>
            </w:pPr>
            <w:r>
              <w:rPr>
                <w:rFonts w:ascii="Times New Roman" w:hAnsi="Times New Roman"/>
                <w:sz w:val="19"/>
              </w:rPr>
              <w:t xml:space="preserve">Automatic</w:t>
            </w:r>
          </w:p>
        </w:tc>
      </w:tr>
      <w:tr>
        <w:trPr>
          <w:cantSplit w:val="true"/>
        </w:trPr>
        <w:tc>
          <w:tcPr>
            <w:tcW w:type="dxa" w:w="8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w:t>
            </w:r>
          </w:p>
        </w:tc>
        <w:tc>
          <w:tcPr>
            <w:tcW w:type="dxa" w:w="13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Account manager</w:t>
            </w:r>
          </w:p>
        </w:tc>
        <w:tc>
          <w:tcPr>
            <w:tcW w:type="dxa" w:w="25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Requests census, claims and quotes</w:t>
            </w:r>
          </w:p>
        </w:tc>
        <w:tc>
          <w:tcPr>
            <w:tcW w:type="dxa" w:w="285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Secure upload links sent to HR and insurers</w:t>
            </w:r>
          </w:p>
        </w:tc>
        <w:tc>
          <w:tcPr>
            <w:tcW w:type="dxa" w:w="141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5 min</w:t>
            </w:r>
          </w:p>
        </w:tc>
      </w:tr>
      <w:tr>
        <w:trPr>
          <w:cantSplit w:val="true"/>
        </w:trPr>
        <w:tc>
          <w:tcPr>
            <w:tcW w:type="dxa" w:w="806"/>
            <w:tcMar>
              <w:top w:w="40" w:type="dxa"/>
              <w:bottom w:w="40" w:type="dxa"/>
            </w:tcMar>
          </w:tcPr>
          <w:p>
            <w:pPr>
              <w:pStyle w:val="Compact"/>
              <w:spacing w:line="252" w:lineRule="auto" w:after="20" w:before="20"/>
              <w:jc w:val="left"/>
            </w:pPr>
            <w:r>
              <w:rPr>
                <w:rFonts w:ascii="Times New Roman" w:hAnsi="Times New Roman"/>
                <w:sz w:val="19"/>
              </w:rPr>
              <w:t xml:space="preserve">3</w:t>
            </w:r>
          </w:p>
        </w:tc>
        <w:tc>
          <w:tcPr>
            <w:tcW w:type="dxa" w:w="1368"/>
            <w:tcMar>
              <w:top w:w="40" w:type="dxa"/>
              <w:bottom w:w="40" w:type="dxa"/>
            </w:tcMar>
          </w:tcPr>
          <w:p>
            <w:pPr>
              <w:pStyle w:val="Compact"/>
              <w:spacing w:line="252" w:lineRule="auto" w:after="20" w:before="20"/>
              <w:jc w:val="left"/>
            </w:pPr>
            <w:r>
              <w:rPr>
                <w:rFonts w:ascii="Times New Roman" w:hAnsi="Times New Roman"/>
                <w:sz w:val="19"/>
              </w:rPr>
              <w:t xml:space="preserve">HR client</w:t>
            </w:r>
          </w:p>
        </w:tc>
        <w:tc>
          <w:tcPr>
            <w:tcW w:type="dxa" w:w="2578"/>
            <w:tcMar>
              <w:top w:w="40" w:type="dxa"/>
              <w:bottom w:w="40" w:type="dxa"/>
            </w:tcMar>
          </w:tcPr>
          <w:p>
            <w:pPr>
              <w:pStyle w:val="Compact"/>
              <w:spacing w:line="252" w:lineRule="auto" w:after="20" w:before="20"/>
              <w:jc w:val="left"/>
            </w:pPr>
            <w:r>
              <w:rPr>
                <w:rFonts w:ascii="Times New Roman" w:hAnsi="Times New Roman"/>
                <w:sz w:val="19"/>
              </w:rPr>
              <w:t xml:space="preserve">Uploads census and claims</w:t>
            </w:r>
          </w:p>
        </w:tc>
        <w:tc>
          <w:tcPr>
            <w:tcW w:type="dxa" w:w="2858"/>
            <w:tcMar>
              <w:top w:w="40" w:type="dxa"/>
              <w:bottom w:w="40" w:type="dxa"/>
            </w:tcMar>
          </w:tcPr>
          <w:p>
            <w:pPr>
              <w:pStyle w:val="Compact"/>
              <w:spacing w:line="252" w:lineRule="auto" w:after="20" w:before="20"/>
              <w:jc w:val="left"/>
            </w:pPr>
            <w:r>
              <w:rPr>
                <w:rFonts w:ascii="Times New Roman" w:hAnsi="Times New Roman"/>
                <w:sz w:val="19"/>
              </w:rPr>
              <w:t xml:space="preserve">Validation and column mapping; errors shown</w:t>
            </w:r>
          </w:p>
        </w:tc>
        <w:tc>
          <w:tcPr>
            <w:tcW w:type="dxa" w:w="1418"/>
            <w:tcMar>
              <w:top w:w="40" w:type="dxa"/>
              <w:bottom w:w="40" w:type="dxa"/>
            </w:tcMar>
          </w:tcPr>
          <w:p>
            <w:pPr>
              <w:pStyle w:val="Compact"/>
              <w:spacing w:line="252" w:lineRule="auto" w:after="20" w:before="20"/>
              <w:jc w:val="left"/>
            </w:pPr>
            <w:r>
              <w:rPr>
                <w:rFonts w:ascii="Times New Roman" w:hAnsi="Times New Roman"/>
                <w:sz w:val="19"/>
              </w:rPr>
              <w:t xml:space="preserve">10 min</w:t>
            </w:r>
          </w:p>
        </w:tc>
      </w:tr>
      <w:tr>
        <w:trPr>
          <w:cantSplit w:val="true"/>
        </w:trPr>
        <w:tc>
          <w:tcPr>
            <w:tcW w:type="dxa" w:w="8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4</w:t>
            </w:r>
          </w:p>
        </w:tc>
        <w:tc>
          <w:tcPr>
            <w:tcW w:type="dxa" w:w="13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 layer</w:t>
            </w:r>
          </w:p>
        </w:tc>
        <w:tc>
          <w:tcPr>
            <w:tcW w:type="dxa" w:w="25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Forecast and benchmark</w:t>
            </w:r>
          </w:p>
        </w:tc>
        <w:tc>
          <w:tcPr>
            <w:tcW w:type="dxa" w:w="285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Cockpit refreshed; renewal loading forecast</w:t>
            </w:r>
          </w:p>
        </w:tc>
        <w:tc>
          <w:tcPr>
            <w:tcW w:type="dxa" w:w="141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&lt; 1 min</w:t>
            </w:r>
          </w:p>
        </w:tc>
      </w:tr>
      <w:tr>
        <w:trPr>
          <w:cantSplit w:val="true"/>
        </w:trPr>
        <w:tc>
          <w:tcPr>
            <w:tcW w:type="dxa" w:w="806"/>
            <w:tcMar>
              <w:top w:w="40" w:type="dxa"/>
              <w:bottom w:w="40" w:type="dxa"/>
            </w:tcMar>
          </w:tcPr>
          <w:p>
            <w:pPr>
              <w:pStyle w:val="Compact"/>
              <w:spacing w:line="252" w:lineRule="auto" w:after="20" w:before="20"/>
              <w:jc w:val="left"/>
            </w:pPr>
            <w:r>
              <w:rPr>
                <w:rFonts w:ascii="Times New Roman" w:hAnsi="Times New Roman"/>
                <w:sz w:val="19"/>
              </w:rPr>
              <w:t xml:space="preserve">5</w:t>
            </w:r>
          </w:p>
        </w:tc>
        <w:tc>
          <w:tcPr>
            <w:tcW w:type="dxa" w:w="1368"/>
            <w:tcMar>
              <w:top w:w="40" w:type="dxa"/>
              <w:bottom w:w="40" w:type="dxa"/>
            </w:tcMar>
          </w:tcPr>
          <w:p>
            <w:pPr>
              <w:pStyle w:val="Compact"/>
              <w:spacing w:line="252" w:lineRule="auto" w:after="20" w:before="20"/>
              <w:jc w:val="left"/>
            </w:pPr>
            <w:r>
              <w:rPr>
                <w:rFonts w:ascii="Times New Roman" w:hAnsi="Times New Roman"/>
                <w:sz w:val="19"/>
              </w:rPr>
              <w:t xml:space="preserve">Account manager</w:t>
            </w:r>
          </w:p>
        </w:tc>
        <w:tc>
          <w:tcPr>
            <w:tcW w:type="dxa" w:w="2578"/>
            <w:tcMar>
              <w:top w:w="40" w:type="dxa"/>
              <w:bottom w:w="40" w:type="dxa"/>
            </w:tcMar>
          </w:tcPr>
          <w:p>
            <w:pPr>
              <w:pStyle w:val="Compact"/>
              <w:spacing w:line="252" w:lineRule="auto" w:after="20" w:before="20"/>
              <w:jc w:val="left"/>
            </w:pPr>
            <w:r>
              <w:rPr>
                <w:rFonts w:ascii="Times New Roman" w:hAnsi="Times New Roman"/>
                <w:sz w:val="19"/>
              </w:rPr>
              <w:t xml:space="preserve">Uploads 5 insurer quotes</w:t>
            </w:r>
          </w:p>
        </w:tc>
        <w:tc>
          <w:tcPr>
            <w:tcW w:type="dxa" w:w="2858"/>
            <w:tcMar>
              <w:top w:w="40" w:type="dxa"/>
              <w:bottom w:w="40" w:type="dxa"/>
            </w:tcMar>
          </w:tcPr>
          <w:p>
            <w:pPr>
              <w:pStyle w:val="Compact"/>
              <w:spacing w:line="252" w:lineRule="auto" w:after="20" w:before="20"/>
              <w:jc w:val="left"/>
            </w:pPr>
            <w:r>
              <w:rPr>
                <w:rFonts w:ascii="Times New Roman" w:hAnsi="Times New Roman"/>
                <w:sz w:val="19"/>
              </w:rPr>
              <w:t xml:space="preserve">Quote AI extracts terms into the standard schema</w:t>
            </w:r>
          </w:p>
        </w:tc>
        <w:tc>
          <w:tcPr>
            <w:tcW w:type="dxa" w:w="1418"/>
            <w:tcMar>
              <w:top w:w="40" w:type="dxa"/>
              <w:bottom w:w="40" w:type="dxa"/>
            </w:tcMar>
          </w:tcPr>
          <w:p>
            <w:pPr>
              <w:pStyle w:val="Compact"/>
              <w:spacing w:line="252" w:lineRule="auto" w:after="20" w:before="20"/>
              <w:jc w:val="left"/>
            </w:pPr>
            <w:r>
              <w:rPr>
                <w:rFonts w:ascii="Times New Roman" w:hAnsi="Times New Roman"/>
                <w:sz w:val="19"/>
              </w:rPr>
              <w:t xml:space="preserve">&lt; 60 s per quote</w:t>
            </w:r>
          </w:p>
        </w:tc>
      </w:tr>
      <w:tr>
        <w:trPr>
          <w:cantSplit w:val="true"/>
        </w:trPr>
        <w:tc>
          <w:tcPr>
            <w:tcW w:type="dxa" w:w="8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6</w:t>
            </w:r>
          </w:p>
        </w:tc>
        <w:tc>
          <w:tcPr>
            <w:tcW w:type="dxa" w:w="13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Account manager</w:t>
            </w:r>
          </w:p>
        </w:tc>
        <w:tc>
          <w:tcPr>
            <w:tcW w:type="dxa" w:w="25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Reviews low-confidence fields only</w:t>
            </w:r>
          </w:p>
        </w:tc>
        <w:tc>
          <w:tcPr>
            <w:tcW w:type="dxa" w:w="285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Comparison grid with flags</w:t>
            </w:r>
          </w:p>
        </w:tc>
        <w:tc>
          <w:tcPr>
            <w:tcW w:type="dxa" w:w="141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15 min</w:t>
            </w:r>
          </w:p>
        </w:tc>
      </w:tr>
      <w:tr>
        <w:trPr>
          <w:cantSplit w:val="true"/>
        </w:trPr>
        <w:tc>
          <w:tcPr>
            <w:tcW w:type="dxa" w:w="806"/>
            <w:tcMar>
              <w:top w:w="40" w:type="dxa"/>
              <w:bottom w:w="40" w:type="dxa"/>
            </w:tcMar>
          </w:tcPr>
          <w:p>
            <w:pPr>
              <w:pStyle w:val="Compact"/>
              <w:spacing w:line="252" w:lineRule="auto" w:after="20" w:before="20"/>
              <w:jc w:val="left"/>
            </w:pPr>
            <w:r>
              <w:rPr>
                <w:rFonts w:ascii="Times New Roman" w:hAnsi="Times New Roman"/>
                <w:sz w:val="19"/>
              </w:rPr>
              <w:t xml:space="preserve">7</w:t>
            </w:r>
          </w:p>
        </w:tc>
        <w:tc>
          <w:tcPr>
            <w:tcW w:type="dxa" w:w="1368"/>
            <w:tcMar>
              <w:top w:w="40" w:type="dxa"/>
              <w:bottom w:w="40" w:type="dxa"/>
            </w:tcMar>
          </w:tcPr>
          <w:p>
            <w:pPr>
              <w:pStyle w:val="Compact"/>
              <w:spacing w:line="252" w:lineRule="auto" w:after="20" w:before="20"/>
              <w:jc w:val="left"/>
            </w:pPr>
            <w:r>
              <w:rPr>
                <w:rFonts w:ascii="Times New Roman" w:hAnsi="Times New Roman"/>
                <w:sz w:val="19"/>
              </w:rPr>
              <w:t xml:space="preserve">Account manager</w:t>
            </w:r>
          </w:p>
        </w:tc>
        <w:tc>
          <w:tcPr>
            <w:tcW w:type="dxa" w:w="2578"/>
            <w:tcMar>
              <w:top w:w="40" w:type="dxa"/>
              <w:bottom w:w="40" w:type="dxa"/>
            </w:tcMar>
          </w:tcPr>
          <w:p>
            <w:pPr>
              <w:pStyle w:val="Compact"/>
              <w:spacing w:line="252" w:lineRule="auto" w:after="20" w:before="20"/>
              <w:jc w:val="left"/>
            </w:pPr>
            <w:r>
              <w:rPr>
                <w:rFonts w:ascii="Times New Roman" w:hAnsi="Times New Roman"/>
                <w:sz w:val="19"/>
              </w:rPr>
              <w:t xml:space="preserve">Runs 2–3 plan scenarios</w:t>
            </w:r>
          </w:p>
        </w:tc>
        <w:tc>
          <w:tcPr>
            <w:tcW w:type="dxa" w:w="2858"/>
            <w:tcMar>
              <w:top w:w="40" w:type="dxa"/>
              <w:bottom w:w="40" w:type="dxa"/>
            </w:tcMar>
          </w:tcPr>
          <w:p>
            <w:pPr>
              <w:pStyle w:val="Compact"/>
              <w:spacing w:line="252" w:lineRule="auto" w:after="20" w:before="20"/>
              <w:jc w:val="left"/>
            </w:pPr>
            <w:r>
              <w:rPr>
                <w:rFonts w:ascii="Times New Roman" w:hAnsi="Times New Roman"/>
                <w:sz w:val="19"/>
              </w:rPr>
              <w:t xml:space="preserve">Premium impact and trade-offs</w:t>
            </w:r>
          </w:p>
        </w:tc>
        <w:tc>
          <w:tcPr>
            <w:tcW w:type="dxa" w:w="1418"/>
            <w:tcMar>
              <w:top w:w="40" w:type="dxa"/>
              <w:bottom w:w="40" w:type="dxa"/>
            </w:tcMar>
          </w:tcPr>
          <w:p>
            <w:pPr>
              <w:pStyle w:val="Compact"/>
              <w:spacing w:line="252" w:lineRule="auto" w:after="20" w:before="20"/>
              <w:jc w:val="left"/>
            </w:pPr>
            <w:r>
              <w:rPr>
                <w:rFonts w:ascii="Times New Roman" w:hAnsi="Times New Roman"/>
                <w:sz w:val="19"/>
              </w:rPr>
              <w:t xml:space="preserve">10 min</w:t>
            </w:r>
          </w:p>
        </w:tc>
      </w:tr>
      <w:tr>
        <w:trPr>
          <w:cantSplit w:val="true"/>
        </w:trPr>
        <w:tc>
          <w:tcPr>
            <w:tcW w:type="dxa" w:w="8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8</w:t>
            </w:r>
          </w:p>
        </w:tc>
        <w:tc>
          <w:tcPr>
            <w:tcW w:type="dxa" w:w="13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Broker MD / HR</w:t>
            </w:r>
          </w:p>
        </w:tc>
        <w:tc>
          <w:tcPr>
            <w:tcW w:type="dxa" w:w="25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Approves recommendation</w:t>
            </w:r>
          </w:p>
        </w:tc>
        <w:tc>
          <w:tcPr>
            <w:tcW w:type="dxa" w:w="285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Pack generated; decision logged</w:t>
            </w:r>
          </w:p>
        </w:tc>
        <w:tc>
          <w:tcPr>
            <w:tcW w:type="dxa" w:w="141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15 min</w:t>
            </w:r>
          </w:p>
        </w:tc>
      </w:tr>
    </w:tbl>
    <w:p>
      <w:pPr>
        <w:pStyle w:val="BodyText"/>
        <w:spacing w:before="160"/>
      </w:pPr>
      <w:r>
        <w:rPr>
          <w:b/>
          <w:bCs/>
        </w:rPr>
        <w:t xml:space="preserve">Target:</w:t>
      </w:r>
      <w:r>
        <w:t xml:space="preserve"> </w:t>
      </w:r>
      <w:r>
        <w:t xml:space="preserve">a full renewal pack in</w:t>
      </w:r>
      <w:r>
        <w:t xml:space="preserve"> </w:t>
      </w:r>
      <w:r>
        <w:rPr>
          <w:b/>
          <w:bCs/>
        </w:rPr>
        <w:t xml:space="preserve">under 2 hours of working time</w:t>
      </w:r>
      <w:r>
        <w:t xml:space="preserve">, against a manual baseline of about 30 hours per account (report assumption A13).</w:t>
      </w:r>
    </w:p>
    <w:p>
      <w:pPr>
        <w:pStyle w:val="Heading2"/>
      </w:pPr>
      <w:r>
        <w:t xml:space="preserve">4.2 Broker onboarding</w:t>
      </w:r>
    </w:p>
    <w:p>
      <w:pPr>
        <w:pStyle w:val="CaptionedFigure"/>
      </w:pPr>
      <w:r>
        <w:drawing>
          <wp:inline>
            <wp:extent cx="5733288" cy="1529570"/>
            <wp:effectExtent b="0" l="0" r="0" t="0"/>
            <wp:docPr descr="Broker onboarding journey (from the report)" title="" id="30" name="Picture"/>
            <a:graphic>
              <a:graphicData uri="http://schemas.openxmlformats.org/drawingml/2006/picture">
                <pic:pic>
                  <pic:nvPicPr>
                    <pic:cNvPr descr="fig/f12_onboarding.png" id="31" name="Picture"/>
                    <pic:cNvPicPr>
                      <a:picLocks noChangeArrowheads="1" noChangeAspect="1"/>
                    </pic:cNvPicPr>
                  </pic:nvPicPr>
                  <pic:blipFill>
                    <a:blip r:embed="rId29"/>
                    <a:stretch>
                      <a:fillRect/>
                    </a:stretch>
                  </pic:blipFill>
                  <pic:spPr bwMode="auto">
                    <a:xfrm>
                      <a:off x="0" y="0"/>
                      <a:ext cx="5733288" cy="1529570"/>
                    </a:xfrm>
                    <a:prstGeom prst="rect">
                      <a:avLst/>
                    </a:prstGeom>
                    <a:noFill/>
                    <a:ln w="9525">
                      <a:noFill/>
                      <a:headEnd/>
                      <a:tailEnd/>
                    </a:ln>
                  </pic:spPr>
                </pic:pic>
              </a:graphicData>
            </a:graphic>
          </wp:inline>
        </w:drawing>
      </w:r>
    </w:p>
    <w:p>
      <w:pPr>
        <w:pStyle w:val="ImageCaption"/>
      </w:pPr>
      <w:r>
        <w:t xml:space="preserve">Broker onboarding journey (from the report)</w:t>
      </w:r>
    </w:p>
    <w:p>
      <w:pPr>
        <w:pStyle w:val="Heading2"/>
      </w:pPr>
      <w:r>
        <w:t xml:space="preserve">4.3 Employee zero-login engagement</w:t>
      </w:r>
    </w:p>
    <w:p>
      <w:pPr>
        <w:pStyle w:val="CaptionedFigure"/>
      </w:pPr>
      <w:r>
        <w:drawing>
          <wp:inline>
            <wp:extent cx="5733288" cy="2086222"/>
            <wp:effectExtent b="0" l="0" r="0" t="0"/>
            <wp:docPr descr="Zero-login engagement flow" title="" id="33" name="Picture"/>
            <a:graphic>
              <a:graphicData uri="http://schemas.openxmlformats.org/drawingml/2006/picture">
                <pic:pic>
                  <pic:nvPicPr>
                    <pic:cNvPr descr="fig/d4_zerologin_flow.png" id="34" name="Picture"/>
                    <pic:cNvPicPr>
                      <a:picLocks noChangeArrowheads="1" noChangeAspect="1"/>
                    </pic:cNvPicPr>
                  </pic:nvPicPr>
                  <pic:blipFill>
                    <a:blip r:embed="rId32"/>
                    <a:stretch>
                      <a:fillRect/>
                    </a:stretch>
                  </pic:blipFill>
                  <pic:spPr bwMode="auto">
                    <a:xfrm>
                      <a:off x="0" y="0"/>
                      <a:ext cx="5733288" cy="2086222"/>
                    </a:xfrm>
                    <a:prstGeom prst="rect">
                      <a:avLst/>
                    </a:prstGeom>
                    <a:noFill/>
                    <a:ln w="9525">
                      <a:noFill/>
                      <a:headEnd/>
                      <a:tailEnd/>
                    </a:ln>
                  </pic:spPr>
                </pic:pic>
              </a:graphicData>
            </a:graphic>
          </wp:inline>
        </w:drawing>
      </w:r>
    </w:p>
    <w:p>
      <w:pPr>
        <w:pStyle w:val="ImageCaption"/>
      </w:pPr>
      <w:r>
        <w:t xml:space="preserve">Zero-login engagement flow</w:t>
      </w:r>
    </w:p>
    <w:p>
      <w:r>
        <w:br w:type="page"/>
      </w:r>
    </w:p>
    <w:p>
      <w:pPr>
        <w:pStyle w:val="Heading1"/>
      </w:pPr>
      <w:r>
        <w:t xml:space="preserve">5. Functional Requirements by Screen</w:t>
      </w:r>
    </w:p>
    <w:p>
      <w:pPr>
        <w:pStyle w:val="Heading2"/>
      </w:pPr>
      <w:r>
        <w:t xml:space="preserve">5.1 S1 — Portfolio Home (Broker Workspace)</w:t>
      </w:r>
    </w:p>
    <w:p>
      <w:pPr>
        <w:pStyle w:val="CaptionedFigure"/>
      </w:pPr>
      <w:r>
        <w:drawing>
          <wp:inline>
            <wp:extent cx="5733288" cy="3661494"/>
            <wp:effectExtent b="0" l="0" r="0" t="0"/>
            <wp:docPr descr="S1 Portfolio Home (synthetic data)" title="" id="36" name="Picture"/>
            <a:graphic>
              <a:graphicData uri="http://schemas.openxmlformats.org/drawingml/2006/picture">
                <pic:pic>
                  <pic:nvPicPr>
                    <pic:cNvPr descr="fig/s1_portfolio.png" id="37" name="Picture"/>
                    <pic:cNvPicPr>
                      <a:picLocks noChangeArrowheads="1" noChangeAspect="1"/>
                    </pic:cNvPicPr>
                  </pic:nvPicPr>
                  <pic:blipFill>
                    <a:blip r:embed="rId35"/>
                    <a:stretch>
                      <a:fillRect/>
                    </a:stretch>
                  </pic:blipFill>
                  <pic:spPr bwMode="auto">
                    <a:xfrm>
                      <a:off x="0" y="0"/>
                      <a:ext cx="5733288" cy="3661494"/>
                    </a:xfrm>
                    <a:prstGeom prst="rect">
                      <a:avLst/>
                    </a:prstGeom>
                    <a:noFill/>
                    <a:ln w="9525">
                      <a:noFill/>
                      <a:headEnd/>
                      <a:tailEnd/>
                    </a:ln>
                  </pic:spPr>
                </pic:pic>
              </a:graphicData>
            </a:graphic>
          </wp:inline>
        </w:drawing>
      </w:r>
    </w:p>
    <w:p>
      <w:pPr>
        <w:pStyle w:val="ImageCaption"/>
      </w:pPr>
      <w:r>
        <w:t xml:space="preserve">S1 Portfolio Home (synthetic data)</w:t>
      </w:r>
    </w:p>
    <w:p>
      <w:pPr>
        <w:pStyle w:val="BodyText"/>
      </w:pPr>
      <w:r>
        <w:rPr>
          <w:b/>
          <w:bCs/>
        </w:rPr>
        <w:t xml:space="preserve">Purpose:</w:t>
      </w:r>
      <w:r>
        <w:t xml:space="preserve"> </w:t>
      </w:r>
      <w:r>
        <w:t xml:space="preserve">give the broker one view of all employer clients, upcoming renewals, risk and next actions.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568"/>
        <w:gridCol w:w="1296"/>
        <w:gridCol w:w="3235"/>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56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3235"/>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FR-01</w:t>
            </w:r>
          </w:p>
        </w:tc>
        <w:tc>
          <w:tcPr>
            <w:tcW w:type="dxa" w:w="3569"/>
            <w:tcMar>
              <w:top w:w="40" w:type="dxa"/>
              <w:bottom w:w="40" w:type="dxa"/>
            </w:tcMar>
          </w:tcPr>
          <w:p>
            <w:pPr>
              <w:pStyle w:val="Compact"/>
              <w:spacing w:line="252" w:lineRule="auto" w:after="20" w:before="20"/>
              <w:jc w:val="left"/>
            </w:pPr>
            <w:r>
              <w:rPr>
                <w:rFonts w:ascii="Times New Roman" w:hAnsi="Times New Roman"/>
                <w:sz w:val="19"/>
              </w:rPr>
              <w:t xml:space="preserve">Show KPI tiles: active clients, lives on platform, renewals in next 90 days, hours saved this quarter</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235"/>
            <w:tcMar>
              <w:top w:w="40" w:type="dxa"/>
              <w:bottom w:w="40" w:type="dxa"/>
            </w:tcMar>
          </w:tcPr>
          <w:p>
            <w:pPr>
              <w:pStyle w:val="Compact"/>
              <w:spacing w:line="252" w:lineRule="auto" w:after="20" w:before="20"/>
              <w:jc w:val="left"/>
            </w:pPr>
            <w:r>
              <w:rPr>
                <w:rFonts w:ascii="Times New Roman" w:hAnsi="Times New Roman"/>
                <w:sz w:val="19"/>
              </w:rPr>
              <w:t xml:space="preserve">Tiles refresh on page load; values match the underlying tables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FR-02</w:t>
            </w:r>
          </w:p>
        </w:tc>
        <w:tc>
          <w:tcPr>
            <w:tcW w:type="dxa" w:w="356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List clients with lives, renewal date, claims ratio (ICR), renewal risk score (0–100) and next action</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23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Sortable by every column; default sort by renewal date</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FR-03</w:t>
            </w:r>
          </w:p>
        </w:tc>
        <w:tc>
          <w:tcPr>
            <w:tcW w:type="dxa" w:w="3569"/>
            <w:tcMar>
              <w:top w:w="40" w:type="dxa"/>
              <w:bottom w:w="40" w:type="dxa"/>
            </w:tcMar>
          </w:tcPr>
          <w:p>
            <w:pPr>
              <w:pStyle w:val="Compact"/>
              <w:spacing w:line="252" w:lineRule="auto" w:after="20" w:before="20"/>
              <w:jc w:val="left"/>
            </w:pPr>
            <w:r>
              <w:rPr>
                <w:rFonts w:ascii="Times New Roman" w:hAnsi="Times New Roman"/>
                <w:sz w:val="19"/>
              </w:rPr>
              <w:t xml:space="preserve">Colour the risk score by band (≥60 high, 40–59 medium, &lt;40 low) and show the number next to the bar</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235"/>
            <w:tcMar>
              <w:top w:w="40" w:type="dxa"/>
              <w:bottom w:w="40" w:type="dxa"/>
            </w:tcMar>
          </w:tcPr>
          <w:p>
            <w:pPr>
              <w:pStyle w:val="Compact"/>
              <w:spacing w:line="252" w:lineRule="auto" w:after="20" w:before="20"/>
              <w:jc w:val="left"/>
            </w:pPr>
            <w:r>
              <w:rPr>
                <w:rFonts w:ascii="Times New Roman" w:hAnsi="Times New Roman"/>
                <w:sz w:val="19"/>
              </w:rPr>
              <w:t xml:space="preserve">Band is never shown by colour alone</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FR-04</w:t>
            </w:r>
          </w:p>
        </w:tc>
        <w:tc>
          <w:tcPr>
            <w:tcW w:type="dxa" w:w="356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Alerts panel: AI suggestions and SLA breaches, each linking to the relevant screen</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323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Clicking an alert opens the filtered screen</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FR-05</w:t>
            </w:r>
          </w:p>
        </w:tc>
        <w:tc>
          <w:tcPr>
            <w:tcW w:type="dxa" w:w="3569"/>
            <w:tcMar>
              <w:top w:w="40" w:type="dxa"/>
              <w:bottom w:w="40" w:type="dxa"/>
            </w:tcMar>
          </w:tcPr>
          <w:p>
            <w:pPr>
              <w:pStyle w:val="Compact"/>
              <w:spacing w:line="252" w:lineRule="auto" w:after="20" w:before="20"/>
              <w:jc w:val="left"/>
            </w:pPr>
            <w:r>
              <w:rPr>
                <w:rFonts w:ascii="Times New Roman" w:hAnsi="Times New Roman"/>
                <w:sz w:val="19"/>
              </w:rPr>
              <w:t xml:space="preserve">Apply the broker’s white-label theme (logo, colours, domain)</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235"/>
            <w:tcMar>
              <w:top w:w="40" w:type="dxa"/>
              <w:bottom w:w="40" w:type="dxa"/>
            </w:tcMar>
          </w:tcPr>
          <w:p>
            <w:pPr>
              <w:pStyle w:val="Compact"/>
              <w:spacing w:line="252" w:lineRule="auto" w:after="20" w:before="20"/>
              <w:jc w:val="left"/>
            </w:pPr>
            <w:r>
              <w:rPr>
                <w:rFonts w:ascii="Times New Roman" w:hAnsi="Times New Roman"/>
                <w:sz w:val="19"/>
              </w:rPr>
              <w:t xml:space="preserve">No NivoTime branding visible to the broker’s clients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FR-06</w:t>
            </w:r>
          </w:p>
        </w:tc>
        <w:tc>
          <w:tcPr>
            <w:tcW w:type="dxa" w:w="356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Create a renewal task list automatically 90 days before each renewal</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23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Tasks appear on day T-90 with owners</w:t>
            </w:r>
          </w:p>
        </w:tc>
      </w:tr>
    </w:tbl>
    <w:p>
      <w:pPr>
        <w:pStyle w:val="BodyText"/>
        <w:spacing w:before="160"/>
      </w:pPr>
      <w:r>
        <w:rPr>
          <w:b/>
          <w:bCs/>
        </w:rPr>
        <w:t xml:space="preserve">Hours saved (FR-01)</w:t>
      </w:r>
      <w:r>
        <w:t xml:space="preserve"> </w:t>
      </w:r>
      <w:r>
        <w:t xml:space="preserve">= Σ (baseline hours per task − actual logged hours). The baseline is set during pilot onboarding (Appendix C of the report).</w:t>
      </w:r>
    </w:p>
    <w:p>
      <w:pPr>
        <w:pStyle w:val="Heading2"/>
      </w:pPr>
      <w:r>
        <w:t xml:space="preserve">5.2 S2 — Benefits Benchmarking Cockpit (Module 1)</w:t>
      </w:r>
    </w:p>
    <w:p>
      <w:pPr>
        <w:pStyle w:val="FirstParagraph"/>
      </w:pPr>
      <w:r>
        <w:t xml:space="preserve">This is the dashboard shown in the report (Section 7.4), rebuilt here on the synthetic dataset so every number comes from the simulation in Section 7.</w:t>
      </w:r>
    </w:p>
    <w:p>
      <w:pPr>
        <w:pStyle w:val="CaptionedFigure"/>
      </w:pPr>
      <w:r>
        <w:drawing>
          <wp:inline>
            <wp:extent cx="5733288" cy="3661494"/>
            <wp:effectExtent b="0" l="0" r="0" t="0"/>
            <wp:docPr descr="S2 Benefits Benchmarking Cockpit (synthetic data)" title="" id="39" name="Picture"/>
            <a:graphic>
              <a:graphicData uri="http://schemas.openxmlformats.org/drawingml/2006/picture">
                <pic:pic>
                  <pic:nvPicPr>
                    <pic:cNvPr descr="fig/s2_cockpit.png" id="40" name="Picture"/>
                    <pic:cNvPicPr>
                      <a:picLocks noChangeArrowheads="1" noChangeAspect="1"/>
                    </pic:cNvPicPr>
                  </pic:nvPicPr>
                  <pic:blipFill>
                    <a:blip r:embed="rId38"/>
                    <a:stretch>
                      <a:fillRect/>
                    </a:stretch>
                  </pic:blipFill>
                  <pic:spPr bwMode="auto">
                    <a:xfrm>
                      <a:off x="0" y="0"/>
                      <a:ext cx="5733288" cy="3661494"/>
                    </a:xfrm>
                    <a:prstGeom prst="rect">
                      <a:avLst/>
                    </a:prstGeom>
                    <a:noFill/>
                    <a:ln w="9525">
                      <a:noFill/>
                      <a:headEnd/>
                      <a:tailEnd/>
                    </a:ln>
                  </pic:spPr>
                </pic:pic>
              </a:graphicData>
            </a:graphic>
          </wp:inline>
        </w:drawing>
      </w:r>
    </w:p>
    <w:p>
      <w:pPr>
        <w:pStyle w:val="ImageCaption"/>
      </w:pPr>
      <w:r>
        <w:t xml:space="preserve">S2 Benefits Benchmarking Cockpit (synthetic data)</w:t>
      </w:r>
    </w:p>
    <w:p>
      <w:pPr>
        <w:pStyle w:val="BodyText"/>
      </w:pPr>
      <w:r>
        <w:rPr>
          <w:b/>
          <w:bCs/>
        </w:rPr>
        <w:t xml:space="preserve">Purpose:</w:t>
      </w:r>
      <w:r>
        <w:t xml:space="preserve"> </w:t>
      </w:r>
      <w:r>
        <w:t xml:space="preserve">answer the HR head’s question,</w:t>
      </w:r>
      <w:r>
        <w:t xml:space="preserve"> </w:t>
      </w:r>
      <w:r>
        <w:rPr>
          <w:i/>
          <w:iCs/>
        </w:rPr>
        <w:t xml:space="preserve">“</w:t>
      </w:r>
      <w:r>
        <w:rPr>
          <w:i/>
          <w:iCs/>
        </w:rPr>
        <w:t xml:space="preserve">Are we paying more than similar companies, and what should we change before renewal?</w:t>
      </w:r>
      <w:r>
        <w:rPr>
          <w:i/>
          <w:iCs/>
        </w:rPr>
        <w:t xml:space="preserve">”</w:t>
      </w:r>
    </w:p>
    <w:p>
      <w:pPr>
        <w:pStyle w:val="BodyText"/>
        <w:keepNext/>
      </w:pPr>
      <w:r>
        <w:rPr>
          <w:b/>
          <w:bCs/>
        </w:rPr>
        <w:t xml:space="preserve">Filters (top bar)</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800"/>
        <w:gridCol w:w="4698"/>
        <w:gridCol w:w="2530"/>
      </w:tblGrid>
      <w:tr>
        <w:trPr>
          <w:cantSplit w:val="true"/>
          <w:tblHeader w:val="true"/>
        </w:trPr>
        <w:tc>
          <w:tcPr>
            <w:tcW w:type="dxa" w:w="180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Filter</w:t>
            </w:r>
          </w:p>
        </w:tc>
        <w:tc>
          <w:tcPr>
            <w:tcW w:type="dxa" w:w="469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Values</w:t>
            </w:r>
          </w:p>
        </w:tc>
        <w:tc>
          <w:tcPr>
            <w:tcW w:type="dxa" w:w="253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Default</w:t>
            </w:r>
          </w:p>
        </w:tc>
      </w:tr>
      <w:tr>
        <w:trPr>
          <w:cantSplit w:val="true"/>
        </w:trPr>
        <w:tc>
          <w:tcPr>
            <w:tcW w:type="dxa" w:w="1800"/>
            <w:tcMar>
              <w:top w:w="40" w:type="dxa"/>
              <w:bottom w:w="40" w:type="dxa"/>
            </w:tcMar>
          </w:tcPr>
          <w:p>
            <w:pPr>
              <w:pStyle w:val="Compact"/>
              <w:spacing w:line="252" w:lineRule="auto" w:after="20" w:before="20"/>
              <w:jc w:val="left"/>
            </w:pPr>
            <w:r>
              <w:rPr>
                <w:rFonts w:ascii="Times New Roman" w:hAnsi="Times New Roman"/>
                <w:sz w:val="19"/>
              </w:rPr>
              <w:t xml:space="preserve">Industry</w:t>
            </w:r>
          </w:p>
        </w:tc>
        <w:tc>
          <w:tcPr>
            <w:tcW w:type="dxa" w:w="4698"/>
            <w:tcMar>
              <w:top w:w="40" w:type="dxa"/>
              <w:bottom w:w="40" w:type="dxa"/>
            </w:tcMar>
          </w:tcPr>
          <w:p>
            <w:pPr>
              <w:pStyle w:val="Compact"/>
              <w:spacing w:line="252" w:lineRule="auto" w:after="20" w:before="20"/>
              <w:jc w:val="left"/>
            </w:pPr>
            <w:r>
              <w:rPr>
                <w:rFonts w:ascii="Times New Roman" w:hAnsi="Times New Roman"/>
                <w:sz w:val="19"/>
              </w:rPr>
              <w:t xml:space="preserve">IT services, manufacturing, BFSI, pharma, retail, professional services</w:t>
            </w:r>
          </w:p>
        </w:tc>
        <w:tc>
          <w:tcPr>
            <w:tcW w:type="dxa" w:w="2530"/>
            <w:tcMar>
              <w:top w:w="40" w:type="dxa"/>
              <w:bottom w:w="40" w:type="dxa"/>
            </w:tcMar>
          </w:tcPr>
          <w:p>
            <w:pPr>
              <w:pStyle w:val="Compact"/>
              <w:spacing w:line="252" w:lineRule="auto" w:after="20" w:before="20"/>
              <w:jc w:val="left"/>
            </w:pPr>
            <w:r>
              <w:rPr>
                <w:rFonts w:ascii="Times New Roman" w:hAnsi="Times New Roman"/>
                <w:sz w:val="19"/>
              </w:rPr>
              <w:t xml:space="preserve">Client’s own industry</w:t>
            </w:r>
          </w:p>
        </w:tc>
      </w:tr>
      <w:tr>
        <w:trPr>
          <w:cantSplit w:val="true"/>
        </w:trPr>
        <w:tc>
          <w:tcPr>
            <w:tcW w:type="dxa" w:w="180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Company size</w:t>
            </w:r>
          </w:p>
        </w:tc>
        <w:tc>
          <w:tcPr>
            <w:tcW w:type="dxa" w:w="46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250–750, 750–2,000, 2,000+</w:t>
            </w:r>
          </w:p>
        </w:tc>
        <w:tc>
          <w:tcPr>
            <w:tcW w:type="dxa" w:w="25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Client’s band</w:t>
            </w:r>
          </w:p>
        </w:tc>
      </w:tr>
      <w:tr>
        <w:trPr>
          <w:cantSplit w:val="true"/>
        </w:trPr>
        <w:tc>
          <w:tcPr>
            <w:tcW w:type="dxa" w:w="1800"/>
            <w:tcMar>
              <w:top w:w="40" w:type="dxa"/>
              <w:bottom w:w="40" w:type="dxa"/>
            </w:tcMar>
          </w:tcPr>
          <w:p>
            <w:pPr>
              <w:pStyle w:val="Compact"/>
              <w:spacing w:line="252" w:lineRule="auto" w:after="20" w:before="20"/>
              <w:jc w:val="left"/>
            </w:pPr>
            <w:r>
              <w:rPr>
                <w:rFonts w:ascii="Times New Roman" w:hAnsi="Times New Roman"/>
                <w:sz w:val="19"/>
              </w:rPr>
              <w:t xml:space="preserve">Family cover</w:t>
            </w:r>
          </w:p>
        </w:tc>
        <w:tc>
          <w:tcPr>
            <w:tcW w:type="dxa" w:w="4698"/>
            <w:tcMar>
              <w:top w:w="40" w:type="dxa"/>
              <w:bottom w:w="40" w:type="dxa"/>
            </w:tcMar>
          </w:tcPr>
          <w:p>
            <w:pPr>
              <w:pStyle w:val="Compact"/>
              <w:spacing w:line="252" w:lineRule="auto" w:after="20" w:before="20"/>
              <w:jc w:val="left"/>
            </w:pPr>
            <w:r>
              <w:rPr>
                <w:rFonts w:ascii="Times New Roman" w:hAnsi="Times New Roman"/>
                <w:sz w:val="19"/>
              </w:rPr>
              <w:t xml:space="preserve">Employee only; E + spouse + 2 children; E+S+2C + parents</w:t>
            </w:r>
          </w:p>
        </w:tc>
        <w:tc>
          <w:tcPr>
            <w:tcW w:type="dxa" w:w="2530"/>
            <w:tcMar>
              <w:top w:w="40" w:type="dxa"/>
              <w:bottom w:w="40" w:type="dxa"/>
            </w:tcMar>
          </w:tcPr>
          <w:p>
            <w:pPr>
              <w:pStyle w:val="Compact"/>
              <w:spacing w:line="252" w:lineRule="auto" w:after="20" w:before="20"/>
              <w:jc w:val="left"/>
            </w:pPr>
            <w:r>
              <w:rPr>
                <w:rFonts w:ascii="Times New Roman" w:hAnsi="Times New Roman"/>
                <w:sz w:val="19"/>
              </w:rPr>
              <w:t xml:space="preserve">Client’s definition</w:t>
            </w:r>
          </w:p>
        </w:tc>
      </w:tr>
      <w:tr>
        <w:trPr>
          <w:cantSplit w:val="true"/>
        </w:trPr>
        <w:tc>
          <w:tcPr>
            <w:tcW w:type="dxa" w:w="180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Sum insured</w:t>
            </w:r>
          </w:p>
        </w:tc>
        <w:tc>
          <w:tcPr>
            <w:tcW w:type="dxa" w:w="46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₹3 lakh, ₹5 lakh, ₹10 lakh, custom</w:t>
            </w:r>
          </w:p>
        </w:tc>
        <w:tc>
          <w:tcPr>
            <w:tcW w:type="dxa" w:w="25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Client’s value</w:t>
            </w:r>
          </w:p>
        </w:tc>
      </w:tr>
      <w:tr>
        <w:trPr>
          <w:cantSplit w:val="true"/>
        </w:trPr>
        <w:tc>
          <w:tcPr>
            <w:tcW w:type="dxa" w:w="1800"/>
            <w:tcMar>
              <w:top w:w="40" w:type="dxa"/>
              <w:bottom w:w="40" w:type="dxa"/>
            </w:tcMar>
          </w:tcPr>
          <w:p>
            <w:pPr>
              <w:pStyle w:val="Compact"/>
              <w:spacing w:line="252" w:lineRule="auto" w:after="20" w:before="20"/>
              <w:jc w:val="left"/>
            </w:pPr>
            <w:r>
              <w:rPr>
                <w:rFonts w:ascii="Times New Roman" w:hAnsi="Times New Roman"/>
                <w:sz w:val="19"/>
              </w:rPr>
              <w:t xml:space="preserve">Co-pay (parents)</w:t>
            </w:r>
          </w:p>
        </w:tc>
        <w:tc>
          <w:tcPr>
            <w:tcW w:type="dxa" w:w="4698"/>
            <w:tcMar>
              <w:top w:w="40" w:type="dxa"/>
              <w:bottom w:w="40" w:type="dxa"/>
            </w:tcMar>
          </w:tcPr>
          <w:p>
            <w:pPr>
              <w:pStyle w:val="Compact"/>
              <w:spacing w:line="252" w:lineRule="auto" w:after="20" w:before="20"/>
              <w:jc w:val="left"/>
            </w:pPr>
            <w:r>
              <w:rPr>
                <w:rFonts w:ascii="Times New Roman" w:hAnsi="Times New Roman"/>
                <w:sz w:val="19"/>
              </w:rPr>
              <w:t xml:space="preserve">0%, 10%, 20%</w:t>
            </w:r>
          </w:p>
        </w:tc>
        <w:tc>
          <w:tcPr>
            <w:tcW w:type="dxa" w:w="2530"/>
            <w:tcMar>
              <w:top w:w="40" w:type="dxa"/>
              <w:bottom w:w="40" w:type="dxa"/>
            </w:tcMar>
          </w:tcPr>
          <w:p>
            <w:pPr>
              <w:pStyle w:val="Compact"/>
              <w:spacing w:line="252" w:lineRule="auto" w:after="20" w:before="20"/>
              <w:jc w:val="left"/>
            </w:pPr>
            <w:r>
              <w:rPr>
                <w:rFonts w:ascii="Times New Roman" w:hAnsi="Times New Roman"/>
                <w:sz w:val="19"/>
              </w:rPr>
              <w:t xml:space="preserve">Client’s value</w:t>
            </w:r>
          </w:p>
        </w:tc>
      </w:tr>
      <w:tr>
        <w:trPr>
          <w:cantSplit w:val="true"/>
        </w:trPr>
        <w:tc>
          <w:tcPr>
            <w:tcW w:type="dxa" w:w="180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Peer set</w:t>
            </w:r>
          </w:p>
        </w:tc>
        <w:tc>
          <w:tcPr>
            <w:tcW w:type="dxa" w:w="46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Auto (k-nearest neighbours) or manual</w:t>
            </w:r>
          </w:p>
        </w:tc>
        <w:tc>
          <w:tcPr>
            <w:tcW w:type="dxa" w:w="25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Auto, shown as</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n companies</w:t>
            </w:r>
            <w:r>
              <w:rPr>
                <w:rFonts w:ascii="Times New Roman" w:hAnsi="Times New Roman"/>
                <w:sz w:val="19"/>
              </w:rPr>
              <w:t xml:space="preserve">”</w:t>
            </w:r>
          </w:p>
        </w:tc>
      </w:tr>
    </w:tbl>
    <w:p>
      <w:pPr>
        <w:pStyle w:val="BodyText"/>
        <w:keepNext/>
        <w:spacing w:before="160"/>
      </w:pPr>
      <w:r>
        <w:rPr>
          <w:b/>
          <w:bCs/>
        </w:rPr>
        <w:t xml:space="preserve">KPI tiles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071"/>
        <w:gridCol w:w="4491"/>
        <w:gridCol w:w="2465"/>
      </w:tblGrid>
      <w:tr>
        <w:trPr>
          <w:cantSplit w:val="true"/>
          <w:tblHeader w:val="true"/>
        </w:trPr>
        <w:tc>
          <w:tcPr>
            <w:tcW w:type="dxa" w:w="207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Tile</w:t>
            </w:r>
          </w:p>
        </w:tc>
        <w:tc>
          <w:tcPr>
            <w:tcW w:type="dxa" w:w="449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Definition</w:t>
            </w:r>
          </w:p>
        </w:tc>
        <w:tc>
          <w:tcPr>
            <w:tcW w:type="dxa" w:w="246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Comparison shown</w:t>
            </w:r>
          </w:p>
        </w:tc>
      </w:tr>
      <w:tr>
        <w:trPr>
          <w:cantSplit w:val="true"/>
        </w:trPr>
        <w:tc>
          <w:tcPr>
            <w:tcW w:type="dxa" w:w="2071"/>
            <w:tcMar>
              <w:top w:w="40" w:type="dxa"/>
              <w:bottom w:w="40" w:type="dxa"/>
            </w:tcMar>
          </w:tcPr>
          <w:p>
            <w:pPr>
              <w:pStyle w:val="Compact"/>
              <w:spacing w:line="252" w:lineRule="auto" w:after="20" w:before="20"/>
              <w:jc w:val="left"/>
            </w:pPr>
            <w:r>
              <w:rPr>
                <w:rFonts w:ascii="Times New Roman" w:hAnsi="Times New Roman"/>
                <w:sz w:val="19"/>
              </w:rPr>
              <w:t xml:space="preserve">Premium per life</w:t>
            </w:r>
          </w:p>
        </w:tc>
        <w:tc>
          <w:tcPr>
            <w:tcW w:type="dxa" w:w="4492"/>
            <w:tcMar>
              <w:top w:w="40" w:type="dxa"/>
              <w:bottom w:w="40" w:type="dxa"/>
            </w:tcMar>
          </w:tcPr>
          <w:p>
            <w:pPr>
              <w:pStyle w:val="Compact"/>
              <w:spacing w:line="252" w:lineRule="auto" w:after="20" w:before="20"/>
              <w:jc w:val="left"/>
            </w:pPr>
            <w:r>
              <w:rPr>
                <w:rFonts w:ascii="Times New Roman" w:hAnsi="Times New Roman"/>
                <w:sz w:val="19"/>
              </w:rPr>
              <w:t xml:space="preserve">Annual premium ÷ covered lives</w:t>
            </w:r>
          </w:p>
        </w:tc>
        <w:tc>
          <w:tcPr>
            <w:tcW w:type="dxa" w:w="2466"/>
            <w:tcMar>
              <w:top w:w="40" w:type="dxa"/>
              <w:bottom w:w="40" w:type="dxa"/>
            </w:tcMar>
          </w:tcPr>
          <w:p>
            <w:pPr>
              <w:pStyle w:val="Compact"/>
              <w:spacing w:line="252" w:lineRule="auto" w:after="20" w:before="20"/>
              <w:jc w:val="left"/>
            </w:pPr>
            <w:r>
              <w:rPr>
                <w:rFonts w:ascii="Times New Roman" w:hAnsi="Times New Roman"/>
                <w:sz w:val="19"/>
              </w:rPr>
              <w:t xml:space="preserve">Percentile within peer set</w:t>
            </w:r>
          </w:p>
        </w:tc>
      </w:tr>
      <w:tr>
        <w:trPr>
          <w:cantSplit w:val="true"/>
        </w:trPr>
        <w:tc>
          <w:tcPr>
            <w:tcW w:type="dxa" w:w="207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Claims ratio (ICR)</w:t>
            </w:r>
          </w:p>
        </w:tc>
        <w:tc>
          <w:tcPr>
            <w:tcW w:type="dxa" w:w="449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Incurred claims ÷ earned premium, last 12 months</w:t>
            </w:r>
          </w:p>
        </w:tc>
        <w:tc>
          <w:tcPr>
            <w:tcW w:type="dxa" w:w="246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Peer median</w:t>
            </w:r>
          </w:p>
        </w:tc>
      </w:tr>
      <w:tr>
        <w:trPr>
          <w:cantSplit w:val="true"/>
        </w:trPr>
        <w:tc>
          <w:tcPr>
            <w:tcW w:type="dxa" w:w="2071"/>
            <w:tcMar>
              <w:top w:w="40" w:type="dxa"/>
              <w:bottom w:w="40" w:type="dxa"/>
            </w:tcMar>
          </w:tcPr>
          <w:p>
            <w:pPr>
              <w:pStyle w:val="Compact"/>
              <w:spacing w:line="252" w:lineRule="auto" w:after="20" w:before="20"/>
              <w:jc w:val="left"/>
            </w:pPr>
            <w:r>
              <w:rPr>
                <w:rFonts w:ascii="Times New Roman" w:hAnsi="Times New Roman"/>
                <w:sz w:val="19"/>
              </w:rPr>
              <w:t xml:space="preserve">Forecast renewal load</w:t>
            </w:r>
          </w:p>
        </w:tc>
        <w:tc>
          <w:tcPr>
            <w:tcW w:type="dxa" w:w="4492"/>
            <w:tcMar>
              <w:top w:w="40" w:type="dxa"/>
              <w:bottom w:w="40" w:type="dxa"/>
            </w:tcMar>
          </w:tcPr>
          <w:p>
            <w:pPr>
              <w:pStyle w:val="Compact"/>
              <w:spacing w:line="252" w:lineRule="auto" w:after="20" w:before="20"/>
              <w:jc w:val="left"/>
            </w:pPr>
            <w:r>
              <w:rPr>
                <w:rFonts w:ascii="Times New Roman" w:hAnsi="Times New Roman"/>
                <w:sz w:val="19"/>
              </w:rPr>
              <w:t xml:space="preserve">Output of the renewal forecast model (AI-02)</w:t>
            </w:r>
          </w:p>
        </w:tc>
        <w:tc>
          <w:tcPr>
            <w:tcW w:type="dxa" w:w="2466"/>
            <w:tcMar>
              <w:top w:w="40" w:type="dxa"/>
              <w:bottom w:w="40" w:type="dxa"/>
            </w:tcMar>
          </w:tcPr>
          <w:p>
            <w:pPr>
              <w:pStyle w:val="Compact"/>
              <w:spacing w:line="252" w:lineRule="auto" w:after="20" w:before="20"/>
              <w:jc w:val="left"/>
            </w:pPr>
            <w:r>
              <w:rPr>
                <w:rFonts w:ascii="Times New Roman" w:hAnsi="Times New Roman"/>
                <w:sz w:val="19"/>
              </w:rPr>
              <w:t xml:space="preserve">± model error range</w:t>
            </w:r>
          </w:p>
        </w:tc>
      </w:tr>
      <w:tr>
        <w:trPr>
          <w:cantSplit w:val="true"/>
        </w:trPr>
        <w:tc>
          <w:tcPr>
            <w:tcW w:type="dxa" w:w="207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Employee engagement</w:t>
            </w:r>
          </w:p>
        </w:tc>
        <w:tc>
          <w:tcPr>
            <w:tcW w:type="dxa" w:w="449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Employees who acted on at least one nudge or login in 90 days ÷ eligible employees</w:t>
            </w:r>
          </w:p>
        </w:tc>
        <w:tc>
          <w:tcPr>
            <w:tcW w:type="dxa" w:w="246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Peer median</w:t>
            </w:r>
          </w:p>
        </w:tc>
      </w:tr>
    </w:tbl>
    <w:p>
      <w:pPr>
        <w:pStyle w:val="BodyText"/>
        <w:keepNext/>
        <w:spacing w:before="160"/>
      </w:pPr>
      <w:r>
        <w:rPr>
          <w:b/>
          <w:bCs/>
        </w:rPr>
        <w:t xml:space="preserve">Requirements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736"/>
        <w:gridCol w:w="1296"/>
        <w:gridCol w:w="3067"/>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73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306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FR-10</w:t>
            </w:r>
          </w:p>
        </w:tc>
        <w:tc>
          <w:tcPr>
            <w:tcW w:type="dxa" w:w="3736"/>
            <w:tcMar>
              <w:top w:w="40" w:type="dxa"/>
              <w:bottom w:w="40" w:type="dxa"/>
            </w:tcMar>
          </w:tcPr>
          <w:p>
            <w:pPr>
              <w:pStyle w:val="Compact"/>
              <w:spacing w:line="252" w:lineRule="auto" w:after="20" w:before="20"/>
              <w:jc w:val="left"/>
            </w:pPr>
            <w:r>
              <w:rPr>
                <w:rFonts w:ascii="Times New Roman" w:hAnsi="Times New Roman"/>
                <w:sz w:val="19"/>
              </w:rPr>
              <w:t xml:space="preserve">Filter bar with the six filters above; changes refresh all tiles and charts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068"/>
            <w:tcMar>
              <w:top w:w="40" w:type="dxa"/>
              <w:bottom w:w="40" w:type="dxa"/>
            </w:tcMar>
          </w:tcPr>
          <w:p>
            <w:pPr>
              <w:pStyle w:val="Compact"/>
              <w:spacing w:line="252" w:lineRule="auto" w:after="20" w:before="20"/>
              <w:jc w:val="left"/>
            </w:pPr>
            <w:r>
              <w:rPr>
                <w:rFonts w:ascii="Times New Roman" w:hAnsi="Times New Roman"/>
                <w:sz w:val="19"/>
              </w:rPr>
              <w:t xml:space="preserve">Refresh in &lt; 3 seconds for a peer pool of 5,000 companies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FR-11</w:t>
            </w:r>
          </w:p>
        </w:tc>
        <w:tc>
          <w:tcPr>
            <w:tcW w:type="dxa" w:w="37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Peer set must contain</w:t>
            </w:r>
            <w:r>
              <w:rPr>
                <w:rFonts w:ascii="Times New Roman" w:hAnsi="Times New Roman"/>
                <w:sz w:val="19"/>
              </w:rPr>
              <w:t xml:space="preserve"> </w:t>
            </w:r>
            <w:r>
              <w:rPr>
                <w:rFonts w:ascii="Times New Roman" w:hAnsi="Times New Roman"/>
                <w:b/>
                <w:bCs/>
                <w:sz w:val="19"/>
              </w:rPr>
              <w:t xml:space="preserve">at least 10 companies</w:t>
            </w:r>
            <w:r>
              <w:rPr>
                <w:rFonts w:ascii="Times New Roman" w:hAnsi="Times New Roman"/>
                <w:sz w:val="19"/>
              </w:rPr>
              <w:t xml:space="preserve">; otherwise the filter is widened automatically and the user is told</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0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No chart ever shows a peer set &lt; 10</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FR-12</w:t>
            </w:r>
          </w:p>
        </w:tc>
        <w:tc>
          <w:tcPr>
            <w:tcW w:type="dxa" w:w="3736"/>
            <w:tcMar>
              <w:top w:w="40" w:type="dxa"/>
              <w:bottom w:w="40" w:type="dxa"/>
            </w:tcMar>
          </w:tcPr>
          <w:p>
            <w:pPr>
              <w:pStyle w:val="Compact"/>
              <w:spacing w:line="252" w:lineRule="auto" w:after="20" w:before="20"/>
              <w:jc w:val="left"/>
            </w:pPr>
            <w:r>
              <w:rPr>
                <w:rFonts w:ascii="Times New Roman" w:hAnsi="Times New Roman"/>
                <w:sz w:val="19"/>
              </w:rPr>
              <w:t xml:space="preserve">Percentile chart for six plan features (sum insured, parental cover, maternity, room-rent, OPD/wellness, premium per life) with a peer-median marker</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068"/>
            <w:tcMar>
              <w:top w:w="40" w:type="dxa"/>
              <w:bottom w:w="40" w:type="dxa"/>
            </w:tcMar>
          </w:tcPr>
          <w:p>
            <w:pPr>
              <w:pStyle w:val="Compact"/>
              <w:spacing w:line="252" w:lineRule="auto" w:after="20" w:before="20"/>
              <w:jc w:val="left"/>
            </w:pPr>
            <w:r>
              <w:rPr>
                <w:rFonts w:ascii="Times New Roman" w:hAnsi="Times New Roman"/>
                <w:sz w:val="19"/>
              </w:rPr>
              <w:t xml:space="preserve">Numbers printed on bars; median marker labelled</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FR-13</w:t>
            </w:r>
          </w:p>
        </w:tc>
        <w:tc>
          <w:tcPr>
            <w:tcW w:type="dxa" w:w="37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 renewal insights panel: 3–5 plain-language insights, each with the number behind it and a link to the Simulation Lab</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0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Every insight cites its data; broker can hide any insight</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FR-14</w:t>
            </w:r>
          </w:p>
        </w:tc>
        <w:tc>
          <w:tcPr>
            <w:tcW w:type="dxa" w:w="3736"/>
            <w:tcMar>
              <w:top w:w="40" w:type="dxa"/>
              <w:bottom w:w="40" w:type="dxa"/>
            </w:tcMar>
          </w:tcPr>
          <w:p>
            <w:pPr>
              <w:pStyle w:val="Compact"/>
              <w:spacing w:line="252" w:lineRule="auto" w:after="20" w:before="20"/>
              <w:jc w:val="left"/>
            </w:pPr>
            <w:r>
              <w:rPr>
                <w:rFonts w:ascii="Times New Roman" w:hAnsi="Times New Roman"/>
                <w:sz w:val="19"/>
              </w:rPr>
              <w:t xml:space="preserve">“</w:t>
            </w:r>
            <w:r>
              <w:rPr>
                <w:rFonts w:ascii="Times New Roman" w:hAnsi="Times New Roman"/>
                <w:sz w:val="19"/>
              </w:rPr>
              <w:t xml:space="preserve">Export benchmark pack</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to PDF and PowerPoint in the broker’s branding</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3068"/>
            <w:tcMar>
              <w:top w:w="40" w:type="dxa"/>
              <w:bottom w:w="40" w:type="dxa"/>
            </w:tcMar>
          </w:tcPr>
          <w:p>
            <w:pPr>
              <w:pStyle w:val="Compact"/>
              <w:spacing w:line="252" w:lineRule="auto" w:after="20" w:before="20"/>
              <w:jc w:val="left"/>
            </w:pPr>
            <w:r>
              <w:rPr>
                <w:rFonts w:ascii="Times New Roman" w:hAnsi="Times New Roman"/>
                <w:sz w:val="19"/>
              </w:rPr>
              <w:t xml:space="preserve">Export in &lt; 20 seconds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FR-15</w:t>
            </w:r>
          </w:p>
        </w:tc>
        <w:tc>
          <w:tcPr>
            <w:tcW w:type="dxa" w:w="37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Data freshness label on every tile (for example</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claims to 31 Aug</w:t>
            </w:r>
            <w:r>
              <w:rPr>
                <w:rFonts w:ascii="Times New Roman" w:hAnsi="Times New Roman"/>
                <w:sz w:val="19"/>
              </w:rPr>
              <w:t xml:space="preserve">”</w:t>
            </w:r>
            <w:r>
              <w:rPr>
                <w:rFonts w:ascii="Times New Roman" w:hAnsi="Times New Roman"/>
                <w:sz w:val="19"/>
              </w:rPr>
              <w:t xml:space="preserve">)</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30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Label visible on screen and in exports</w:t>
            </w:r>
          </w:p>
        </w:tc>
      </w:tr>
    </w:tbl>
    <w:p>
      <w:pPr>
        <w:pStyle w:val="Heading2"/>
        <w:spacing w:before="160"/>
      </w:pPr>
      <w:r>
        <w:t xml:space="preserve">5.3 S3 — Quote &amp; Renewal Desk (Module 2)</w:t>
      </w:r>
    </w:p>
    <w:p>
      <w:pPr>
        <w:pStyle w:val="CaptionedFigure"/>
      </w:pPr>
      <w:r>
        <w:drawing>
          <wp:inline>
            <wp:extent cx="5733288" cy="2928614"/>
            <wp:effectExtent b="0" l="0" r="0" t="0"/>
            <wp:docPr descr="S3 Quote &amp; Renewal Desk (illustrative data, from the report)" title="" id="42" name="Picture"/>
            <a:graphic>
              <a:graphicData uri="http://schemas.openxmlformats.org/drawingml/2006/picture">
                <pic:pic>
                  <pic:nvPicPr>
                    <pic:cNvPr descr="fig/f5_quotes.png" id="43" name="Picture"/>
                    <pic:cNvPicPr>
                      <a:picLocks noChangeArrowheads="1" noChangeAspect="1"/>
                    </pic:cNvPicPr>
                  </pic:nvPicPr>
                  <pic:blipFill>
                    <a:blip r:embed="rId41"/>
                    <a:stretch>
                      <a:fillRect/>
                    </a:stretch>
                  </pic:blipFill>
                  <pic:spPr bwMode="auto">
                    <a:xfrm>
                      <a:off x="0" y="0"/>
                      <a:ext cx="5733288" cy="2928614"/>
                    </a:xfrm>
                    <a:prstGeom prst="rect">
                      <a:avLst/>
                    </a:prstGeom>
                    <a:noFill/>
                    <a:ln w="9525">
                      <a:noFill/>
                      <a:headEnd/>
                      <a:tailEnd/>
                    </a:ln>
                  </pic:spPr>
                </pic:pic>
              </a:graphicData>
            </a:graphic>
          </wp:inline>
        </w:drawing>
      </w:r>
    </w:p>
    <w:p>
      <w:pPr>
        <w:pStyle w:val="ImageCaption"/>
      </w:pPr>
      <w:r>
        <w:t xml:space="preserve">S3 Quote &amp; Renewal Desk (illustrative data, from the report)</w:t>
      </w:r>
    </w:p>
    <w:p>
      <w:pPr>
        <w:pStyle w:val="CaptionedFigure"/>
      </w:pPr>
      <w:r>
        <w:drawing>
          <wp:inline>
            <wp:extent cx="5733288" cy="2009710"/>
            <wp:effectExtent b="0" l="0" r="0" t="0"/>
            <wp:docPr descr="Quote document AI pipeline" title="" id="45" name="Picture"/>
            <a:graphic>
              <a:graphicData uri="http://schemas.openxmlformats.org/drawingml/2006/picture">
                <pic:pic>
                  <pic:nvPicPr>
                    <pic:cNvPr descr="fig/d3_quote_pipeline.png" id="46" name="Picture"/>
                    <pic:cNvPicPr>
                      <a:picLocks noChangeArrowheads="1" noChangeAspect="1"/>
                    </pic:cNvPicPr>
                  </pic:nvPicPr>
                  <pic:blipFill>
                    <a:blip r:embed="rId44"/>
                    <a:stretch>
                      <a:fillRect/>
                    </a:stretch>
                  </pic:blipFill>
                  <pic:spPr bwMode="auto">
                    <a:xfrm>
                      <a:off x="0" y="0"/>
                      <a:ext cx="5733288" cy="2009710"/>
                    </a:xfrm>
                    <a:prstGeom prst="rect">
                      <a:avLst/>
                    </a:prstGeom>
                    <a:noFill/>
                    <a:ln w="9525">
                      <a:noFill/>
                      <a:headEnd/>
                      <a:tailEnd/>
                    </a:ln>
                  </pic:spPr>
                </pic:pic>
              </a:graphicData>
            </a:graphic>
          </wp:inline>
        </w:drawing>
      </w:r>
    </w:p>
    <w:p>
      <w:pPr>
        <w:pStyle w:val="ImageCaption"/>
      </w:pPr>
      <w:r>
        <w:t xml:space="preserve">Quote document AI pipeline</w:t>
      </w:r>
    </w:p>
    <w:p>
      <w:pPr>
        <w:pStyle w:val="BodyText"/>
        <w:keepNext/>
      </w:pPr>
      <w:r>
        <w:rPr>
          <w:b/>
          <w:bCs/>
        </w:rPr>
        <w:t xml:space="preserve">Standard quote schema (24 fields, grouped)</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250"/>
        <w:gridCol w:w="6777"/>
      </w:tblGrid>
      <w:tr>
        <w:trPr>
          <w:cantSplit w:val="true"/>
          <w:tblHeader w:val="true"/>
        </w:trPr>
        <w:tc>
          <w:tcPr>
            <w:tcW w:type="dxa" w:w="22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Group</w:t>
            </w:r>
          </w:p>
        </w:tc>
        <w:tc>
          <w:tcPr>
            <w:tcW w:type="dxa" w:w="677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Fields</w:t>
            </w:r>
          </w:p>
        </w:tc>
      </w:tr>
      <w:tr>
        <w:trPr>
          <w:cantSplit w:val="true"/>
        </w:trPr>
        <w:tc>
          <w:tcPr>
            <w:tcW w:type="dxa" w:w="2251"/>
            <w:tcMar>
              <w:top w:w="40" w:type="dxa"/>
              <w:bottom w:w="40" w:type="dxa"/>
            </w:tcMar>
          </w:tcPr>
          <w:p>
            <w:pPr>
              <w:pStyle w:val="Compact"/>
              <w:spacing w:line="252" w:lineRule="auto" w:after="20" w:before="20"/>
              <w:jc w:val="left"/>
            </w:pPr>
            <w:r>
              <w:rPr>
                <w:rFonts w:ascii="Times New Roman" w:hAnsi="Times New Roman"/>
                <w:sz w:val="19"/>
              </w:rPr>
              <w:t xml:space="preserve">Commercials</w:t>
            </w:r>
          </w:p>
        </w:tc>
        <w:tc>
          <w:tcPr>
            <w:tcW w:type="dxa" w:w="6778"/>
            <w:tcMar>
              <w:top w:w="40" w:type="dxa"/>
              <w:bottom w:w="40" w:type="dxa"/>
            </w:tcMar>
          </w:tcPr>
          <w:p>
            <w:pPr>
              <w:pStyle w:val="Compact"/>
              <w:spacing w:line="252" w:lineRule="auto" w:after="20" w:before="20"/>
              <w:jc w:val="left"/>
            </w:pPr>
            <w:r>
              <w:rPr>
                <w:rFonts w:ascii="Times New Roman" w:hAnsi="Times New Roman"/>
                <w:sz w:val="19"/>
              </w:rPr>
              <w:t xml:space="preserve">Insurer, TPA, premium, GST, policy period, payment terms</w:t>
            </w:r>
          </w:p>
        </w:tc>
      </w:tr>
      <w:tr>
        <w:trPr>
          <w:cantSplit w:val="true"/>
        </w:trPr>
        <w:tc>
          <w:tcPr>
            <w:tcW w:type="dxa" w:w="22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Cover</w:t>
            </w:r>
          </w:p>
        </w:tc>
        <w:tc>
          <w:tcPr>
            <w:tcW w:type="dxa" w:w="67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Sum insured, family definition, floater/individual, corporate buffer</w:t>
            </w:r>
          </w:p>
        </w:tc>
      </w:tr>
      <w:tr>
        <w:trPr>
          <w:cantSplit w:val="true"/>
        </w:trPr>
        <w:tc>
          <w:tcPr>
            <w:tcW w:type="dxa" w:w="2251"/>
            <w:tcMar>
              <w:top w:w="40" w:type="dxa"/>
              <w:bottom w:w="40" w:type="dxa"/>
            </w:tcMar>
          </w:tcPr>
          <w:p>
            <w:pPr>
              <w:pStyle w:val="Compact"/>
              <w:spacing w:line="252" w:lineRule="auto" w:after="20" w:before="20"/>
              <w:jc w:val="left"/>
            </w:pPr>
            <w:r>
              <w:rPr>
                <w:rFonts w:ascii="Times New Roman" w:hAnsi="Times New Roman"/>
                <w:sz w:val="19"/>
              </w:rPr>
              <w:t xml:space="preserve">Limits</w:t>
            </w:r>
          </w:p>
        </w:tc>
        <w:tc>
          <w:tcPr>
            <w:tcW w:type="dxa" w:w="6778"/>
            <w:tcMar>
              <w:top w:w="40" w:type="dxa"/>
              <w:bottom w:w="40" w:type="dxa"/>
            </w:tcMar>
          </w:tcPr>
          <w:p>
            <w:pPr>
              <w:pStyle w:val="Compact"/>
              <w:spacing w:line="252" w:lineRule="auto" w:after="20" w:before="20"/>
              <w:jc w:val="left"/>
            </w:pPr>
            <w:r>
              <w:rPr>
                <w:rFonts w:ascii="Times New Roman" w:hAnsi="Times New Roman"/>
                <w:sz w:val="19"/>
              </w:rPr>
              <w:t xml:space="preserve">Room-rent cap, ICU cap, maternity limit, new-born cover, disease-wise sub-limits</w:t>
            </w:r>
          </w:p>
        </w:tc>
      </w:tr>
      <w:tr>
        <w:trPr>
          <w:cantSplit w:val="true"/>
        </w:trPr>
        <w:tc>
          <w:tcPr>
            <w:tcW w:type="dxa" w:w="22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Cost sharing</w:t>
            </w:r>
          </w:p>
        </w:tc>
        <w:tc>
          <w:tcPr>
            <w:tcW w:type="dxa" w:w="67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Co-pay (employees), co-pay (parents), deductible</w:t>
            </w:r>
          </w:p>
        </w:tc>
      </w:tr>
      <w:tr>
        <w:trPr>
          <w:cantSplit w:val="true"/>
        </w:trPr>
        <w:tc>
          <w:tcPr>
            <w:tcW w:type="dxa" w:w="2251"/>
            <w:tcMar>
              <w:top w:w="40" w:type="dxa"/>
              <w:bottom w:w="40" w:type="dxa"/>
            </w:tcMar>
          </w:tcPr>
          <w:p>
            <w:pPr>
              <w:pStyle w:val="Compact"/>
              <w:spacing w:line="252" w:lineRule="auto" w:after="20" w:before="20"/>
              <w:jc w:val="left"/>
            </w:pPr>
            <w:r>
              <w:rPr>
                <w:rFonts w:ascii="Times New Roman" w:hAnsi="Times New Roman"/>
                <w:sz w:val="19"/>
              </w:rPr>
              <w:t xml:space="preserve">Waiting periods</w:t>
            </w:r>
          </w:p>
        </w:tc>
        <w:tc>
          <w:tcPr>
            <w:tcW w:type="dxa" w:w="6778"/>
            <w:tcMar>
              <w:top w:w="40" w:type="dxa"/>
              <w:bottom w:w="40" w:type="dxa"/>
            </w:tcMar>
          </w:tcPr>
          <w:p>
            <w:pPr>
              <w:pStyle w:val="Compact"/>
              <w:spacing w:line="252" w:lineRule="auto" w:after="20" w:before="20"/>
              <w:jc w:val="left"/>
            </w:pPr>
            <w:r>
              <w:rPr>
                <w:rFonts w:ascii="Times New Roman" w:hAnsi="Times New Roman"/>
                <w:sz w:val="19"/>
              </w:rPr>
              <w:t xml:space="preserve">Pre-existing disease, 30-day, specific illness, maternity</w:t>
            </w:r>
          </w:p>
        </w:tc>
      </w:tr>
      <w:tr>
        <w:trPr>
          <w:cantSplit w:val="true"/>
        </w:trPr>
        <w:tc>
          <w:tcPr>
            <w:tcW w:type="dxa" w:w="22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Other</w:t>
            </w:r>
          </w:p>
        </w:tc>
        <w:tc>
          <w:tcPr>
            <w:tcW w:type="dxa" w:w="67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Modern treatments, OPD, wellness add-ons, exclusions list</w:t>
            </w:r>
          </w:p>
        </w:tc>
      </w:tr>
    </w:tbl>
    <w:p>
      <w:pPr>
        <w:spacing w:before="160"/>
      </w:pP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843"/>
        <w:gridCol w:w="1296"/>
        <w:gridCol w:w="2960"/>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84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296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FR-20</w:t>
            </w:r>
          </w:p>
        </w:tc>
        <w:tc>
          <w:tcPr>
            <w:tcW w:type="dxa" w:w="3844"/>
            <w:tcMar>
              <w:top w:w="40" w:type="dxa"/>
              <w:bottom w:w="40" w:type="dxa"/>
            </w:tcMar>
          </w:tcPr>
          <w:p>
            <w:pPr>
              <w:pStyle w:val="Compact"/>
              <w:spacing w:line="252" w:lineRule="auto" w:after="20" w:before="20"/>
              <w:jc w:val="left"/>
            </w:pPr>
            <w:r>
              <w:rPr>
                <w:rFonts w:ascii="Times New Roman" w:hAnsi="Times New Roman"/>
                <w:sz w:val="19"/>
              </w:rPr>
              <w:t xml:space="preserve">Upload quotes as PDF, Excel or email attachment (up to 10 per renewal)</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960"/>
            <w:tcMar>
              <w:top w:w="40" w:type="dxa"/>
              <w:bottom w:w="40" w:type="dxa"/>
            </w:tcMar>
          </w:tcPr>
          <w:p>
            <w:pPr>
              <w:pStyle w:val="Compact"/>
              <w:spacing w:line="252" w:lineRule="auto" w:after="20" w:before="20"/>
              <w:jc w:val="left"/>
            </w:pPr>
            <w:r>
              <w:rPr>
                <w:rFonts w:ascii="Times New Roman" w:hAnsi="Times New Roman"/>
                <w:sz w:val="19"/>
              </w:rPr>
              <w:t xml:space="preserve">Files up to 20 MB accepted; virus-scanned</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FR-21</w:t>
            </w:r>
          </w:p>
        </w:tc>
        <w:tc>
          <w:tcPr>
            <w:tcW w:type="dxa" w:w="384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Extract all 24 fields with a confidence score per field (AI-04)</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96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Field accuracy ≥95% on the labelled test set</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FR-22</w:t>
            </w:r>
          </w:p>
        </w:tc>
        <w:tc>
          <w:tcPr>
            <w:tcW w:type="dxa" w:w="3844"/>
            <w:tcMar>
              <w:top w:w="40" w:type="dxa"/>
              <w:bottom w:w="40" w:type="dxa"/>
            </w:tcMar>
          </w:tcPr>
          <w:p>
            <w:pPr>
              <w:pStyle w:val="Compact"/>
              <w:spacing w:line="252" w:lineRule="auto" w:after="20" w:before="20"/>
              <w:jc w:val="left"/>
            </w:pPr>
            <w:r>
              <w:rPr>
                <w:rFonts w:ascii="Times New Roman" w:hAnsi="Times New Roman"/>
                <w:sz w:val="19"/>
              </w:rPr>
              <w:t xml:space="preserve">Send only fields with confidence &lt; 0.85 to human review, highlighted in the grid</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960"/>
            <w:tcMar>
              <w:top w:w="40" w:type="dxa"/>
              <w:bottom w:w="40" w:type="dxa"/>
            </w:tcMar>
          </w:tcPr>
          <w:p>
            <w:pPr>
              <w:pStyle w:val="Compact"/>
              <w:spacing w:line="252" w:lineRule="auto" w:after="20" w:before="20"/>
              <w:jc w:val="left"/>
            </w:pPr>
            <w:r>
              <w:rPr>
                <w:rFonts w:ascii="Times New Roman" w:hAnsi="Times New Roman"/>
                <w:sz w:val="19"/>
              </w:rPr>
              <w:t xml:space="preserve">Reviewer sees the source snippet next to the field</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FR-23</w:t>
            </w:r>
          </w:p>
        </w:tc>
        <w:tc>
          <w:tcPr>
            <w:tcW w:type="dxa" w:w="384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Comparison grid vs the expiring policy; orange box = worse than expiring, green = better</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96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Flags also shown as text labels, not colour alone</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FR-24</w:t>
            </w:r>
          </w:p>
        </w:tc>
        <w:tc>
          <w:tcPr>
            <w:tcW w:type="dxa" w:w="3844"/>
            <w:tcMar>
              <w:top w:w="40" w:type="dxa"/>
              <w:bottom w:w="40" w:type="dxa"/>
            </w:tcMar>
          </w:tcPr>
          <w:p>
            <w:pPr>
              <w:pStyle w:val="Compact"/>
              <w:spacing w:line="252" w:lineRule="auto" w:after="20" w:before="20"/>
              <w:jc w:val="left"/>
            </w:pPr>
            <w:r>
              <w:rPr>
                <w:rFonts w:ascii="Times New Roman" w:hAnsi="Times New Roman"/>
                <w:sz w:val="19"/>
              </w:rPr>
              <w:t xml:space="preserve">“</w:t>
            </w:r>
            <w:r>
              <w:rPr>
                <w:rFonts w:ascii="Times New Roman" w:hAnsi="Times New Roman"/>
                <w:sz w:val="19"/>
              </w:rPr>
              <w:t xml:space="preserve">AI value score</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(0–100) per quote, combining price and coverage, with the formula visible on hover</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960"/>
            <w:tcMar>
              <w:top w:w="40" w:type="dxa"/>
              <w:bottom w:w="40" w:type="dxa"/>
            </w:tcMar>
          </w:tcPr>
          <w:p>
            <w:pPr>
              <w:pStyle w:val="Compact"/>
              <w:spacing w:line="252" w:lineRule="auto" w:after="20" w:before="20"/>
              <w:jc w:val="left"/>
            </w:pPr>
            <w:r>
              <w:rPr>
                <w:rFonts w:ascii="Times New Roman" w:hAnsi="Times New Roman"/>
                <w:sz w:val="19"/>
              </w:rPr>
              <w:t xml:space="preserve">Weights editable by the broker</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FR-25</w:t>
            </w:r>
          </w:p>
        </w:tc>
        <w:tc>
          <w:tcPr>
            <w:tcW w:type="dxa" w:w="384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Renewal calendar and decision log (who chose what, when, why)</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96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Log cannot be edited after approval</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FR-26</w:t>
            </w:r>
          </w:p>
        </w:tc>
        <w:tc>
          <w:tcPr>
            <w:tcW w:type="dxa" w:w="3844"/>
            <w:tcMar>
              <w:top w:w="40" w:type="dxa"/>
              <w:bottom w:w="40" w:type="dxa"/>
            </w:tcMar>
          </w:tcPr>
          <w:p>
            <w:pPr>
              <w:pStyle w:val="Compact"/>
              <w:spacing w:line="252" w:lineRule="auto" w:after="20" w:before="20"/>
              <w:jc w:val="left"/>
            </w:pPr>
            <w:r>
              <w:rPr>
                <w:rFonts w:ascii="Times New Roman" w:hAnsi="Times New Roman"/>
                <w:sz w:val="19"/>
              </w:rPr>
              <w:t xml:space="preserve">Approval workflow: account manager drafts → broker MD approves → HR decides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960"/>
            <w:tcMar>
              <w:top w:w="40" w:type="dxa"/>
              <w:bottom w:w="40" w:type="dxa"/>
            </w:tcMar>
          </w:tcPr>
          <w:p>
            <w:pPr>
              <w:pStyle w:val="Compact"/>
              <w:spacing w:line="252" w:lineRule="auto" w:after="20" w:before="20"/>
              <w:jc w:val="left"/>
            </w:pPr>
            <w:r>
              <w:rPr>
                <w:rFonts w:ascii="Times New Roman" w:hAnsi="Times New Roman"/>
                <w:sz w:val="19"/>
              </w:rPr>
              <w:t xml:space="preserve">Status visible to all three roles</w:t>
            </w:r>
          </w:p>
        </w:tc>
      </w:tr>
    </w:tbl>
    <w:p>
      <w:pPr>
        <w:pStyle w:val="BodyText"/>
        <w:spacing w:before="160"/>
      </w:pPr>
      <w:r>
        <w:rPr>
          <w:b/>
          <w:bCs/>
        </w:rPr>
        <w:t xml:space="preserve">Regulatory guardrail (report Section 7.7):</w:t>
      </w:r>
      <w:r>
        <w:t xml:space="preserve"> </w:t>
      </w:r>
      <w:r>
        <w:t xml:space="preserve">the comparison is a tool for the licensed broker. It is never shown publicly to prospects, so NivoTime does not act as a web aggregator.</w:t>
      </w:r>
    </w:p>
    <w:p>
      <w:pPr>
        <w:pStyle w:val="Heading2"/>
      </w:pPr>
      <w:r>
        <w:t xml:space="preserve">5.4 S4 — AI Simulation Lab</w:t>
      </w:r>
    </w:p>
    <w:p>
      <w:pPr>
        <w:pStyle w:val="CaptionedFigure"/>
      </w:pPr>
      <w:r>
        <w:drawing>
          <wp:inline>
            <wp:extent cx="5733288" cy="3661494"/>
            <wp:effectExtent b="0" l="0" r="0" t="0"/>
            <wp:docPr descr="S4 AI Simulation Lab (synthetic data; numbers from the simulation in Section 7)" title="" id="48" name="Picture"/>
            <a:graphic>
              <a:graphicData uri="http://schemas.openxmlformats.org/drawingml/2006/picture">
                <pic:pic>
                  <pic:nvPicPr>
                    <pic:cNvPr descr="fig/s4_simlab.png" id="49" name="Picture"/>
                    <pic:cNvPicPr>
                      <a:picLocks noChangeArrowheads="1" noChangeAspect="1"/>
                    </pic:cNvPicPr>
                  </pic:nvPicPr>
                  <pic:blipFill>
                    <a:blip r:embed="rId47"/>
                    <a:stretch>
                      <a:fillRect/>
                    </a:stretch>
                  </pic:blipFill>
                  <pic:spPr bwMode="auto">
                    <a:xfrm>
                      <a:off x="0" y="0"/>
                      <a:ext cx="5733288" cy="3661494"/>
                    </a:xfrm>
                    <a:prstGeom prst="rect">
                      <a:avLst/>
                    </a:prstGeom>
                    <a:noFill/>
                    <a:ln w="9525">
                      <a:noFill/>
                      <a:headEnd/>
                      <a:tailEnd/>
                    </a:ln>
                  </pic:spPr>
                </pic:pic>
              </a:graphicData>
            </a:graphic>
          </wp:inline>
        </w:drawing>
      </w:r>
    </w:p>
    <w:p>
      <w:pPr>
        <w:pStyle w:val="ImageCaption"/>
      </w:pPr>
      <w:r>
        <w:t xml:space="preserve">S4 AI Simulation Lab (synthetic data; numbers from the simulation in Section 7)</w:t>
      </w:r>
    </w:p>
    <w:p>
      <w:pPr>
        <w:pStyle w:val="BodyText"/>
      </w:pPr>
      <w:r>
        <w:rPr>
          <w:b/>
          <w:bCs/>
        </w:rPr>
        <w:t xml:space="preserve">Purpose:</w:t>
      </w:r>
      <w:r>
        <w:t xml:space="preserve"> </w:t>
      </w:r>
      <w:r>
        <w:t xml:space="preserve">let the broker and HR test plan changes and see the likely premium impact and renewal forecast before talking to insurers.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772"/>
        <w:gridCol w:w="1439"/>
        <w:gridCol w:w="2888"/>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77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44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288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FR-30</w:t>
            </w:r>
          </w:p>
        </w:tc>
        <w:tc>
          <w:tcPr>
            <w:tcW w:type="dxa" w:w="3772"/>
            <w:tcMar>
              <w:top w:w="40" w:type="dxa"/>
              <w:bottom w:w="40" w:type="dxa"/>
            </w:tcMar>
          </w:tcPr>
          <w:p>
            <w:pPr>
              <w:pStyle w:val="Compact"/>
              <w:spacing w:line="252" w:lineRule="auto" w:after="20" w:before="20"/>
              <w:jc w:val="left"/>
            </w:pPr>
            <w:r>
              <w:rPr>
                <w:rFonts w:ascii="Times New Roman" w:hAnsi="Times New Roman"/>
                <w:sz w:val="19"/>
              </w:rPr>
              <w:t xml:space="preserve">Sliders or dropdowns for: parents’ co-pay, room-rent cap, sum insured, parents’ cover, maternity limit, OPD/wellness add-on</w:t>
            </w:r>
          </w:p>
        </w:tc>
        <w:tc>
          <w:tcPr>
            <w:tcW w:type="dxa" w:w="1440"/>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888"/>
            <w:tcMar>
              <w:top w:w="40" w:type="dxa"/>
              <w:bottom w:w="40" w:type="dxa"/>
            </w:tcMar>
          </w:tcPr>
          <w:p>
            <w:pPr>
              <w:pStyle w:val="Compact"/>
              <w:spacing w:line="252" w:lineRule="auto" w:after="20" w:before="20"/>
              <w:jc w:val="left"/>
            </w:pPr>
            <w:r>
              <w:rPr>
                <w:rFonts w:ascii="Times New Roman" w:hAnsi="Times New Roman"/>
                <w:sz w:val="19"/>
              </w:rPr>
              <w:t xml:space="preserve">Each control shows current and new value</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FR-31</w:t>
            </w:r>
          </w:p>
        </w:tc>
        <w:tc>
          <w:tcPr>
            <w:tcW w:type="dxa" w:w="377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Waterfall chart: current premium per life → effect of each change → scenario premium</w:t>
            </w:r>
          </w:p>
        </w:tc>
        <w:tc>
          <w:tcPr>
            <w:tcW w:type="dxa" w:w="14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88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Steps add up exactly to the scenario total</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FR-32</w:t>
            </w:r>
          </w:p>
        </w:tc>
        <w:tc>
          <w:tcPr>
            <w:tcW w:type="dxa" w:w="3772"/>
            <w:tcMar>
              <w:top w:w="40" w:type="dxa"/>
              <w:bottom w:w="40" w:type="dxa"/>
            </w:tcMar>
          </w:tcPr>
          <w:p>
            <w:pPr>
              <w:pStyle w:val="Compact"/>
              <w:spacing w:line="252" w:lineRule="auto" w:after="20" w:before="20"/>
              <w:jc w:val="left"/>
            </w:pPr>
            <w:r>
              <w:rPr>
                <w:rFonts w:ascii="Times New Roman" w:hAnsi="Times New Roman"/>
                <w:sz w:val="19"/>
              </w:rPr>
              <w:t xml:space="preserve">Renewal forecast drivers chart (share of forecast explained by each factor)</w:t>
            </w:r>
          </w:p>
        </w:tc>
        <w:tc>
          <w:tcPr>
            <w:tcW w:type="dxa" w:w="1440"/>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888"/>
            <w:tcMar>
              <w:top w:w="40" w:type="dxa"/>
              <w:bottom w:w="40" w:type="dxa"/>
            </w:tcMar>
          </w:tcPr>
          <w:p>
            <w:pPr>
              <w:pStyle w:val="Compact"/>
              <w:spacing w:line="252" w:lineRule="auto" w:after="20" w:before="20"/>
              <w:jc w:val="left"/>
            </w:pPr>
            <w:r>
              <w:rPr>
                <w:rFonts w:ascii="Times New Roman" w:hAnsi="Times New Roman"/>
                <w:sz w:val="19"/>
              </w:rPr>
              <w:t xml:space="preserve">Uses model explanations (AI-02)</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FR-33</w:t>
            </w:r>
          </w:p>
        </w:tc>
        <w:tc>
          <w:tcPr>
            <w:tcW w:type="dxa" w:w="377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Model card: mean error, baseline error, share within ±5 pts, test size,</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human review required</w:t>
            </w:r>
            <w:r>
              <w:rPr>
                <w:rFonts w:ascii="Times New Roman" w:hAnsi="Times New Roman"/>
                <w:sz w:val="19"/>
              </w:rPr>
              <w:t xml:space="preserve">”</w:t>
            </w:r>
          </w:p>
        </w:tc>
        <w:tc>
          <w:tcPr>
            <w:tcW w:type="dxa" w:w="14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 (if S4 built)</w:t>
            </w:r>
          </w:p>
        </w:tc>
        <w:tc>
          <w:tcPr>
            <w:tcW w:type="dxa" w:w="288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Values read from the latest model run, never typed in</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FR-34</w:t>
            </w:r>
          </w:p>
        </w:tc>
        <w:tc>
          <w:tcPr>
            <w:tcW w:type="dxa" w:w="3772"/>
            <w:tcMar>
              <w:top w:w="40" w:type="dxa"/>
              <w:bottom w:w="40" w:type="dxa"/>
            </w:tcMar>
          </w:tcPr>
          <w:p>
            <w:pPr>
              <w:pStyle w:val="Compact"/>
              <w:spacing w:line="252" w:lineRule="auto" w:after="20" w:before="20"/>
              <w:jc w:val="left"/>
            </w:pPr>
            <w:r>
              <w:rPr>
                <w:rFonts w:ascii="Times New Roman" w:hAnsi="Times New Roman"/>
                <w:sz w:val="19"/>
              </w:rPr>
              <w:t xml:space="preserve">Save up to 5 scenarios per client and compare them side by side</w:t>
            </w:r>
          </w:p>
        </w:tc>
        <w:tc>
          <w:tcPr>
            <w:tcW w:type="dxa" w:w="1440"/>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888"/>
            <w:tcMar>
              <w:top w:w="40" w:type="dxa"/>
              <w:bottom w:w="40" w:type="dxa"/>
            </w:tcMar>
          </w:tcPr>
          <w:p>
            <w:pPr>
              <w:pStyle w:val="Compact"/>
              <w:spacing w:line="252" w:lineRule="auto" w:after="20" w:before="20"/>
              <w:jc w:val="left"/>
            </w:pPr>
            <w:r>
              <w:rPr>
                <w:rFonts w:ascii="Times New Roman" w:hAnsi="Times New Roman"/>
                <w:sz w:val="19"/>
              </w:rPr>
              <w:t xml:space="preserve">Saved scenarios appear in the advisory pack</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FR-35</w:t>
            </w:r>
          </w:p>
        </w:tc>
        <w:tc>
          <w:tcPr>
            <w:tcW w:type="dxa" w:w="377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Show employees affected by each change (for example, number of parents affected by a co-pay)</w:t>
            </w:r>
          </w:p>
        </w:tc>
        <w:tc>
          <w:tcPr>
            <w:tcW w:type="dxa" w:w="14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288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Count shown next to each change</w:t>
            </w:r>
          </w:p>
        </w:tc>
      </w:tr>
    </w:tbl>
    <w:p>
      <w:pPr>
        <w:pStyle w:val="Heading2"/>
        <w:spacing w:before="160"/>
      </w:pPr>
      <w:r>
        <w:t xml:space="preserve">5.5 S5 — Vendor &amp; TPA Management (Module 3)</w:t>
      </w:r>
    </w:p>
    <w:p>
      <w:pPr>
        <w:pStyle w:val="CaptionedFigure"/>
      </w:pPr>
      <w:r>
        <w:drawing>
          <wp:inline>
            <wp:extent cx="5733288" cy="3661494"/>
            <wp:effectExtent b="0" l="0" r="0" t="0"/>
            <wp:docPr descr="S5 Vendor &amp; TPA Management (synthetic data)" title="" id="51" name="Picture"/>
            <a:graphic>
              <a:graphicData uri="http://schemas.openxmlformats.org/drawingml/2006/picture">
                <pic:pic>
                  <pic:nvPicPr>
                    <pic:cNvPr descr="fig/s5_vendor.png" id="52" name="Picture"/>
                    <pic:cNvPicPr>
                      <a:picLocks noChangeArrowheads="1" noChangeAspect="1"/>
                    </pic:cNvPicPr>
                  </pic:nvPicPr>
                  <pic:blipFill>
                    <a:blip r:embed="rId50"/>
                    <a:stretch>
                      <a:fillRect/>
                    </a:stretch>
                  </pic:blipFill>
                  <pic:spPr bwMode="auto">
                    <a:xfrm>
                      <a:off x="0" y="0"/>
                      <a:ext cx="5733288" cy="3661494"/>
                    </a:xfrm>
                    <a:prstGeom prst="rect">
                      <a:avLst/>
                    </a:prstGeom>
                    <a:noFill/>
                    <a:ln w="9525">
                      <a:noFill/>
                      <a:headEnd/>
                      <a:tailEnd/>
                    </a:ln>
                  </pic:spPr>
                </pic:pic>
              </a:graphicData>
            </a:graphic>
          </wp:inline>
        </w:drawing>
      </w:r>
    </w:p>
    <w:p>
      <w:pPr>
        <w:pStyle w:val="ImageCaption"/>
      </w:pPr>
      <w:r>
        <w:t xml:space="preserve">S5 Vendor &amp; TPA Management (synthetic data)</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905"/>
        <w:gridCol w:w="1296"/>
        <w:gridCol w:w="2898"/>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90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289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FR-40</w:t>
            </w:r>
          </w:p>
        </w:tc>
        <w:tc>
          <w:tcPr>
            <w:tcW w:type="dxa" w:w="3906"/>
            <w:tcMar>
              <w:top w:w="40" w:type="dxa"/>
              <w:bottom w:w="40" w:type="dxa"/>
            </w:tcMar>
          </w:tcPr>
          <w:p>
            <w:pPr>
              <w:pStyle w:val="Compact"/>
              <w:spacing w:line="252" w:lineRule="auto" w:after="20" w:before="20"/>
              <w:jc w:val="left"/>
            </w:pPr>
            <w:r>
              <w:rPr>
                <w:rFonts w:ascii="Times New Roman" w:hAnsi="Times New Roman"/>
                <w:sz w:val="19"/>
              </w:rPr>
              <w:t xml:space="preserve">Vendor register: insurers, TPAs, wellness and diagnostic vendors, contract dates and contacts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898"/>
            <w:tcMar>
              <w:top w:w="40" w:type="dxa"/>
              <w:bottom w:w="40" w:type="dxa"/>
            </w:tcMar>
          </w:tcPr>
          <w:p>
            <w:pPr>
              <w:pStyle w:val="Compact"/>
              <w:spacing w:line="252" w:lineRule="auto" w:after="20" w:before="20"/>
              <w:jc w:val="left"/>
            </w:pPr>
            <w:r>
              <w:rPr>
                <w:rFonts w:ascii="Times New Roman" w:hAnsi="Times New Roman"/>
                <w:sz w:val="19"/>
              </w:rPr>
              <w:t xml:space="preserve">Import from Excel supported</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FR-41</w:t>
            </w:r>
          </w:p>
        </w:tc>
        <w:tc>
          <w:tcPr>
            <w:tcW w:type="dxa" w:w="39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Track cashless approval time against the</w:t>
            </w:r>
            <w:r>
              <w:rPr>
                <w:rFonts w:ascii="Times New Roman" w:hAnsi="Times New Roman"/>
                <w:sz w:val="19"/>
              </w:rPr>
              <w:t xml:space="preserve"> </w:t>
            </w:r>
            <w:r>
              <w:rPr>
                <w:rFonts w:ascii="Times New Roman" w:hAnsi="Times New Roman"/>
                <w:b/>
                <w:bCs/>
                <w:sz w:val="19"/>
              </w:rPr>
              <w:t xml:space="preserve">60-minute</w:t>
            </w:r>
            <w:r>
              <w:rPr>
                <w:rFonts w:ascii="Times New Roman" w:hAnsi="Times New Roman"/>
                <w:sz w:val="19"/>
              </w:rPr>
              <w:t xml:space="preserve"> </w:t>
            </w:r>
            <w:r>
              <w:rPr>
                <w:rFonts w:ascii="Times New Roman" w:hAnsi="Times New Roman"/>
                <w:sz w:val="19"/>
              </w:rPr>
              <w:t xml:space="preserve">IRDAI expectation and discharge time against</w:t>
            </w:r>
            <w:r>
              <w:rPr>
                <w:rFonts w:ascii="Times New Roman" w:hAnsi="Times New Roman"/>
                <w:sz w:val="19"/>
              </w:rPr>
              <w:t xml:space="preserve"> </w:t>
            </w:r>
            <w:r>
              <w:rPr>
                <w:rFonts w:ascii="Times New Roman" w:hAnsi="Times New Roman"/>
                <w:b/>
                <w:bCs/>
                <w:sz w:val="19"/>
              </w:rPr>
              <w:t xml:space="preserve">3 hours</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8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Breaches flagged within 24 hours of data upload</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FR-42</w:t>
            </w:r>
          </w:p>
        </w:tc>
        <w:tc>
          <w:tcPr>
            <w:tcW w:type="dxa" w:w="3906"/>
            <w:tcMar>
              <w:top w:w="40" w:type="dxa"/>
              <w:bottom w:w="40" w:type="dxa"/>
            </w:tcMar>
          </w:tcPr>
          <w:p>
            <w:pPr>
              <w:pStyle w:val="Compact"/>
              <w:spacing w:line="252" w:lineRule="auto" w:after="20" w:before="20"/>
              <w:jc w:val="left"/>
            </w:pPr>
            <w:r>
              <w:rPr>
                <w:rFonts w:ascii="Times New Roman" w:hAnsi="Times New Roman"/>
                <w:sz w:val="19"/>
              </w:rPr>
              <w:t xml:space="preserve">Ticket tracking (open, overdue, resolved) with owner and due date</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898"/>
            <w:tcMar>
              <w:top w:w="40" w:type="dxa"/>
              <w:bottom w:w="40" w:type="dxa"/>
            </w:tcMar>
          </w:tcPr>
          <w:p>
            <w:pPr>
              <w:pStyle w:val="Compact"/>
              <w:spacing w:line="252" w:lineRule="auto" w:after="20" w:before="20"/>
              <w:jc w:val="left"/>
            </w:pPr>
            <w:r>
              <w:rPr>
                <w:rFonts w:ascii="Times New Roman" w:hAnsi="Times New Roman"/>
                <w:sz w:val="19"/>
              </w:rPr>
              <w:t xml:space="preserve">Overdue tickets shown on Portfolio Home alerts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FR-43</w:t>
            </w:r>
          </w:p>
        </w:tc>
        <w:tc>
          <w:tcPr>
            <w:tcW w:type="dxa" w:w="39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Vendor scorecard (0–100): SLA compliance 50%, ticket closure 30%, employee feedback 20%</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28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Weights editable; formula shown</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FR-44</w:t>
            </w:r>
          </w:p>
        </w:tc>
        <w:tc>
          <w:tcPr>
            <w:tcW w:type="dxa" w:w="3906"/>
            <w:tcMar>
              <w:top w:w="40" w:type="dxa"/>
              <w:bottom w:w="40" w:type="dxa"/>
            </w:tcMar>
          </w:tcPr>
          <w:p>
            <w:pPr>
              <w:pStyle w:val="Compact"/>
              <w:spacing w:line="252" w:lineRule="auto" w:after="20" w:before="20"/>
              <w:jc w:val="left"/>
            </w:pPr>
            <w:r>
              <w:rPr>
                <w:rFonts w:ascii="Times New Roman" w:hAnsi="Times New Roman"/>
                <w:sz w:val="19"/>
              </w:rPr>
              <w:t xml:space="preserve">Weekly trend chart of approval times per TPA with the target line</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898"/>
            <w:tcMar>
              <w:top w:w="40" w:type="dxa"/>
              <w:bottom w:w="40" w:type="dxa"/>
            </w:tcMar>
          </w:tcPr>
          <w:p>
            <w:pPr>
              <w:pStyle w:val="Compact"/>
              <w:spacing w:line="252" w:lineRule="auto" w:after="20" w:before="20"/>
              <w:jc w:val="left"/>
            </w:pPr>
            <w:r>
              <w:rPr>
                <w:rFonts w:ascii="Times New Roman" w:hAnsi="Times New Roman"/>
                <w:sz w:val="19"/>
              </w:rPr>
              <w:t xml:space="preserve">Direct labels on each line</w:t>
            </w:r>
          </w:p>
        </w:tc>
      </w:tr>
    </w:tbl>
    <w:p>
      <w:pPr>
        <w:pStyle w:val="Heading2"/>
        <w:spacing w:before="160"/>
      </w:pPr>
      <w:r>
        <w:t xml:space="preserve">5.6 S6 — Employee zero-login engagement (Module 4)</w:t>
      </w:r>
    </w:p>
    <w:p>
      <w:pPr>
        <w:pStyle w:val="CaptionedFigure"/>
      </w:pPr>
      <w:r>
        <w:drawing>
          <wp:inline>
            <wp:extent cx="5733288" cy="3263072"/>
            <wp:effectExtent b="0" l="0" r="0" t="0"/>
            <wp:docPr descr="S6 Employee zero-login flow (synthetic example)" title="" id="54" name="Picture"/>
            <a:graphic>
              <a:graphicData uri="http://schemas.openxmlformats.org/drawingml/2006/picture">
                <pic:pic>
                  <pic:nvPicPr>
                    <pic:cNvPr descr="fig/s6_zerologin.png" id="55" name="Picture"/>
                    <pic:cNvPicPr>
                      <a:picLocks noChangeArrowheads="1" noChangeAspect="1"/>
                    </pic:cNvPicPr>
                  </pic:nvPicPr>
                  <pic:blipFill>
                    <a:blip r:embed="rId53"/>
                    <a:stretch>
                      <a:fillRect/>
                    </a:stretch>
                  </pic:blipFill>
                  <pic:spPr bwMode="auto">
                    <a:xfrm>
                      <a:off x="0" y="0"/>
                      <a:ext cx="5733288" cy="3263072"/>
                    </a:xfrm>
                    <a:prstGeom prst="rect">
                      <a:avLst/>
                    </a:prstGeom>
                    <a:noFill/>
                    <a:ln w="9525">
                      <a:noFill/>
                      <a:headEnd/>
                      <a:tailEnd/>
                    </a:ln>
                  </pic:spPr>
                </pic:pic>
              </a:graphicData>
            </a:graphic>
          </wp:inline>
        </w:drawing>
      </w:r>
    </w:p>
    <w:p>
      <w:pPr>
        <w:pStyle w:val="ImageCaption"/>
      </w:pPr>
      <w:r>
        <w:t xml:space="preserve">S6 Employee zero-login flow (synthetic example)</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739"/>
        <w:gridCol w:w="1427"/>
        <w:gridCol w:w="2933"/>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74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42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293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FR-50</w:t>
            </w:r>
          </w:p>
        </w:tc>
        <w:tc>
          <w:tcPr>
            <w:tcW w:type="dxa" w:w="3740"/>
            <w:tcMar>
              <w:top w:w="40" w:type="dxa"/>
              <w:bottom w:w="40" w:type="dxa"/>
            </w:tcMar>
          </w:tcPr>
          <w:p>
            <w:pPr>
              <w:pStyle w:val="Compact"/>
              <w:spacing w:line="252" w:lineRule="auto" w:after="20" w:before="20"/>
              <w:jc w:val="left"/>
            </w:pPr>
            <w:r>
              <w:rPr>
                <w:rFonts w:ascii="Times New Roman" w:hAnsi="Times New Roman"/>
                <w:sz w:val="19"/>
              </w:rPr>
              <w:t xml:space="preserve">Event-driven nudges: welcome, add dependants, policy card ready, renewal window, unused benefits, claim status</w:t>
            </w:r>
          </w:p>
        </w:tc>
        <w:tc>
          <w:tcPr>
            <w:tcW w:type="dxa" w:w="1427"/>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933"/>
            <w:tcMar>
              <w:top w:w="40" w:type="dxa"/>
              <w:bottom w:w="40" w:type="dxa"/>
            </w:tcMar>
          </w:tcPr>
          <w:p>
            <w:pPr>
              <w:pStyle w:val="Compact"/>
              <w:spacing w:line="252" w:lineRule="auto" w:after="20" w:before="20"/>
              <w:jc w:val="left"/>
            </w:pPr>
            <w:r>
              <w:rPr>
                <w:rFonts w:ascii="Times New Roman" w:hAnsi="Times New Roman"/>
                <w:sz w:val="19"/>
              </w:rPr>
              <w:t xml:space="preserve">Each event type can be switched on/off per employer</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FR-51</w:t>
            </w:r>
          </w:p>
        </w:tc>
        <w:tc>
          <w:tcPr>
            <w:tcW w:type="dxa" w:w="37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Channels: email and WhatsApp (via an approved business provider); push later</w:t>
            </w:r>
          </w:p>
        </w:tc>
        <w:tc>
          <w:tcPr>
            <w:tcW w:type="dxa" w:w="142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93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Opt-out honoured within one message (</w:t>
            </w:r>
            <w:r>
              <w:rPr>
                <w:rFonts w:ascii="Times New Roman" w:hAnsi="Times New Roman"/>
                <w:sz w:val="19"/>
              </w:rPr>
              <w:t xml:space="preserve">“</w:t>
            </w:r>
            <w:r>
              <w:rPr>
                <w:rFonts w:ascii="Times New Roman" w:hAnsi="Times New Roman"/>
                <w:sz w:val="19"/>
              </w:rPr>
              <w:t xml:space="preserve">STOP</w:t>
            </w:r>
            <w:r>
              <w:rPr>
                <w:rFonts w:ascii="Times New Roman" w:hAnsi="Times New Roman"/>
                <w:sz w:val="19"/>
              </w:rPr>
              <w:t xml:space="preserve">”</w:t>
            </w:r>
            <w:r>
              <w:rPr>
                <w:rFonts w:ascii="Times New Roman" w:hAnsi="Times New Roman"/>
                <w:sz w:val="19"/>
              </w:rPr>
              <w:t xml:space="preserve">)</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FR-52</w:t>
            </w:r>
          </w:p>
        </w:tc>
        <w:tc>
          <w:tcPr>
            <w:tcW w:type="dxa" w:w="3740"/>
            <w:tcMar>
              <w:top w:w="40" w:type="dxa"/>
              <w:bottom w:w="40" w:type="dxa"/>
            </w:tcMar>
          </w:tcPr>
          <w:p>
            <w:pPr>
              <w:pStyle w:val="Compact"/>
              <w:spacing w:line="252" w:lineRule="auto" w:after="20" w:before="20"/>
              <w:jc w:val="left"/>
            </w:pPr>
            <w:r>
              <w:rPr>
                <w:rFonts w:ascii="Times New Roman" w:hAnsi="Times New Roman"/>
                <w:sz w:val="19"/>
              </w:rPr>
              <w:t xml:space="preserve">Secure deep links: signed, single-use, expire in 72 hours</w:t>
            </w:r>
          </w:p>
        </w:tc>
        <w:tc>
          <w:tcPr>
            <w:tcW w:type="dxa" w:w="1427"/>
            <w:tcMar>
              <w:top w:w="40" w:type="dxa"/>
              <w:bottom w:w="40" w:type="dxa"/>
            </w:tcMar>
          </w:tcPr>
          <w:p>
            <w:pPr>
              <w:pStyle w:val="Compact"/>
              <w:spacing w:line="252" w:lineRule="auto" w:after="20" w:before="20"/>
              <w:jc w:val="left"/>
            </w:pPr>
            <w:r>
              <w:rPr>
                <w:rFonts w:ascii="Times New Roman" w:hAnsi="Times New Roman"/>
                <w:sz w:val="19"/>
              </w:rPr>
              <w:t xml:space="preserve">Must (if S6 built)</w:t>
            </w:r>
          </w:p>
        </w:tc>
        <w:tc>
          <w:tcPr>
            <w:tcW w:type="dxa" w:w="2933"/>
            <w:tcMar>
              <w:top w:w="40" w:type="dxa"/>
              <w:bottom w:w="40" w:type="dxa"/>
            </w:tcMar>
          </w:tcPr>
          <w:p>
            <w:pPr>
              <w:pStyle w:val="Compact"/>
              <w:spacing w:line="252" w:lineRule="auto" w:after="20" w:before="20"/>
              <w:jc w:val="left"/>
            </w:pPr>
            <w:r>
              <w:rPr>
                <w:rFonts w:ascii="Times New Roman" w:hAnsi="Times New Roman"/>
                <w:sz w:val="19"/>
              </w:rPr>
              <w:t xml:space="preserve">Expired link asks the user to log in</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FR-53</w:t>
            </w:r>
          </w:p>
        </w:tc>
        <w:tc>
          <w:tcPr>
            <w:tcW w:type="dxa" w:w="37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OTP login required for sensitive actions (adding dependants, claims detail)</w:t>
            </w:r>
          </w:p>
        </w:tc>
        <w:tc>
          <w:tcPr>
            <w:tcW w:type="dxa" w:w="142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93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No health data visible without authentication</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FR-54</w:t>
            </w:r>
          </w:p>
        </w:tc>
        <w:tc>
          <w:tcPr>
            <w:tcW w:type="dxa" w:w="3740"/>
            <w:tcMar>
              <w:top w:w="40" w:type="dxa"/>
              <w:bottom w:w="40" w:type="dxa"/>
            </w:tcMar>
          </w:tcPr>
          <w:p>
            <w:pPr>
              <w:pStyle w:val="Compact"/>
              <w:spacing w:line="252" w:lineRule="auto" w:after="20" w:before="20"/>
              <w:jc w:val="left"/>
            </w:pPr>
            <w:r>
              <w:rPr>
                <w:rFonts w:ascii="Times New Roman" w:hAnsi="Times New Roman"/>
                <w:sz w:val="19"/>
              </w:rPr>
              <w:t xml:space="preserve">Frequency cap: max 2 nudges per employee per week</w:t>
            </w:r>
          </w:p>
        </w:tc>
        <w:tc>
          <w:tcPr>
            <w:tcW w:type="dxa" w:w="1427"/>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2933"/>
            <w:tcMar>
              <w:top w:w="40" w:type="dxa"/>
              <w:bottom w:w="40" w:type="dxa"/>
            </w:tcMar>
          </w:tcPr>
          <w:p>
            <w:pPr>
              <w:pStyle w:val="Compact"/>
              <w:spacing w:line="252" w:lineRule="auto" w:after="20" w:before="20"/>
              <w:jc w:val="left"/>
            </w:pPr>
            <w:r>
              <w:rPr>
                <w:rFonts w:ascii="Times New Roman" w:hAnsi="Times New Roman"/>
                <w:sz w:val="19"/>
              </w:rPr>
              <w:t xml:space="preserve">Cap enforced across all event types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FR-55</w:t>
            </w:r>
          </w:p>
        </w:tc>
        <w:tc>
          <w:tcPr>
            <w:tcW w:type="dxa" w:w="37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HR sees only aggregated engagement (activation, action rate, completion)</w:t>
            </w:r>
          </w:p>
        </w:tc>
        <w:tc>
          <w:tcPr>
            <w:tcW w:type="dxa" w:w="142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93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No individual health data in HR reports</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FR-56</w:t>
            </w:r>
          </w:p>
        </w:tc>
        <w:tc>
          <w:tcPr>
            <w:tcW w:type="dxa" w:w="3740"/>
            <w:tcMar>
              <w:top w:w="40" w:type="dxa"/>
              <w:bottom w:w="40" w:type="dxa"/>
            </w:tcMar>
          </w:tcPr>
          <w:p>
            <w:pPr>
              <w:pStyle w:val="Compact"/>
              <w:spacing w:line="252" w:lineRule="auto" w:after="20" w:before="20"/>
              <w:jc w:val="left"/>
            </w:pPr>
            <w:r>
              <w:rPr>
                <w:rFonts w:ascii="Times New Roman" w:hAnsi="Times New Roman"/>
                <w:sz w:val="19"/>
              </w:rPr>
              <w:t xml:space="preserve">Multilingual templates (English, Hindi, plus regional languages later)</w:t>
            </w:r>
          </w:p>
        </w:tc>
        <w:tc>
          <w:tcPr>
            <w:tcW w:type="dxa" w:w="1427"/>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2933"/>
            <w:tcMar>
              <w:top w:w="40" w:type="dxa"/>
              <w:bottom w:w="40" w:type="dxa"/>
            </w:tcMar>
          </w:tcPr>
          <w:p>
            <w:pPr>
              <w:pStyle w:val="Compact"/>
              <w:spacing w:line="252" w:lineRule="auto" w:after="20" w:before="20"/>
              <w:jc w:val="left"/>
            </w:pPr>
            <w:r>
              <w:rPr>
                <w:rFonts w:ascii="Times New Roman" w:hAnsi="Times New Roman"/>
                <w:sz w:val="19"/>
              </w:rPr>
              <w:t xml:space="preserve">Template language chosen per employee</w:t>
            </w:r>
          </w:p>
        </w:tc>
      </w:tr>
    </w:tbl>
    <w:p>
      <w:pPr>
        <w:pStyle w:val="Heading2"/>
        <w:spacing w:before="160"/>
      </w:pPr>
      <w:r>
        <w:t xml:space="preserve">5.7 S7 — Advisory Pack Builder (Module 5)</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666"/>
        <w:gridCol w:w="1296"/>
        <w:gridCol w:w="3137"/>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66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313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FR-60</w:t>
            </w:r>
          </w:p>
        </w:tc>
        <w:tc>
          <w:tcPr>
            <w:tcW w:type="dxa" w:w="3667"/>
            <w:tcMar>
              <w:top w:w="40" w:type="dxa"/>
              <w:bottom w:w="40" w:type="dxa"/>
            </w:tcMar>
          </w:tcPr>
          <w:p>
            <w:pPr>
              <w:pStyle w:val="Compact"/>
              <w:spacing w:line="252" w:lineRule="auto" w:after="20" w:before="20"/>
              <w:jc w:val="left"/>
            </w:pPr>
            <w:r>
              <w:rPr>
                <w:rFonts w:ascii="Times New Roman" w:hAnsi="Times New Roman"/>
                <w:sz w:val="19"/>
              </w:rPr>
              <w:t xml:space="preserve">Assemble a renewal pack: benchmark summary, quote comparison, chosen scenario, forecast and recommendation</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3137"/>
            <w:tcMar>
              <w:top w:w="40" w:type="dxa"/>
              <w:bottom w:w="40" w:type="dxa"/>
            </w:tcMar>
          </w:tcPr>
          <w:p>
            <w:pPr>
              <w:pStyle w:val="Compact"/>
              <w:spacing w:line="252" w:lineRule="auto" w:after="20" w:before="20"/>
              <w:jc w:val="left"/>
            </w:pPr>
            <w:r>
              <w:rPr>
                <w:rFonts w:ascii="Times New Roman" w:hAnsi="Times New Roman"/>
                <w:sz w:val="19"/>
              </w:rPr>
              <w:t xml:space="preserve">One click from an approved scenario</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FR-61</w:t>
            </w:r>
          </w:p>
        </w:tc>
        <w:tc>
          <w:tcPr>
            <w:tcW w:type="dxa" w:w="366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Broker-branded PDF and PowerPoint output</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313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Uses the white-label theme</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FR-62</w:t>
            </w:r>
          </w:p>
        </w:tc>
        <w:tc>
          <w:tcPr>
            <w:tcW w:type="dxa" w:w="3667"/>
            <w:tcMar>
              <w:top w:w="40" w:type="dxa"/>
              <w:bottom w:w="40" w:type="dxa"/>
            </w:tcMar>
          </w:tcPr>
          <w:p>
            <w:pPr>
              <w:pStyle w:val="Compact"/>
              <w:spacing w:line="252" w:lineRule="auto" w:after="20" w:before="20"/>
              <w:jc w:val="left"/>
            </w:pPr>
            <w:r>
              <w:rPr>
                <w:rFonts w:ascii="Times New Roman" w:hAnsi="Times New Roman"/>
                <w:sz w:val="19"/>
              </w:rPr>
              <w:t xml:space="preserve">AI-drafted narrative, editable, with every number linked to its source</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c>
          <w:tcPr>
            <w:tcW w:type="dxa" w:w="3137"/>
            <w:tcMar>
              <w:top w:w="40" w:type="dxa"/>
              <w:bottom w:w="40" w:type="dxa"/>
            </w:tcMar>
          </w:tcPr>
          <w:p>
            <w:pPr>
              <w:pStyle w:val="Compact"/>
              <w:spacing w:line="252" w:lineRule="auto" w:after="20" w:before="20"/>
              <w:jc w:val="left"/>
            </w:pPr>
            <w:r>
              <w:rPr>
                <w:rFonts w:ascii="Times New Roman" w:hAnsi="Times New Roman"/>
                <w:sz w:val="19"/>
              </w:rPr>
              <w:t xml:space="preserve">Draft marked</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AI draft — review before sending</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until approved</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FR-63</w:t>
            </w:r>
          </w:p>
        </w:tc>
        <w:tc>
          <w:tcPr>
            <w:tcW w:type="dxa" w:w="366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Record advisory engagements for billing (₹75,000 pack, report Section 9.5)</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313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Engagement count visible to NivoTime admin</w:t>
            </w:r>
          </w:p>
        </w:tc>
      </w:tr>
    </w:tbl>
    <w:p>
      <w:pPr>
        <w:pStyle w:val="Heading2"/>
        <w:spacing w:before="160"/>
      </w:pPr>
      <w:r>
        <w:t xml:space="preserve">5.8 S8 — GTM Command Centre (internal NivoTime dashboard)</w:t>
      </w:r>
    </w:p>
    <w:p>
      <w:pPr>
        <w:pStyle w:val="CaptionedFigure"/>
      </w:pPr>
      <w:r>
        <w:drawing>
          <wp:inline>
            <wp:extent cx="5733288" cy="3661494"/>
            <wp:effectExtent b="0" l="0" r="0" t="0"/>
            <wp:docPr descr="S8 GTM Command Centre (figures from the report; account names anonymised)" title="" id="57" name="Picture"/>
            <a:graphic>
              <a:graphicData uri="http://schemas.openxmlformats.org/drawingml/2006/picture">
                <pic:pic>
                  <pic:nvPicPr>
                    <pic:cNvPr descr="fig/s7_gtm.png" id="58" name="Picture"/>
                    <pic:cNvPicPr>
                      <a:picLocks noChangeArrowheads="1" noChangeAspect="1"/>
                    </pic:cNvPicPr>
                  </pic:nvPicPr>
                  <pic:blipFill>
                    <a:blip r:embed="rId56"/>
                    <a:stretch>
                      <a:fillRect/>
                    </a:stretch>
                  </pic:blipFill>
                  <pic:spPr bwMode="auto">
                    <a:xfrm>
                      <a:off x="0" y="0"/>
                      <a:ext cx="5733288" cy="3661494"/>
                    </a:xfrm>
                    <a:prstGeom prst="rect">
                      <a:avLst/>
                    </a:prstGeom>
                    <a:noFill/>
                    <a:ln w="9525">
                      <a:noFill/>
                      <a:headEnd/>
                      <a:tailEnd/>
                    </a:ln>
                  </pic:spPr>
                </pic:pic>
              </a:graphicData>
            </a:graphic>
          </wp:inline>
        </w:drawing>
      </w:r>
    </w:p>
    <w:p>
      <w:pPr>
        <w:pStyle w:val="ImageCaption"/>
      </w:pPr>
      <w:r>
        <w:t xml:space="preserve">S8 GTM Command Centre (figures from the report; account names anonymised)</w:t>
      </w:r>
    </w:p>
    <w:p>
      <w:pPr>
        <w:pStyle w:val="BodyText"/>
      </w:pPr>
      <w:r>
        <w:rPr>
          <w:b/>
          <w:bCs/>
        </w:rPr>
        <w:t xml:space="preserve">Purpose:</w:t>
      </w:r>
      <w:r>
        <w:t xml:space="preserve"> </w:t>
      </w:r>
      <w:r>
        <w:t xml:space="preserve">show NivoTime leadership whether the go-to-market plan in the report is on track.</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978"/>
        <w:gridCol w:w="1296"/>
        <w:gridCol w:w="2825"/>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97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282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FR-70</w:t>
            </w:r>
          </w:p>
        </w:tc>
        <w:tc>
          <w:tcPr>
            <w:tcW w:type="dxa" w:w="3978"/>
            <w:tcMar>
              <w:top w:w="40" w:type="dxa"/>
              <w:bottom w:w="40" w:type="dxa"/>
            </w:tcMar>
          </w:tcPr>
          <w:p>
            <w:pPr>
              <w:pStyle w:val="Compact"/>
              <w:spacing w:line="252" w:lineRule="auto" w:after="20" w:before="20"/>
              <w:jc w:val="left"/>
            </w:pPr>
            <w:r>
              <w:rPr>
                <w:rFonts w:ascii="Times New Roman" w:hAnsi="Times New Roman"/>
                <w:sz w:val="19"/>
              </w:rPr>
              <w:t xml:space="preserve">Segment explorer: broker TAM (751), SAM (~600), named ABM list (100), SOM target (15 by Year 3); employer path 7.66 lakh → 150 → 18</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2826"/>
            <w:tcMar>
              <w:top w:w="40" w:type="dxa"/>
              <w:bottom w:w="40" w:type="dxa"/>
            </w:tcMar>
          </w:tcPr>
          <w:p>
            <w:pPr>
              <w:pStyle w:val="Compact"/>
              <w:spacing w:line="252" w:lineRule="auto" w:after="20" w:before="20"/>
              <w:jc w:val="left"/>
            </w:pPr>
            <w:r>
              <w:rPr>
                <w:rFonts w:ascii="Times New Roman" w:hAnsi="Times New Roman"/>
                <w:sz w:val="19"/>
              </w:rPr>
              <w:t xml:space="preserve">Numbers editable; source note shown</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FR-71</w:t>
            </w:r>
          </w:p>
        </w:tc>
        <w:tc>
          <w:tcPr>
            <w:tcW w:type="dxa" w:w="39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Pipeline by stage for brokers and employers (targeted, meeting, demo, pilot, won)</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282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Pulled from the CRM (HubSpot or Zoho) nightly</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FR-72</w:t>
            </w:r>
          </w:p>
        </w:tc>
        <w:tc>
          <w:tcPr>
            <w:tcW w:type="dxa" w:w="3978"/>
            <w:tcMar>
              <w:top w:w="40" w:type="dxa"/>
              <w:bottom w:w="40" w:type="dxa"/>
            </w:tcMar>
          </w:tcPr>
          <w:p>
            <w:pPr>
              <w:pStyle w:val="Compact"/>
              <w:spacing w:line="252" w:lineRule="auto" w:after="20" w:before="20"/>
              <w:jc w:val="left"/>
            </w:pPr>
            <w:r>
              <w:rPr>
                <w:rFonts w:ascii="Times New Roman" w:hAnsi="Times New Roman"/>
                <w:sz w:val="19"/>
              </w:rPr>
              <w:t xml:space="preserve">ICP-scored account list: type, group-health clients, in-house tech, trigger event, score, owner, next step</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2826"/>
            <w:tcMar>
              <w:top w:w="40" w:type="dxa"/>
              <w:bottom w:w="40" w:type="dxa"/>
            </w:tcMar>
          </w:tcPr>
          <w:p>
            <w:pPr>
              <w:pStyle w:val="Compact"/>
              <w:spacing w:line="252" w:lineRule="auto" w:after="20" w:before="20"/>
              <w:jc w:val="left"/>
            </w:pPr>
            <w:r>
              <w:rPr>
                <w:rFonts w:ascii="Times New Roman" w:hAnsi="Times New Roman"/>
                <w:sz w:val="19"/>
              </w:rPr>
              <w:t xml:space="preserve">Score formula visible (Section 5.10)</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FR-73</w:t>
            </w:r>
          </w:p>
        </w:tc>
        <w:tc>
          <w:tcPr>
            <w:tcW w:type="dxa" w:w="397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Funnel conversion rates vs plan (report assumption A14)</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282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Variance highlighted when &gt; 20% off plan</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FR-74</w:t>
            </w:r>
          </w:p>
        </w:tc>
        <w:tc>
          <w:tcPr>
            <w:tcW w:type="dxa" w:w="3978"/>
            <w:tcMar>
              <w:top w:w="40" w:type="dxa"/>
              <w:bottom w:w="40" w:type="dxa"/>
            </w:tcMar>
          </w:tcPr>
          <w:p>
            <w:pPr>
              <w:pStyle w:val="Compact"/>
              <w:spacing w:line="252" w:lineRule="auto" w:after="20" w:before="20"/>
              <w:jc w:val="left"/>
            </w:pPr>
            <w:r>
              <w:rPr>
                <w:rFonts w:ascii="Times New Roman" w:hAnsi="Times New Roman"/>
                <w:sz w:val="19"/>
              </w:rPr>
              <w:t xml:space="preserve">Lost-deal reasons summary</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2826"/>
            <w:tcMar>
              <w:top w:w="40" w:type="dxa"/>
              <w:bottom w:w="40" w:type="dxa"/>
            </w:tcMar>
          </w:tcPr>
          <w:p>
            <w:pPr>
              <w:pStyle w:val="Compact"/>
              <w:spacing w:line="252" w:lineRule="auto" w:after="20" w:before="20"/>
              <w:jc w:val="left"/>
            </w:pPr>
            <w:r>
              <w:rPr>
                <w:rFonts w:ascii="Times New Roman" w:hAnsi="Times New Roman"/>
                <w:sz w:val="19"/>
              </w:rPr>
              <w:t xml:space="preserve">Mandatory field when a deal is marked lost</w:t>
            </w:r>
          </w:p>
        </w:tc>
      </w:tr>
    </w:tbl>
    <w:p>
      <w:pPr>
        <w:pStyle w:val="BodyText"/>
        <w:keepNext/>
        <w:spacing w:before="160"/>
      </w:pPr>
      <w:r>
        <w:rPr>
          <w:b/>
          <w:bCs/>
        </w:rPr>
        <w:t xml:space="preserve">Reference charts carried over from the report:</w:t>
      </w:r>
    </w:p>
    <w:p>
      <w:pPr>
        <w:pStyle w:val="CaptionedFigure"/>
      </w:pPr>
      <w:r>
        <w:drawing>
          <wp:inline>
            <wp:extent cx="5120640" cy="2121236"/>
            <wp:effectExtent b="0" l="0" r="0" t="0"/>
            <wp:docPr descr="Illustrative Year-1 broker funnel (report Section 10.4)" title="" id="60" name="Picture"/>
            <a:graphic>
              <a:graphicData uri="http://schemas.openxmlformats.org/drawingml/2006/picture">
                <pic:pic>
                  <pic:nvPicPr>
                    <pic:cNvPr descr="fig/f11_funnel.png" id="61" name="Picture"/>
                    <pic:cNvPicPr>
                      <a:picLocks noChangeArrowheads="1" noChangeAspect="1"/>
                    </pic:cNvPicPr>
                  </pic:nvPicPr>
                  <pic:blipFill>
                    <a:blip r:embed="rId59"/>
                    <a:stretch>
                      <a:fillRect/>
                    </a:stretch>
                  </pic:blipFill>
                  <pic:spPr bwMode="auto">
                    <a:xfrm>
                      <a:off x="0" y="0"/>
                      <a:ext cx="5120640" cy="2121236"/>
                    </a:xfrm>
                    <a:prstGeom prst="rect">
                      <a:avLst/>
                    </a:prstGeom>
                    <a:noFill/>
                    <a:ln w="9525">
                      <a:noFill/>
                      <a:headEnd/>
                      <a:tailEnd/>
                    </a:ln>
                  </pic:spPr>
                </pic:pic>
              </a:graphicData>
            </a:graphic>
          </wp:inline>
        </w:drawing>
      </w:r>
    </w:p>
    <w:p>
      <w:pPr>
        <w:pStyle w:val="ImageCaption"/>
      </w:pPr>
      <w:r>
        <w:t xml:space="preserve">Illustrative Year-1 broker funnel (report Section 10.4)</w:t>
      </w:r>
    </w:p>
    <w:p>
      <w:pPr>
        <w:pStyle w:val="CaptionedFigure"/>
      </w:pPr>
      <w:r>
        <w:drawing>
          <wp:inline>
            <wp:extent cx="4937760" cy="3189748"/>
            <wp:effectExtent b="0" l="0" r="0" t="0"/>
            <wp:docPr descr="Strategic group map (report Section 5.3)" title="" id="63" name="Picture"/>
            <a:graphic>
              <a:graphicData uri="http://schemas.openxmlformats.org/drawingml/2006/picture">
                <pic:pic>
                  <pic:nvPicPr>
                    <pic:cNvPr descr="fig/f2_groupmap.png" id="64" name="Picture"/>
                    <pic:cNvPicPr>
                      <a:picLocks noChangeArrowheads="1" noChangeAspect="1"/>
                    </pic:cNvPicPr>
                  </pic:nvPicPr>
                  <pic:blipFill>
                    <a:blip r:embed="rId62"/>
                    <a:stretch>
                      <a:fillRect/>
                    </a:stretch>
                  </pic:blipFill>
                  <pic:spPr bwMode="auto">
                    <a:xfrm>
                      <a:off x="0" y="0"/>
                      <a:ext cx="4937760" cy="3189748"/>
                    </a:xfrm>
                    <a:prstGeom prst="rect">
                      <a:avLst/>
                    </a:prstGeom>
                    <a:noFill/>
                    <a:ln w="9525">
                      <a:noFill/>
                      <a:headEnd/>
                      <a:tailEnd/>
                    </a:ln>
                  </pic:spPr>
                </pic:pic>
              </a:graphicData>
            </a:graphic>
          </wp:inline>
        </w:drawing>
      </w:r>
    </w:p>
    <w:p>
      <w:pPr>
        <w:pStyle w:val="ImageCaption"/>
      </w:pPr>
      <w:r>
        <w:t xml:space="preserve">Strategic group map (report Section 5.3)</w:t>
      </w:r>
    </w:p>
    <w:p>
      <w:pPr>
        <w:pStyle w:val="Heading2"/>
      </w:pPr>
      <w:r>
        <w:t xml:space="preserve">5.9 S9 — Business Case Simulator (internal)</w:t>
      </w:r>
    </w:p>
    <w:p>
      <w:pPr>
        <w:pStyle w:val="CaptionedFigure"/>
      </w:pPr>
      <w:r>
        <w:drawing>
          <wp:inline>
            <wp:extent cx="5733288" cy="3661494"/>
            <wp:effectExtent b="0" l="0" r="0" t="0"/>
            <wp:docPr descr="S9 Business Case Simulator (base-case figures from the report’s financial model)" title="" id="66" name="Picture"/>
            <a:graphic>
              <a:graphicData uri="http://schemas.openxmlformats.org/drawingml/2006/picture">
                <pic:pic>
                  <pic:nvPicPr>
                    <pic:cNvPr descr="fig/s8_bizsim.png" id="67" name="Picture"/>
                    <pic:cNvPicPr>
                      <a:picLocks noChangeArrowheads="1" noChangeAspect="1"/>
                    </pic:cNvPicPr>
                  </pic:nvPicPr>
                  <pic:blipFill>
                    <a:blip r:embed="rId65"/>
                    <a:stretch>
                      <a:fillRect/>
                    </a:stretch>
                  </pic:blipFill>
                  <pic:spPr bwMode="auto">
                    <a:xfrm>
                      <a:off x="0" y="0"/>
                      <a:ext cx="5733288" cy="3661494"/>
                    </a:xfrm>
                    <a:prstGeom prst="rect">
                      <a:avLst/>
                    </a:prstGeom>
                    <a:noFill/>
                    <a:ln w="9525">
                      <a:noFill/>
                      <a:headEnd/>
                      <a:tailEnd/>
                    </a:ln>
                  </pic:spPr>
                </pic:pic>
              </a:graphicData>
            </a:graphic>
          </wp:inline>
        </w:drawing>
      </w:r>
    </w:p>
    <w:p>
      <w:pPr>
        <w:pStyle w:val="ImageCaption"/>
      </w:pPr>
      <w:r>
        <w:t xml:space="preserve">S9 Business Case Simulator (base-case figures from the report’s financial model)</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444"/>
        <w:gridCol w:w="1296"/>
        <w:gridCol w:w="3359"/>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44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336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FR-80</w:t>
            </w:r>
          </w:p>
        </w:tc>
        <w:tc>
          <w:tcPr>
            <w:tcW w:type="dxa" w:w="3444"/>
            <w:tcMar>
              <w:top w:w="40" w:type="dxa"/>
              <w:bottom w:w="40" w:type="dxa"/>
            </w:tcMar>
          </w:tcPr>
          <w:p>
            <w:pPr>
              <w:pStyle w:val="Compact"/>
              <w:spacing w:line="252" w:lineRule="auto" w:after="20" w:before="20"/>
              <w:jc w:val="left"/>
            </w:pPr>
            <w:r>
              <w:rPr>
                <w:rFonts w:ascii="Times New Roman" w:hAnsi="Times New Roman"/>
                <w:sz w:val="19"/>
              </w:rPr>
              <w:t xml:space="preserve">Sliders for brokers by Year 3, direct employers, subscription price, per-account fee, cost index, advisory attach rate</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3360"/>
            <w:tcMar>
              <w:top w:w="40" w:type="dxa"/>
              <w:bottom w:w="40" w:type="dxa"/>
            </w:tcMar>
          </w:tcPr>
          <w:p>
            <w:pPr>
              <w:pStyle w:val="Compact"/>
              <w:spacing w:line="252" w:lineRule="auto" w:after="20" w:before="20"/>
              <w:jc w:val="left"/>
            </w:pPr>
            <w:r>
              <w:rPr>
                <w:rFonts w:ascii="Times New Roman" w:hAnsi="Times New Roman"/>
                <w:sz w:val="19"/>
              </w:rPr>
              <w:t xml:space="preserve">Results update instantly</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FR-81</w:t>
            </w:r>
          </w:p>
        </w:tc>
        <w:tc>
          <w:tcPr>
            <w:tcW w:type="dxa" w:w="344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Revenue vs incremental cost by year; operating result; LTV:CAC; break-even year</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336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Base case reproduces the report: Year-3 revenue ₹105.4 lakh, result +₹6.4 lakh</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FR-82</w:t>
            </w:r>
          </w:p>
        </w:tc>
        <w:tc>
          <w:tcPr>
            <w:tcW w:type="dxa" w:w="3444"/>
            <w:tcMar>
              <w:top w:w="40" w:type="dxa"/>
              <w:bottom w:w="40" w:type="dxa"/>
            </w:tcMar>
          </w:tcPr>
          <w:p>
            <w:pPr>
              <w:pStyle w:val="Compact"/>
              <w:spacing w:line="252" w:lineRule="auto" w:after="20" w:before="20"/>
              <w:jc w:val="left"/>
            </w:pPr>
            <w:r>
              <w:rPr>
                <w:rFonts w:ascii="Times New Roman" w:hAnsi="Times New Roman"/>
                <w:sz w:val="19"/>
              </w:rPr>
              <w:t xml:space="preserve">Sensitivity chart (brokers −30%, costs ±20%, prices ±20%, no advisory)</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3360"/>
            <w:tcMar>
              <w:top w:w="40" w:type="dxa"/>
              <w:bottom w:w="40" w:type="dxa"/>
            </w:tcMar>
          </w:tcPr>
          <w:p>
            <w:pPr>
              <w:pStyle w:val="Compact"/>
              <w:spacing w:line="252" w:lineRule="auto" w:after="20" w:before="20"/>
              <w:jc w:val="left"/>
            </w:pPr>
            <w:r>
              <w:rPr>
                <w:rFonts w:ascii="Times New Roman" w:hAnsi="Times New Roman"/>
                <w:sz w:val="19"/>
              </w:rPr>
              <w:t xml:space="preserve">Matches report Section 13.3</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FR-83</w:t>
            </w:r>
          </w:p>
        </w:tc>
        <w:tc>
          <w:tcPr>
            <w:tcW w:type="dxa" w:w="344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Downside / base / upside presets</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c>
          <w:tcPr>
            <w:tcW w:type="dxa" w:w="336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Presets match report scenarios</w:t>
            </w:r>
          </w:p>
        </w:tc>
      </w:tr>
    </w:tbl>
    <w:p>
      <w:pPr>
        <w:pStyle w:val="CaptionedFigure"/>
        <w:spacing w:before="160"/>
      </w:pPr>
      <w:r>
        <w:drawing>
          <wp:inline>
            <wp:extent cx="5733288" cy="2916935"/>
            <wp:effectExtent b="0" l="0" r="0" t="0"/>
            <wp:docPr descr="Illustrative three-year scenarios (report Section 13.3)" title="" id="69" name="Picture"/>
            <a:graphic>
              <a:graphicData uri="http://schemas.openxmlformats.org/drawingml/2006/picture">
                <pic:pic>
                  <pic:nvPicPr>
                    <pic:cNvPr descr="fig/f9_scenarios.png" id="70" name="Picture"/>
                    <pic:cNvPicPr>
                      <a:picLocks noChangeArrowheads="1" noChangeAspect="1"/>
                    </pic:cNvPicPr>
                  </pic:nvPicPr>
                  <pic:blipFill>
                    <a:blip r:embed="rId68"/>
                    <a:stretch>
                      <a:fillRect/>
                    </a:stretch>
                  </pic:blipFill>
                  <pic:spPr bwMode="auto">
                    <a:xfrm>
                      <a:off x="0" y="0"/>
                      <a:ext cx="5733288" cy="2916935"/>
                    </a:xfrm>
                    <a:prstGeom prst="rect">
                      <a:avLst/>
                    </a:prstGeom>
                    <a:noFill/>
                    <a:ln w="9525">
                      <a:noFill/>
                      <a:headEnd/>
                      <a:tailEnd/>
                    </a:ln>
                  </pic:spPr>
                </pic:pic>
              </a:graphicData>
            </a:graphic>
          </wp:inline>
        </w:drawing>
      </w:r>
    </w:p>
    <w:p>
      <w:pPr>
        <w:pStyle w:val="ImageCaption"/>
      </w:pPr>
      <w:r>
        <w:t xml:space="preserve">Illustrative three-year scenarios (report Section 13.3)</w:t>
      </w:r>
    </w:p>
    <w:p>
      <w:pPr>
        <w:pStyle w:val="Heading2"/>
      </w:pPr>
      <w:r>
        <w:t xml:space="preserve">5.10 ICP scoring logic (used in S8)</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681"/>
        <w:gridCol w:w="1108"/>
        <w:gridCol w:w="5238"/>
      </w:tblGrid>
      <w:tr>
        <w:trPr>
          <w:cantSplit w:val="true"/>
          <w:tblHeader w:val="true"/>
        </w:trPr>
        <w:tc>
          <w:tcPr>
            <w:tcW w:type="dxa" w:w="268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Factor</w:t>
            </w:r>
          </w:p>
        </w:tc>
        <w:tc>
          <w:tcPr>
            <w:tcW w:type="dxa" w:w="110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Weight</w:t>
            </w:r>
          </w:p>
        </w:tc>
        <w:tc>
          <w:tcPr>
            <w:tcW w:type="dxa" w:w="523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Scoring rule</w:t>
            </w:r>
          </w:p>
        </w:tc>
      </w:tr>
      <w:tr>
        <w:trPr>
          <w:cantSplit w:val="true"/>
        </w:trPr>
        <w:tc>
          <w:tcPr>
            <w:tcW w:type="dxa" w:w="2682"/>
            <w:tcMar>
              <w:top w:w="40" w:type="dxa"/>
              <w:bottom w:w="40" w:type="dxa"/>
            </w:tcMar>
          </w:tcPr>
          <w:p>
            <w:pPr>
              <w:pStyle w:val="Compact"/>
              <w:spacing w:line="252" w:lineRule="auto" w:after="20" w:before="20"/>
              <w:jc w:val="left"/>
            </w:pPr>
            <w:r>
              <w:rPr>
                <w:rFonts w:ascii="Times New Roman" w:hAnsi="Times New Roman"/>
                <w:sz w:val="19"/>
              </w:rPr>
              <w:t xml:space="preserve">Group-health book size</w:t>
            </w:r>
          </w:p>
        </w:tc>
        <w:tc>
          <w:tcPr>
            <w:tcW w:type="dxa" w:w="1108"/>
            <w:tcMar>
              <w:top w:w="40" w:type="dxa"/>
              <w:bottom w:w="40" w:type="dxa"/>
            </w:tcMar>
          </w:tcPr>
          <w:p>
            <w:pPr>
              <w:pStyle w:val="Compact"/>
              <w:spacing w:line="252" w:lineRule="auto" w:after="20" w:before="20"/>
              <w:jc w:val="left"/>
            </w:pPr>
            <w:r>
              <w:rPr>
                <w:rFonts w:ascii="Times New Roman" w:hAnsi="Times New Roman"/>
                <w:sz w:val="19"/>
              </w:rPr>
              <w:t xml:space="preserve">30%</w:t>
            </w:r>
          </w:p>
        </w:tc>
        <w:tc>
          <w:tcPr>
            <w:tcW w:type="dxa" w:w="5239"/>
            <w:tcMar>
              <w:top w:w="40" w:type="dxa"/>
              <w:bottom w:w="40" w:type="dxa"/>
            </w:tcMar>
          </w:tcPr>
          <w:p>
            <w:pPr>
              <w:pStyle w:val="Compact"/>
              <w:spacing w:line="252" w:lineRule="auto" w:after="20" w:before="20"/>
              <w:jc w:val="left"/>
            </w:pPr>
            <w:r>
              <w:rPr>
                <w:rFonts w:ascii="Times New Roman" w:hAnsi="Times New Roman"/>
                <w:sz w:val="19"/>
              </w:rPr>
              <w:t xml:space="preserve">15–60 corporate clients = full score</w:t>
            </w:r>
          </w:p>
        </w:tc>
      </w:tr>
      <w:tr>
        <w:trPr>
          <w:cantSplit w:val="true"/>
        </w:trPr>
        <w:tc>
          <w:tcPr>
            <w:tcW w:type="dxa" w:w="268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In-house technology</w:t>
            </w:r>
          </w:p>
        </w:tc>
        <w:tc>
          <w:tcPr>
            <w:tcW w:type="dxa" w:w="11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25%</w:t>
            </w:r>
          </w:p>
        </w:tc>
        <w:tc>
          <w:tcPr>
            <w:tcW w:type="dxa" w:w="523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None or Excel only = full; partial = half; existing vendor = zero</w:t>
            </w:r>
          </w:p>
        </w:tc>
      </w:tr>
      <w:tr>
        <w:trPr>
          <w:cantSplit w:val="true"/>
        </w:trPr>
        <w:tc>
          <w:tcPr>
            <w:tcW w:type="dxa" w:w="2682"/>
            <w:tcMar>
              <w:top w:w="40" w:type="dxa"/>
              <w:bottom w:w="40" w:type="dxa"/>
            </w:tcMar>
          </w:tcPr>
          <w:p>
            <w:pPr>
              <w:pStyle w:val="Compact"/>
              <w:spacing w:line="252" w:lineRule="auto" w:after="20" w:before="20"/>
              <w:jc w:val="left"/>
            </w:pPr>
            <w:r>
              <w:rPr>
                <w:rFonts w:ascii="Times New Roman" w:hAnsi="Times New Roman"/>
                <w:sz w:val="19"/>
              </w:rPr>
              <w:t xml:space="preserve">Trigger event present</w:t>
            </w:r>
          </w:p>
        </w:tc>
        <w:tc>
          <w:tcPr>
            <w:tcW w:type="dxa" w:w="1108"/>
            <w:tcMar>
              <w:top w:w="40" w:type="dxa"/>
              <w:bottom w:w="40" w:type="dxa"/>
            </w:tcMar>
          </w:tcPr>
          <w:p>
            <w:pPr>
              <w:pStyle w:val="Compact"/>
              <w:spacing w:line="252" w:lineRule="auto" w:after="20" w:before="20"/>
              <w:jc w:val="left"/>
            </w:pPr>
            <w:r>
              <w:rPr>
                <w:rFonts w:ascii="Times New Roman" w:hAnsi="Times New Roman"/>
                <w:sz w:val="19"/>
              </w:rPr>
              <w:t xml:space="preserve">25%</w:t>
            </w:r>
          </w:p>
        </w:tc>
        <w:tc>
          <w:tcPr>
            <w:tcW w:type="dxa" w:w="5239"/>
            <w:tcMar>
              <w:top w:w="40" w:type="dxa"/>
              <w:bottom w:w="40" w:type="dxa"/>
            </w:tcMar>
          </w:tcPr>
          <w:p>
            <w:pPr>
              <w:pStyle w:val="Compact"/>
              <w:spacing w:line="252" w:lineRule="auto" w:after="20" w:before="20"/>
              <w:jc w:val="left"/>
            </w:pPr>
            <w:r>
              <w:rPr>
                <w:rFonts w:ascii="Times New Roman" w:hAnsi="Times New Roman"/>
                <w:sz w:val="19"/>
              </w:rPr>
              <w:t xml:space="preserve">Lost client to tech-first broker, new digital head, licence conversion, renewal pressure</w:t>
            </w:r>
          </w:p>
        </w:tc>
      </w:tr>
      <w:tr>
        <w:trPr>
          <w:cantSplit w:val="true"/>
        </w:trPr>
        <w:tc>
          <w:tcPr>
            <w:tcW w:type="dxa" w:w="268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Relationship access</w:t>
            </w:r>
          </w:p>
        </w:tc>
        <w:tc>
          <w:tcPr>
            <w:tcW w:type="dxa" w:w="11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20%</w:t>
            </w:r>
          </w:p>
        </w:tc>
        <w:tc>
          <w:tcPr>
            <w:tcW w:type="dxa" w:w="523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Founder contact = full; second-degree = half; cold = low</w:t>
            </w:r>
          </w:p>
        </w:tc>
      </w:tr>
    </w:tbl>
    <w:p>
      <w:pPr>
        <w:pStyle w:val="BodyText"/>
        <w:spacing w:before="160"/>
      </w:pPr>
      <w:r>
        <w:t xml:space="preserve">Accounts scoring</w:t>
      </w:r>
      <w:r>
        <w:t xml:space="preserve"> </w:t>
      </w:r>
      <w:r>
        <w:rPr>
          <w:b/>
          <w:bCs/>
        </w:rPr>
        <w:t xml:space="preserve">≥80</w:t>
      </w:r>
      <w:r>
        <w:t xml:space="preserve"> </w:t>
      </w:r>
      <w:r>
        <w:t xml:space="preserve">go to founder outreach;</w:t>
      </w:r>
      <w:r>
        <w:t xml:space="preserve"> </w:t>
      </w:r>
      <w:r>
        <w:rPr>
          <w:b/>
          <w:bCs/>
        </w:rPr>
        <w:t xml:space="preserve">60–79</w:t>
      </w:r>
      <w:r>
        <w:t xml:space="preserve"> </w:t>
      </w:r>
      <w:r>
        <w:t xml:space="preserve">to sales;</w:t>
      </w:r>
      <w:r>
        <w:t xml:space="preserve"> </w:t>
      </w:r>
      <w:r>
        <w:rPr>
          <w:b/>
          <w:bCs/>
        </w:rPr>
        <w:t xml:space="preserve">&lt;60</w:t>
      </w:r>
      <w:r>
        <w:t xml:space="preserve"> </w:t>
      </w:r>
      <w:r>
        <w:t xml:space="preserve">are deprioritised (report Sections 8.4 and 10.1).</w:t>
      </w:r>
    </w:p>
    <w:p>
      <w:pPr>
        <w:pStyle w:val="Heading2"/>
      </w:pPr>
      <w:r>
        <w:t xml:space="preserve">5.11 S10 — Admin: data ingestion and model monitoring</w:t>
      </w:r>
    </w:p>
    <w:p>
      <w:pPr>
        <w:pStyle w:val="CaptionedFigure"/>
      </w:pPr>
      <w:r>
        <w:drawing>
          <wp:inline>
            <wp:extent cx="5733288" cy="3661494"/>
            <wp:effectExtent b="0" l="0" r="0" t="0"/>
            <wp:docPr descr="S10 Admin and model monitoring (synthetic data)" title="" id="72" name="Picture"/>
            <a:graphic>
              <a:graphicData uri="http://schemas.openxmlformats.org/drawingml/2006/picture">
                <pic:pic>
                  <pic:nvPicPr>
                    <pic:cNvPr descr="fig/s9_admin.png" id="73" name="Picture"/>
                    <pic:cNvPicPr>
                      <a:picLocks noChangeArrowheads="1" noChangeAspect="1"/>
                    </pic:cNvPicPr>
                  </pic:nvPicPr>
                  <pic:blipFill>
                    <a:blip r:embed="rId71"/>
                    <a:stretch>
                      <a:fillRect/>
                    </a:stretch>
                  </pic:blipFill>
                  <pic:spPr bwMode="auto">
                    <a:xfrm>
                      <a:off x="0" y="0"/>
                      <a:ext cx="5733288" cy="3661494"/>
                    </a:xfrm>
                    <a:prstGeom prst="rect">
                      <a:avLst/>
                    </a:prstGeom>
                    <a:noFill/>
                    <a:ln w="9525">
                      <a:noFill/>
                      <a:headEnd/>
                      <a:tailEnd/>
                    </a:ln>
                  </pic:spPr>
                </pic:pic>
              </a:graphicData>
            </a:graphic>
          </wp:inline>
        </w:drawing>
      </w:r>
    </w:p>
    <w:p>
      <w:pPr>
        <w:pStyle w:val="ImageCaption"/>
      </w:pPr>
      <w:r>
        <w:t xml:space="preserve">S10 Admin and model monitoring (synthetic data)</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3943"/>
        <w:gridCol w:w="1296"/>
        <w:gridCol w:w="2860"/>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394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c>
          <w:tcPr>
            <w:tcW w:type="dxa" w:w="286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Acceptance criteria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FR-90</w:t>
            </w:r>
          </w:p>
        </w:tc>
        <w:tc>
          <w:tcPr>
            <w:tcW w:type="dxa" w:w="3943"/>
            <w:tcMar>
              <w:top w:w="40" w:type="dxa"/>
              <w:bottom w:w="40" w:type="dxa"/>
            </w:tcMar>
          </w:tcPr>
          <w:p>
            <w:pPr>
              <w:pStyle w:val="Compact"/>
              <w:spacing w:line="252" w:lineRule="auto" w:after="20" w:before="20"/>
              <w:jc w:val="left"/>
            </w:pPr>
            <w:r>
              <w:rPr>
                <w:rFonts w:ascii="Times New Roman" w:hAnsi="Times New Roman"/>
                <w:sz w:val="19"/>
              </w:rPr>
              <w:t xml:space="preserve">Upload census, claims and policy files; auto-map columns to the standard template (census mapping assistant)</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861"/>
            <w:tcMar>
              <w:top w:w="40" w:type="dxa"/>
              <w:bottom w:w="40" w:type="dxa"/>
            </w:tcMar>
          </w:tcPr>
          <w:p>
            <w:pPr>
              <w:pStyle w:val="Compact"/>
              <w:spacing w:line="252" w:lineRule="auto" w:after="20" w:before="20"/>
              <w:jc w:val="left"/>
            </w:pPr>
            <w:r>
              <w:rPr>
                <w:rFonts w:ascii="Times New Roman" w:hAnsi="Times New Roman"/>
                <w:sz w:val="19"/>
              </w:rPr>
              <w:t xml:space="preserve">≥90% of columns auto-mapped on pilot files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FR-91</w:t>
            </w:r>
          </w:p>
        </w:tc>
        <w:tc>
          <w:tcPr>
            <w:tcW w:type="dxa" w:w="394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Data validation rules (dates, duplicates, missing dependants, age vs relation)</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86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Errors listed with row numbers</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FR-92</w:t>
            </w:r>
          </w:p>
        </w:tc>
        <w:tc>
          <w:tcPr>
            <w:tcW w:type="dxa" w:w="3943"/>
            <w:tcMar>
              <w:top w:w="40" w:type="dxa"/>
              <w:bottom w:w="40" w:type="dxa"/>
            </w:tcMar>
          </w:tcPr>
          <w:p>
            <w:pPr>
              <w:pStyle w:val="Compact"/>
              <w:spacing w:line="252" w:lineRule="auto" w:after="20" w:before="20"/>
              <w:jc w:val="left"/>
            </w:pPr>
            <w:r>
              <w:rPr>
                <w:rFonts w:ascii="Times New Roman" w:hAnsi="Times New Roman"/>
                <w:sz w:val="19"/>
              </w:rPr>
              <w:t xml:space="preserve">Consent tag on every member record; records without consent excluded from the benchmark pool</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861"/>
            <w:tcMar>
              <w:top w:w="40" w:type="dxa"/>
              <w:bottom w:w="40" w:type="dxa"/>
            </w:tcMar>
          </w:tcPr>
          <w:p>
            <w:pPr>
              <w:pStyle w:val="Compact"/>
              <w:spacing w:line="252" w:lineRule="auto" w:after="20" w:before="20"/>
              <w:jc w:val="left"/>
            </w:pPr>
            <w:r>
              <w:rPr>
                <w:rFonts w:ascii="Times New Roman" w:hAnsi="Times New Roman"/>
                <w:sz w:val="19"/>
              </w:rPr>
              <w:t xml:space="preserve">100% of records tagged before pooling</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FR-93</w:t>
            </w:r>
          </w:p>
        </w:tc>
        <w:tc>
          <w:tcPr>
            <w:tcW w:type="dxa" w:w="394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Model monitoring: extraction accuracy, share of fields sent to review, forecast error, override rate</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86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Weekly trend charts with targets</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FR-94</w:t>
            </w:r>
          </w:p>
        </w:tc>
        <w:tc>
          <w:tcPr>
            <w:tcW w:type="dxa" w:w="3943"/>
            <w:tcMar>
              <w:top w:w="40" w:type="dxa"/>
              <w:bottom w:w="40" w:type="dxa"/>
            </w:tcMar>
          </w:tcPr>
          <w:p>
            <w:pPr>
              <w:pStyle w:val="Compact"/>
              <w:spacing w:line="252" w:lineRule="auto" w:after="20" w:before="20"/>
              <w:jc w:val="left"/>
            </w:pPr>
            <w:r>
              <w:rPr>
                <w:rFonts w:ascii="Times New Roman" w:hAnsi="Times New Roman"/>
                <w:sz w:val="19"/>
              </w:rPr>
              <w:t xml:space="preserve">Cohort guard: count of peer sets below 10 companies (hidden from users)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861"/>
            <w:tcMar>
              <w:top w:w="40" w:type="dxa"/>
              <w:bottom w:w="40" w:type="dxa"/>
            </w:tcMar>
          </w:tcPr>
          <w:p>
            <w:pPr>
              <w:pStyle w:val="Compact"/>
              <w:spacing w:line="252" w:lineRule="auto" w:after="20" w:before="20"/>
              <w:jc w:val="left"/>
            </w:pPr>
            <w:r>
              <w:rPr>
                <w:rFonts w:ascii="Times New Roman" w:hAnsi="Times New Roman"/>
                <w:sz w:val="19"/>
              </w:rPr>
              <w:t xml:space="preserve">Guard runs on every benchmark refresh</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FR-95</w:t>
            </w:r>
          </w:p>
        </w:tc>
        <w:tc>
          <w:tcPr>
            <w:tcW w:type="dxa" w:w="394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Audit log export for DPDP and client audits</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c>
          <w:tcPr>
            <w:tcW w:type="dxa" w:w="286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Export includes user, action, object, time</w:t>
            </w:r>
          </w:p>
        </w:tc>
      </w:tr>
    </w:tbl>
    <w:p>
      <w:pPr>
        <w:spacing w:before="160"/>
      </w:pPr>
      <w:r>
        <w:br w:type="page"/>
      </w:r>
    </w:p>
    <w:p>
      <w:pPr>
        <w:pStyle w:val="Heading1"/>
      </w:pPr>
      <w:r>
        <w:t xml:space="preserve">6. AI / ML Requirements</w:t>
      </w:r>
    </w:p>
    <w:p>
      <w:pPr>
        <w:pStyle w:val="FirstParagraph"/>
      </w:pPr>
      <w:r>
        <w:t xml:space="preserve">Each model below comes from report Section 7.3. For each one, the table sets the input, the method, the output, the quality bar and what happens when the model is unsure.</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1663"/>
        <w:gridCol w:w="2304"/>
        <w:gridCol w:w="1908"/>
        <w:gridCol w:w="2030"/>
        <w:gridCol w:w="1785"/>
        <w:gridCol w:w="2030"/>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166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Model</w:t>
            </w:r>
          </w:p>
        </w:tc>
        <w:tc>
          <w:tcPr>
            <w:tcW w:type="dxa" w:w="230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Method</w:t>
            </w:r>
          </w:p>
        </w:tc>
        <w:tc>
          <w:tcPr>
            <w:tcW w:type="dxa" w:w="190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Inputs</w:t>
            </w:r>
          </w:p>
        </w:tc>
        <w:tc>
          <w:tcPr>
            <w:tcW w:type="dxa" w:w="203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Output</w:t>
            </w:r>
          </w:p>
        </w:tc>
        <w:tc>
          <w:tcPr>
            <w:tcW w:type="dxa" w:w="178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Quality bar</w:t>
            </w:r>
          </w:p>
        </w:tc>
        <w:tc>
          <w:tcPr>
            <w:tcW w:type="dxa" w:w="203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Fallback / human control</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AI-01</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Peer-group matching</w:t>
            </w:r>
          </w:p>
        </w:tc>
        <w:tc>
          <w:tcPr>
            <w:tcW w:type="dxa" w:w="2304"/>
            <w:tcMar>
              <w:top w:w="40" w:type="dxa"/>
              <w:bottom w:w="40" w:type="dxa"/>
            </w:tcMar>
          </w:tcPr>
          <w:p>
            <w:pPr>
              <w:pStyle w:val="Compact"/>
              <w:spacing w:line="252" w:lineRule="auto" w:after="20" w:before="20"/>
              <w:jc w:val="left"/>
            </w:pPr>
            <w:r>
              <w:rPr>
                <w:rFonts w:ascii="Times New Roman" w:hAnsi="Times New Roman"/>
                <w:sz w:val="19"/>
              </w:rPr>
              <w:t xml:space="preserve">k-nearest neighbours on standardised features</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Industry, size, age mix, family definition, sum insured, city</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Peer set of ≥10 companies</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Stable peer set (≥70% overlap week to week)</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Widen filters automatically; never show &lt; 10</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AI-02</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Renewal cost forecast</w:t>
            </w:r>
          </w:p>
        </w:tc>
        <w:tc>
          <w:tcPr>
            <w:tcW w:type="dxa" w:w="230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Gradient-boosted trees; permutation or SHAP explanations</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Claims ratio, demographics, plan design, group size, medical trend</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Renewal loading % with range and top drivers</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Mean error ≤5 pts on back-test</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Show range, not a single number; broker review</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AI-03</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Plan-design simulator</w:t>
            </w:r>
          </w:p>
        </w:tc>
        <w:tc>
          <w:tcPr>
            <w:tcW w:type="dxa" w:w="2304"/>
            <w:tcMar>
              <w:top w:w="40" w:type="dxa"/>
              <w:bottom w:w="40" w:type="dxa"/>
            </w:tcMar>
          </w:tcPr>
          <w:p>
            <w:pPr>
              <w:pStyle w:val="Compact"/>
              <w:spacing w:line="252" w:lineRule="auto" w:after="20" w:before="20"/>
              <w:jc w:val="left"/>
            </w:pPr>
            <w:r>
              <w:rPr>
                <w:rFonts w:ascii="Times New Roman" w:hAnsi="Times New Roman"/>
                <w:sz w:val="19"/>
              </w:rPr>
              <w:t xml:space="preserve">Log-linear rating relativities + AI-02</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Current plan, proposed changes</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Premium impact per change</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Model fit R² ≥0.85; results within ±2 pts of insurer quotes in pilot</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Labelled</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estimate</w:t>
            </w:r>
            <w:r>
              <w:rPr>
                <w:rFonts w:ascii="Times New Roman" w:hAnsi="Times New Roman"/>
                <w:sz w:val="19"/>
              </w:rPr>
              <w:t xml:space="preserve">”</w:t>
            </w:r>
            <w:r>
              <w:rPr>
                <w:rFonts w:ascii="Times New Roman" w:hAnsi="Times New Roman"/>
                <w:sz w:val="19"/>
              </w:rPr>
              <w:t xml:space="preserve">; insurer quote is final</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AI-04</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Quote document AI</w:t>
            </w:r>
          </w:p>
        </w:tc>
        <w:tc>
          <w:tcPr>
            <w:tcW w:type="dxa" w:w="230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OCR + large language model extraction to a fixed schema</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Quote PDFs and Excel files</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24 structured fields with confidence</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≥95% field accuracy</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Confidence &lt; 0.85 → human review</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AI-05</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Claims anomaly flags</w:t>
            </w:r>
          </w:p>
        </w:tc>
        <w:tc>
          <w:tcPr>
            <w:tcW w:type="dxa" w:w="2304"/>
            <w:tcMar>
              <w:top w:w="40" w:type="dxa"/>
              <w:bottom w:w="40" w:type="dxa"/>
            </w:tcMar>
          </w:tcPr>
          <w:p>
            <w:pPr>
              <w:pStyle w:val="Compact"/>
              <w:spacing w:line="252" w:lineRule="auto" w:after="20" w:before="20"/>
              <w:jc w:val="left"/>
            </w:pPr>
            <w:r>
              <w:rPr>
                <w:rFonts w:ascii="Times New Roman" w:hAnsi="Times New Roman"/>
                <w:sz w:val="19"/>
              </w:rPr>
              <w:t xml:space="preserve">Isolation forest + rules (cost per day, length of stay)</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Claims lines</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Flags for review</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Precision ≥50% before use with clients</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Advisory only; no automatic decisions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AI-06</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Policy Q&amp;A assistant</w:t>
            </w:r>
          </w:p>
        </w:tc>
        <w:tc>
          <w:tcPr>
            <w:tcW w:type="dxa" w:w="230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Retrieval-augmented generation over the employer’s own policy documents</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Policy wording, FAQs</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Plain-language answer with clause citation</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≥90% answers correct on a 100-question test set</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Sensitive or unclear queries go to a human</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AI-07</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Renewal risk score</w:t>
            </w:r>
          </w:p>
        </w:tc>
        <w:tc>
          <w:tcPr>
            <w:tcW w:type="dxa" w:w="2304"/>
            <w:tcMar>
              <w:top w:w="40" w:type="dxa"/>
              <w:bottom w:w="40" w:type="dxa"/>
            </w:tcMar>
          </w:tcPr>
          <w:p>
            <w:pPr>
              <w:pStyle w:val="Compact"/>
              <w:spacing w:line="252" w:lineRule="auto" w:after="20" w:before="20"/>
              <w:jc w:val="left"/>
            </w:pPr>
            <w:r>
              <w:rPr>
                <w:rFonts w:ascii="Times New Roman" w:hAnsi="Times New Roman"/>
                <w:sz w:val="19"/>
              </w:rPr>
              <w:t xml:space="preserve">Classifier on engagement, claims trend, service issues</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Account-level data</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0–100 risk of client loss</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Top-decile risk captures ≥40% of actual losses (once data exists)</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Shown as a prompt for action only</w:t>
            </w:r>
          </w:p>
        </w:tc>
      </w:tr>
    </w:tbl>
    <w:p>
      <w:pPr>
        <w:pStyle w:val="BodyText"/>
        <w:keepNext/>
        <w:spacing w:before="160"/>
      </w:pPr>
      <w:r>
        <w:rPr>
          <w:b/>
          <w:bCs/>
        </w:rPr>
        <w:t xml:space="preserve">AI governance requirements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120"/>
        <w:gridCol w:w="6246"/>
        <w:gridCol w:w="1662"/>
      </w:tblGrid>
      <w:tr>
        <w:trPr>
          <w:cantSplit w:val="true"/>
          <w:tblHeader w:val="true"/>
        </w:trPr>
        <w:tc>
          <w:tcPr>
            <w:tcW w:type="dxa" w:w="112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624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66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r>
      <w:tr>
        <w:trPr>
          <w:cantSplit w:val="true"/>
        </w:trPr>
        <w:tc>
          <w:tcPr>
            <w:tcW w:type="dxa" w:w="1120"/>
            <w:tcMar>
              <w:top w:w="40" w:type="dxa"/>
              <w:bottom w:w="40" w:type="dxa"/>
            </w:tcMar>
          </w:tcPr>
          <w:p>
            <w:pPr>
              <w:pStyle w:val="Compact"/>
              <w:spacing w:line="252" w:lineRule="auto" w:after="20" w:before="20"/>
              <w:jc w:val="left"/>
            </w:pPr>
            <w:r>
              <w:rPr>
                <w:rFonts w:ascii="Times New Roman" w:hAnsi="Times New Roman"/>
                <w:sz w:val="19"/>
              </w:rPr>
              <w:t xml:space="preserve">AI-G1</w:t>
            </w:r>
          </w:p>
        </w:tc>
        <w:tc>
          <w:tcPr>
            <w:tcW w:type="dxa" w:w="6246"/>
            <w:tcMar>
              <w:top w:w="40" w:type="dxa"/>
              <w:bottom w:w="40" w:type="dxa"/>
            </w:tcMar>
          </w:tcPr>
          <w:p>
            <w:pPr>
              <w:pStyle w:val="Compact"/>
              <w:spacing w:line="252" w:lineRule="auto" w:after="20" w:before="20"/>
              <w:jc w:val="left"/>
            </w:pPr>
            <w:r>
              <w:rPr>
                <w:rFonts w:ascii="Times New Roman" w:hAnsi="Times New Roman"/>
                <w:sz w:val="19"/>
              </w:rPr>
              <w:t xml:space="preserve">Every model output shown to a client is logged (ModelRun) with version, inputs hash, reviewer and any override</w:t>
            </w:r>
          </w:p>
        </w:tc>
        <w:tc>
          <w:tcPr>
            <w:tcW w:type="dxa" w:w="1662"/>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12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AI-G2</w:t>
            </w:r>
          </w:p>
        </w:tc>
        <w:tc>
          <w:tcPr>
            <w:tcW w:type="dxa" w:w="624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 model card is visible in the product for AI-02, AI-03, AI-04</w:t>
            </w:r>
          </w:p>
        </w:tc>
        <w:tc>
          <w:tcPr>
            <w:tcW w:type="dxa" w:w="166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120"/>
            <w:tcMar>
              <w:top w:w="40" w:type="dxa"/>
              <w:bottom w:w="40" w:type="dxa"/>
            </w:tcMar>
          </w:tcPr>
          <w:p>
            <w:pPr>
              <w:pStyle w:val="Compact"/>
              <w:spacing w:line="252" w:lineRule="auto" w:after="20" w:before="20"/>
              <w:jc w:val="left"/>
            </w:pPr>
            <w:r>
              <w:rPr>
                <w:rFonts w:ascii="Times New Roman" w:hAnsi="Times New Roman"/>
                <w:sz w:val="19"/>
              </w:rPr>
              <w:t xml:space="preserve">AI-G3</w:t>
            </w:r>
          </w:p>
        </w:tc>
        <w:tc>
          <w:tcPr>
            <w:tcW w:type="dxa" w:w="6246"/>
            <w:tcMar>
              <w:top w:w="40" w:type="dxa"/>
              <w:bottom w:w="40" w:type="dxa"/>
            </w:tcMar>
          </w:tcPr>
          <w:p>
            <w:pPr>
              <w:pStyle w:val="Compact"/>
              <w:spacing w:line="252" w:lineRule="auto" w:after="20" w:before="20"/>
              <w:jc w:val="left"/>
            </w:pPr>
            <w:r>
              <w:rPr>
                <w:rFonts w:ascii="Times New Roman" w:hAnsi="Times New Roman"/>
                <w:sz w:val="19"/>
              </w:rPr>
              <w:t xml:space="preserve">No personal data is sent to external AI services without masking; data stays in India-region cloud where possible</w:t>
            </w:r>
          </w:p>
        </w:tc>
        <w:tc>
          <w:tcPr>
            <w:tcW w:type="dxa" w:w="1662"/>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12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AI-G4</w:t>
            </w:r>
          </w:p>
        </w:tc>
        <w:tc>
          <w:tcPr>
            <w:tcW w:type="dxa" w:w="624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Quarterly bias and accuracy review by industry, city tier and group size</w:t>
            </w:r>
          </w:p>
        </w:tc>
        <w:tc>
          <w:tcPr>
            <w:tcW w:type="dxa" w:w="166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r>
      <w:tr>
        <w:trPr>
          <w:cantSplit w:val="true"/>
        </w:trPr>
        <w:tc>
          <w:tcPr>
            <w:tcW w:type="dxa" w:w="1120"/>
            <w:tcMar>
              <w:top w:w="40" w:type="dxa"/>
              <w:bottom w:w="40" w:type="dxa"/>
            </w:tcMar>
          </w:tcPr>
          <w:p>
            <w:pPr>
              <w:pStyle w:val="Compact"/>
              <w:spacing w:line="252" w:lineRule="auto" w:after="20" w:before="20"/>
              <w:jc w:val="left"/>
            </w:pPr>
            <w:r>
              <w:rPr>
                <w:rFonts w:ascii="Times New Roman" w:hAnsi="Times New Roman"/>
                <w:sz w:val="19"/>
              </w:rPr>
              <w:t xml:space="preserve">AI-G5</w:t>
            </w:r>
          </w:p>
        </w:tc>
        <w:tc>
          <w:tcPr>
            <w:tcW w:type="dxa" w:w="6246"/>
            <w:tcMar>
              <w:top w:w="40" w:type="dxa"/>
              <w:bottom w:w="40" w:type="dxa"/>
            </w:tcMar>
          </w:tcPr>
          <w:p>
            <w:pPr>
              <w:pStyle w:val="Compact"/>
              <w:spacing w:line="252" w:lineRule="auto" w:after="20" w:before="20"/>
              <w:jc w:val="left"/>
            </w:pPr>
            <w:r>
              <w:rPr>
                <w:rFonts w:ascii="Times New Roman" w:hAnsi="Times New Roman"/>
                <w:sz w:val="19"/>
              </w:rPr>
              <w:t xml:space="preserve">Models retrained monthly once real pilot data exists; version can be rolled back</w:t>
            </w:r>
          </w:p>
        </w:tc>
        <w:tc>
          <w:tcPr>
            <w:tcW w:type="dxa" w:w="1662"/>
            <w:tcMar>
              <w:top w:w="40" w:type="dxa"/>
              <w:bottom w:w="40" w:type="dxa"/>
            </w:tcMar>
          </w:tcPr>
          <w:p>
            <w:pPr>
              <w:pStyle w:val="Compact"/>
              <w:spacing w:line="252" w:lineRule="auto" w:after="20" w:before="20"/>
              <w:jc w:val="left"/>
            </w:pPr>
            <w:r>
              <w:rPr>
                <w:rFonts w:ascii="Times New Roman" w:hAnsi="Times New Roman"/>
                <w:sz w:val="19"/>
              </w:rPr>
              <w:t xml:space="preserve">Should</w:t>
            </w:r>
          </w:p>
        </w:tc>
      </w:tr>
    </w:tbl>
    <w:p>
      <w:pPr>
        <w:pStyle w:val="Heading1"/>
        <w:spacing w:before="160"/>
      </w:pPr>
      <w:r>
        <w:t xml:space="preserve">7. Prototype Simulation of the AI/ML Layer</w:t>
      </w:r>
    </w:p>
    <w:p>
      <w:pPr>
        <w:pStyle w:val="FirstParagraph"/>
      </w:pPr>
      <w:r>
        <w:t xml:space="preserve">No real client data was available, so the AI layer was</w:t>
      </w:r>
      <w:r>
        <w:t xml:space="preserve"> </w:t>
      </w:r>
      <w:r>
        <w:rPr>
          <w:b/>
          <w:bCs/>
        </w:rPr>
        <w:t xml:space="preserve">simulated on a synthetic dataset</w:t>
      </w:r>
      <w:r>
        <w:t xml:space="preserve"> </w:t>
      </w:r>
      <w:r>
        <w:t xml:space="preserve">to prove that the pipeline works end to end and to produce realistic screens. Treat these results as a</w:t>
      </w:r>
      <w:r>
        <w:t xml:space="preserve"> </w:t>
      </w:r>
      <w:r>
        <w:rPr>
          <w:b/>
          <w:bCs/>
        </w:rPr>
        <w:t xml:space="preserve">proof of mechanics, not proof of accuracy</w:t>
      </w:r>
      <w:r>
        <w:t xml:space="preserve">. Real data will be noisier, and real errors will be higher.</w:t>
      </w:r>
    </w:p>
    <w:p>
      <w:pPr>
        <w:pStyle w:val="Heading2"/>
      </w:pPr>
      <w:r>
        <w:t xml:space="preserve">7.1 Synthetic dataset</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908"/>
        <w:gridCol w:w="6119"/>
      </w:tblGrid>
      <w:tr>
        <w:trPr>
          <w:cantSplit w:val="true"/>
          <w:tblHeader w:val="true"/>
        </w:trPr>
        <w:tc>
          <w:tcPr>
            <w:tcW w:type="dxa" w:w="290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Item</w:t>
            </w:r>
          </w:p>
        </w:tc>
        <w:tc>
          <w:tcPr>
            <w:tcW w:type="dxa" w:w="612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Value</w:t>
            </w:r>
          </w:p>
        </w:tc>
      </w:tr>
      <w:tr>
        <w:trPr>
          <w:cantSplit w:val="true"/>
        </w:trPr>
        <w:tc>
          <w:tcPr>
            <w:tcW w:type="dxa" w:w="2909"/>
            <w:tcMar>
              <w:top w:w="40" w:type="dxa"/>
              <w:bottom w:w="40" w:type="dxa"/>
            </w:tcMar>
          </w:tcPr>
          <w:p>
            <w:pPr>
              <w:pStyle w:val="Compact"/>
              <w:spacing w:line="252" w:lineRule="auto" w:after="20" w:before="20"/>
              <w:jc w:val="left"/>
            </w:pPr>
            <w:r>
              <w:rPr>
                <w:rFonts w:ascii="Times New Roman" w:hAnsi="Times New Roman"/>
                <w:sz w:val="19"/>
              </w:rPr>
              <w:t xml:space="preserve">Employer groups generated</w:t>
            </w:r>
          </w:p>
        </w:tc>
        <w:tc>
          <w:tcPr>
            <w:tcW w:type="dxa" w:w="6120"/>
            <w:tcMar>
              <w:top w:w="40" w:type="dxa"/>
              <w:bottom w:w="40" w:type="dxa"/>
            </w:tcMar>
          </w:tcPr>
          <w:p>
            <w:pPr>
              <w:pStyle w:val="Compact"/>
              <w:spacing w:line="252" w:lineRule="auto" w:after="20" w:before="20"/>
              <w:jc w:val="left"/>
            </w:pPr>
            <w:r>
              <w:rPr>
                <w:rFonts w:ascii="Times New Roman" w:hAnsi="Times New Roman"/>
                <w:sz w:val="19"/>
              </w:rPr>
              <w:t xml:space="preserve">600</w:t>
            </w:r>
          </w:p>
        </w:tc>
      </w:tr>
      <w:tr>
        <w:trPr>
          <w:cantSplit w:val="true"/>
        </w:trPr>
        <w:tc>
          <w:tcPr>
            <w:tcW w:type="dxa" w:w="290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Industries</w:t>
            </w:r>
          </w:p>
        </w:tc>
        <w:tc>
          <w:tcPr>
            <w:tcW w:type="dxa" w:w="612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IT services 168, manufacturing 132, BFSI 100, retail 74, pharma 71, professional services 55</w:t>
            </w:r>
          </w:p>
        </w:tc>
      </w:tr>
      <w:tr>
        <w:trPr>
          <w:cantSplit w:val="true"/>
        </w:trPr>
        <w:tc>
          <w:tcPr>
            <w:tcW w:type="dxa" w:w="2909"/>
            <w:tcMar>
              <w:top w:w="40" w:type="dxa"/>
              <w:bottom w:w="40" w:type="dxa"/>
            </w:tcMar>
          </w:tcPr>
          <w:p>
            <w:pPr>
              <w:pStyle w:val="Compact"/>
              <w:spacing w:line="252" w:lineRule="auto" w:after="20" w:before="20"/>
              <w:jc w:val="left"/>
            </w:pPr>
            <w:r>
              <w:rPr>
                <w:rFonts w:ascii="Times New Roman" w:hAnsi="Times New Roman"/>
                <w:sz w:val="19"/>
              </w:rPr>
              <w:t xml:space="preserve">Group size</w:t>
            </w:r>
          </w:p>
        </w:tc>
        <w:tc>
          <w:tcPr>
            <w:tcW w:type="dxa" w:w="6120"/>
            <w:tcMar>
              <w:top w:w="40" w:type="dxa"/>
              <w:bottom w:w="40" w:type="dxa"/>
            </w:tcMar>
          </w:tcPr>
          <w:p>
            <w:pPr>
              <w:pStyle w:val="Compact"/>
              <w:spacing w:line="252" w:lineRule="auto" w:after="20" w:before="20"/>
              <w:jc w:val="left"/>
            </w:pPr>
            <w:r>
              <w:rPr>
                <w:rFonts w:ascii="Times New Roman" w:hAnsi="Times New Roman"/>
                <w:sz w:val="19"/>
              </w:rPr>
              <w:t xml:space="preserve">250–2,000 employees (log-normal, median ~650)</w:t>
            </w:r>
          </w:p>
        </w:tc>
      </w:tr>
      <w:tr>
        <w:trPr>
          <w:cantSplit w:val="true"/>
        </w:trPr>
        <w:tc>
          <w:tcPr>
            <w:tcW w:type="dxa" w:w="290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Plan features</w:t>
            </w:r>
          </w:p>
        </w:tc>
        <w:tc>
          <w:tcPr>
            <w:tcW w:type="dxa" w:w="612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Family definition, sum insured (₹3L/5L/10L), parents’ co-pay (0/10/20%), room-rent cap (1%, 2%, none), city tier</w:t>
            </w:r>
          </w:p>
        </w:tc>
      </w:tr>
      <w:tr>
        <w:trPr>
          <w:cantSplit w:val="true"/>
        </w:trPr>
        <w:tc>
          <w:tcPr>
            <w:tcW w:type="dxa" w:w="2909"/>
            <w:tcMar>
              <w:top w:w="40" w:type="dxa"/>
              <w:bottom w:w="40" w:type="dxa"/>
            </w:tcMar>
          </w:tcPr>
          <w:p>
            <w:pPr>
              <w:pStyle w:val="Compact"/>
              <w:spacing w:line="252" w:lineRule="auto" w:after="20" w:before="20"/>
              <w:jc w:val="left"/>
            </w:pPr>
            <w:r>
              <w:rPr>
                <w:rFonts w:ascii="Times New Roman" w:hAnsi="Times New Roman"/>
                <w:sz w:val="19"/>
              </w:rPr>
              <w:t xml:space="preserve">Calibration</w:t>
            </w:r>
          </w:p>
        </w:tc>
        <w:tc>
          <w:tcPr>
            <w:tcW w:type="dxa" w:w="6120"/>
            <w:tcMar>
              <w:top w:w="40" w:type="dxa"/>
              <w:bottom w:w="40" w:type="dxa"/>
            </w:tcMar>
          </w:tcPr>
          <w:p>
            <w:pPr>
              <w:pStyle w:val="Compact"/>
              <w:spacing w:line="252" w:lineRule="auto" w:after="20" w:before="20"/>
              <w:jc w:val="left"/>
            </w:pPr>
            <w:r>
              <w:rPr>
                <w:rFonts w:ascii="Times New Roman" w:hAnsi="Times New Roman"/>
                <w:sz w:val="19"/>
              </w:rPr>
              <w:t xml:space="preserve">Mean premium per life</w:t>
            </w:r>
            <w:r>
              <w:rPr>
                <w:rFonts w:ascii="Times New Roman" w:hAnsi="Times New Roman"/>
                <w:sz w:val="19"/>
              </w:rPr>
              <w:t xml:space="preserve"> </w:t>
            </w:r>
            <w:r>
              <w:rPr>
                <w:rFonts w:ascii="Times New Roman" w:hAnsi="Times New Roman"/>
                <w:b/>
                <w:bCs/>
                <w:sz w:val="19"/>
              </w:rPr>
              <w:t xml:space="preserve">₹2,234</w:t>
            </w:r>
            <w:r>
              <w:rPr>
                <w:rFonts w:ascii="Times New Roman" w:hAnsi="Times New Roman"/>
                <w:sz w:val="19"/>
              </w:rPr>
              <w:t xml:space="preserve">, matching the report’s ₹2,233 derived from IRDAI data (₹61,435 cr ÷ 27.51 cr lives)</w:t>
            </w:r>
          </w:p>
        </w:tc>
      </w:tr>
      <w:tr>
        <w:trPr>
          <w:cantSplit w:val="true"/>
        </w:trPr>
        <w:tc>
          <w:tcPr>
            <w:tcW w:type="dxa" w:w="290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Mean claims ratio</w:t>
            </w:r>
          </w:p>
        </w:tc>
        <w:tc>
          <w:tcPr>
            <w:tcW w:type="dxa" w:w="612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81.6% (IRDAI all-health ratio: 85.34% in FY25)</w:t>
            </w:r>
          </w:p>
        </w:tc>
      </w:tr>
      <w:tr>
        <w:trPr>
          <w:cantSplit w:val="true"/>
        </w:trPr>
        <w:tc>
          <w:tcPr>
            <w:tcW w:type="dxa" w:w="2909"/>
            <w:tcMar>
              <w:top w:w="40" w:type="dxa"/>
              <w:bottom w:w="40" w:type="dxa"/>
            </w:tcMar>
          </w:tcPr>
          <w:p>
            <w:pPr>
              <w:pStyle w:val="Compact"/>
              <w:spacing w:line="252" w:lineRule="auto" w:after="20" w:before="20"/>
              <w:jc w:val="left"/>
            </w:pPr>
            <w:r>
              <w:rPr>
                <w:rFonts w:ascii="Times New Roman" w:hAnsi="Times New Roman"/>
                <w:sz w:val="19"/>
              </w:rPr>
              <w:t xml:space="preserve">Renewal loading</w:t>
            </w:r>
          </w:p>
        </w:tc>
        <w:tc>
          <w:tcPr>
            <w:tcW w:type="dxa" w:w="6120"/>
            <w:tcMar>
              <w:top w:w="40" w:type="dxa"/>
              <w:bottom w:w="40" w:type="dxa"/>
            </w:tcMar>
          </w:tcPr>
          <w:p>
            <w:pPr>
              <w:pStyle w:val="Compact"/>
              <w:spacing w:line="252" w:lineRule="auto" w:after="20" w:before="20"/>
              <w:jc w:val="left"/>
            </w:pPr>
            <w:r>
              <w:rPr>
                <w:rFonts w:ascii="Times New Roman" w:hAnsi="Times New Roman"/>
                <w:sz w:val="19"/>
              </w:rPr>
              <w:t xml:space="preserve">12% medical trend + claims-experience effect weighted by group size + plan-design effects + noise</w:t>
            </w:r>
          </w:p>
        </w:tc>
      </w:tr>
    </w:tbl>
    <w:p>
      <w:pPr>
        <w:pStyle w:val="Heading2"/>
        <w:spacing w:before="160"/>
      </w:pPr>
      <w:r>
        <w:t xml:space="preserve">7.2 Results</w:t>
      </w:r>
    </w:p>
    <w:p>
      <w:pPr>
        <w:pStyle w:val="FirstParagraph"/>
        <w:keepNext/>
      </w:pPr>
      <w:r>
        <w:rPr>
          <w:b/>
          <w:bCs/>
        </w:rPr>
        <w:t xml:space="preserve">AI-02 Renewal cost forecast (back-test on 150 held-out groups)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4492"/>
        <w:gridCol w:w="3162"/>
        <w:gridCol w:w="1373"/>
      </w:tblGrid>
      <w:tr>
        <w:trPr>
          <w:cantSplit w:val="true"/>
          <w:tblHeader w:val="true"/>
        </w:trPr>
        <w:tc>
          <w:tcPr>
            <w:tcW w:type="dxa" w:w="449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Measure</w:t>
            </w:r>
          </w:p>
        </w:tc>
        <w:tc>
          <w:tcPr>
            <w:tcW w:type="dxa" w:w="316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Result</w:t>
            </w:r>
          </w:p>
        </w:tc>
        <w:tc>
          <w:tcPr>
            <w:tcW w:type="dxa" w:w="137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Target</w:t>
            </w:r>
          </w:p>
        </w:tc>
      </w:tr>
      <w:tr>
        <w:trPr>
          <w:cantSplit w:val="true"/>
        </w:trPr>
        <w:tc>
          <w:tcPr>
            <w:tcW w:type="dxa" w:w="4493"/>
            <w:tcMar>
              <w:top w:w="40" w:type="dxa"/>
              <w:bottom w:w="40" w:type="dxa"/>
            </w:tcMar>
          </w:tcPr>
          <w:p>
            <w:pPr>
              <w:pStyle w:val="Compact"/>
              <w:spacing w:line="252" w:lineRule="auto" w:after="20" w:before="20"/>
              <w:jc w:val="left"/>
            </w:pPr>
            <w:r>
              <w:rPr>
                <w:rFonts w:ascii="Times New Roman" w:hAnsi="Times New Roman"/>
                <w:sz w:val="19"/>
              </w:rPr>
              <w:t xml:space="preserve">Mean absolute error</w:t>
            </w:r>
          </w:p>
        </w:tc>
        <w:tc>
          <w:tcPr>
            <w:tcW w:type="dxa" w:w="3162"/>
            <w:tcMar>
              <w:top w:w="40" w:type="dxa"/>
              <w:bottom w:w="40" w:type="dxa"/>
            </w:tcMar>
          </w:tcPr>
          <w:p>
            <w:pPr>
              <w:pStyle w:val="Compact"/>
              <w:spacing w:line="252" w:lineRule="auto" w:after="20" w:before="20"/>
              <w:jc w:val="left"/>
            </w:pPr>
            <w:r>
              <w:rPr>
                <w:rFonts w:ascii="Times New Roman" w:hAnsi="Times New Roman"/>
                <w:b/>
                <w:bCs/>
                <w:sz w:val="19"/>
              </w:rPr>
              <w:t xml:space="preserve">1.87 percentage points</w:t>
            </w:r>
          </w:p>
        </w:tc>
        <w:tc>
          <w:tcPr>
            <w:tcW w:type="dxa" w:w="1374"/>
            <w:tcMar>
              <w:top w:w="40" w:type="dxa"/>
              <w:bottom w:w="40" w:type="dxa"/>
            </w:tcMar>
          </w:tcPr>
          <w:p>
            <w:pPr>
              <w:pStyle w:val="Compact"/>
              <w:spacing w:line="252" w:lineRule="auto" w:after="20" w:before="20"/>
              <w:jc w:val="left"/>
            </w:pPr>
            <w:r>
              <w:rPr>
                <w:rFonts w:ascii="Times New Roman" w:hAnsi="Times New Roman"/>
                <w:sz w:val="19"/>
              </w:rPr>
              <w:t xml:space="preserve">≤5 pts</w:t>
            </w:r>
          </w:p>
        </w:tc>
      </w:tr>
      <w:tr>
        <w:trPr>
          <w:cantSplit w:val="true"/>
        </w:trPr>
        <w:tc>
          <w:tcPr>
            <w:tcW w:type="dxa" w:w="449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Trend-only baseline (everyone gets +12%)</w:t>
            </w:r>
          </w:p>
        </w:tc>
        <w:tc>
          <w:tcPr>
            <w:tcW w:type="dxa" w:w="316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5.52 pts</w:t>
            </w:r>
          </w:p>
        </w:tc>
        <w:tc>
          <w:tcPr>
            <w:tcW w:type="dxa" w:w="137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r>
      <w:tr>
        <w:trPr>
          <w:cantSplit w:val="true"/>
        </w:trPr>
        <w:tc>
          <w:tcPr>
            <w:tcW w:type="dxa" w:w="4493"/>
            <w:tcMar>
              <w:top w:w="40" w:type="dxa"/>
              <w:bottom w:w="40" w:type="dxa"/>
            </w:tcMar>
          </w:tcPr>
          <w:p>
            <w:pPr>
              <w:pStyle w:val="Compact"/>
              <w:spacing w:line="252" w:lineRule="auto" w:after="20" w:before="20"/>
              <w:jc w:val="left"/>
            </w:pPr>
            <w:r>
              <w:rPr>
                <w:rFonts w:ascii="Times New Roman" w:hAnsi="Times New Roman"/>
                <w:sz w:val="19"/>
              </w:rPr>
              <w:t xml:space="preserve">Improvement over baseline</w:t>
            </w:r>
          </w:p>
        </w:tc>
        <w:tc>
          <w:tcPr>
            <w:tcW w:type="dxa" w:w="3162"/>
            <w:tcMar>
              <w:top w:w="40" w:type="dxa"/>
              <w:bottom w:w="40" w:type="dxa"/>
            </w:tcMar>
          </w:tcPr>
          <w:p>
            <w:pPr>
              <w:pStyle w:val="Compact"/>
              <w:spacing w:line="252" w:lineRule="auto" w:after="20" w:before="20"/>
              <w:jc w:val="left"/>
            </w:pPr>
            <w:r>
              <w:rPr>
                <w:rFonts w:ascii="Times New Roman" w:hAnsi="Times New Roman"/>
                <w:b/>
                <w:bCs/>
                <w:sz w:val="19"/>
              </w:rPr>
              <w:t xml:space="preserve">66%</w:t>
            </w:r>
          </w:p>
        </w:tc>
        <w:tc>
          <w:tcPr>
            <w:tcW w:type="dxa" w:w="1374"/>
            <w:tcMar>
              <w:top w:w="40" w:type="dxa"/>
              <w:bottom w:w="40" w:type="dxa"/>
            </w:tcMar>
          </w:tcPr>
          <w:p>
            <w:pPr>
              <w:pStyle w:val="Compact"/>
              <w:spacing w:line="252" w:lineRule="auto" w:after="20" w:before="20"/>
              <w:jc w:val="left"/>
            </w:pPr>
            <w:r>
              <w:rPr>
                <w:rFonts w:ascii="Times New Roman" w:hAnsi="Times New Roman"/>
                <w:sz w:val="19"/>
              </w:rPr>
              <w:t xml:space="preserve">—</w:t>
            </w:r>
          </w:p>
        </w:tc>
      </w:tr>
      <w:tr>
        <w:trPr>
          <w:cantSplit w:val="true"/>
        </w:trPr>
        <w:tc>
          <w:tcPr>
            <w:tcW w:type="dxa" w:w="449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Forecasts within ±5 pts</w:t>
            </w:r>
          </w:p>
        </w:tc>
        <w:tc>
          <w:tcPr>
            <w:tcW w:type="dxa" w:w="3162"/>
            <w:shd w:val="clear" w:color="auto" w:fill="F4F5F9"/>
            <w:tcMar>
              <w:top w:w="40" w:type="dxa"/>
              <w:bottom w:w="40" w:type="dxa"/>
            </w:tcMar>
          </w:tcPr>
          <w:p>
            <w:pPr>
              <w:pStyle w:val="Compact"/>
              <w:spacing w:line="252" w:lineRule="auto" w:after="20" w:before="20"/>
              <w:jc w:val="left"/>
            </w:pPr>
            <w:r>
              <w:rPr>
                <w:rFonts w:ascii="Times New Roman" w:hAnsi="Times New Roman"/>
                <w:b/>
                <w:bCs/>
                <w:sz w:val="19"/>
              </w:rPr>
              <w:t xml:space="preserve">96%</w:t>
            </w:r>
          </w:p>
        </w:tc>
        <w:tc>
          <w:tcPr>
            <w:tcW w:type="dxa" w:w="137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≥90%</w:t>
            </w:r>
          </w:p>
        </w:tc>
      </w:tr>
    </w:tbl>
    <w:p>
      <w:pPr>
        <w:pStyle w:val="BodyText"/>
        <w:spacing w:before="160"/>
      </w:pPr>
      <w:r>
        <w:rPr>
          <w:b/>
          <w:bCs/>
        </w:rPr>
        <w:t xml:space="preserve">Forecast drivers (share of explained effect):</w:t>
      </w:r>
      <w:r>
        <w:t xml:space="preserve"> </w:t>
      </w:r>
      <w:r>
        <w:t xml:space="preserve">claims ratio 89%, average age 5%, group size 3%, family definition 1%, room-rent cap 1%.</w:t>
      </w:r>
      <w:r>
        <w:t xml:space="preserve"> </w:t>
      </w:r>
      <w:r>
        <w:rPr>
          <w:b/>
          <w:bCs/>
        </w:rPr>
        <w:t xml:space="preserve">So what:</w:t>
      </w:r>
      <w:r>
        <w:t xml:space="preserve"> </w:t>
      </w:r>
      <w:r>
        <w:t xml:space="preserve">past claims experience dominates renewal pricing. Accurate, clean claims data is the most valuable input, which supports the data-ingestion priority (FR-90 to FR-92).</w:t>
      </w:r>
    </w:p>
    <w:p>
      <w:pPr>
        <w:pStyle w:val="BodyText"/>
        <w:keepNext/>
      </w:pPr>
      <w:r>
        <w:rPr>
          <w:b/>
          <w:bCs/>
        </w:rPr>
        <w:t xml:space="preserve">AI-01 Peer matching (sample client</w:t>
      </w:r>
      <w:r>
        <w:rPr>
          <w:b/>
          <w:bCs/>
        </w:rPr>
        <w:t xml:space="preserve"> </w:t>
      </w:r>
      <w:r>
        <w:rPr>
          <w:b/>
          <w:bCs/>
        </w:rPr>
        <w:t xml:space="preserve">“</w:t>
      </w:r>
      <w:r>
        <w:rPr>
          <w:b/>
          <w:bCs/>
        </w:rPr>
        <w:t xml:space="preserve">Acme Tech</w:t>
      </w:r>
      <w:r>
        <w:rPr>
          <w:b/>
          <w:bCs/>
        </w:rPr>
        <w:t xml:space="preserve">”</w:t>
      </w:r>
      <w:r>
        <w:rPr>
          <w:b/>
          <w:bCs/>
        </w:rPr>
        <w:t xml:space="preserve">, synthetic)</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3595"/>
        <w:gridCol w:w="1563"/>
        <w:gridCol w:w="3869"/>
      </w:tblGrid>
      <w:tr>
        <w:trPr>
          <w:cantSplit w:val="true"/>
          <w:tblHeader w:val="true"/>
        </w:trPr>
        <w:tc>
          <w:tcPr>
            <w:tcW w:type="dxa" w:w="35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Measure</w:t>
            </w:r>
          </w:p>
        </w:tc>
        <w:tc>
          <w:tcPr>
            <w:tcW w:type="dxa" w:w="156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Client</w:t>
            </w:r>
          </w:p>
        </w:tc>
        <w:tc>
          <w:tcPr>
            <w:tcW w:type="dxa" w:w="386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Peer set (42 companies)</w:t>
            </w:r>
          </w:p>
        </w:tc>
      </w:tr>
      <w:tr>
        <w:trPr>
          <w:cantSplit w:val="true"/>
        </w:trPr>
        <w:tc>
          <w:tcPr>
            <w:tcW w:type="dxa" w:w="3596"/>
            <w:tcMar>
              <w:top w:w="40" w:type="dxa"/>
              <w:bottom w:w="40" w:type="dxa"/>
            </w:tcMar>
          </w:tcPr>
          <w:p>
            <w:pPr>
              <w:pStyle w:val="Compact"/>
              <w:spacing w:line="252" w:lineRule="auto" w:after="20" w:before="20"/>
              <w:jc w:val="left"/>
            </w:pPr>
            <w:r>
              <w:rPr>
                <w:rFonts w:ascii="Times New Roman" w:hAnsi="Times New Roman"/>
                <w:sz w:val="19"/>
              </w:rPr>
              <w:t xml:space="preserve">Premium per life</w:t>
            </w:r>
          </w:p>
        </w:tc>
        <w:tc>
          <w:tcPr>
            <w:tcW w:type="dxa" w:w="1564"/>
            <w:tcMar>
              <w:top w:w="40" w:type="dxa"/>
              <w:bottom w:w="40" w:type="dxa"/>
            </w:tcMar>
          </w:tcPr>
          <w:p>
            <w:pPr>
              <w:pStyle w:val="Compact"/>
              <w:spacing w:line="252" w:lineRule="auto" w:after="20" w:before="20"/>
              <w:jc w:val="left"/>
            </w:pPr>
            <w:r>
              <w:rPr>
                <w:rFonts w:ascii="Times New Roman" w:hAnsi="Times New Roman"/>
                <w:sz w:val="19"/>
              </w:rPr>
              <w:t xml:space="preserve">₹2,500</w:t>
            </w:r>
          </w:p>
        </w:tc>
        <w:tc>
          <w:tcPr>
            <w:tcW w:type="dxa" w:w="3869"/>
            <w:tcMar>
              <w:top w:w="40" w:type="dxa"/>
              <w:bottom w:w="40" w:type="dxa"/>
            </w:tcMar>
          </w:tcPr>
          <w:p>
            <w:pPr>
              <w:pStyle w:val="Compact"/>
              <w:spacing w:line="252" w:lineRule="auto" w:after="20" w:before="20"/>
              <w:jc w:val="left"/>
            </w:pPr>
            <w:r>
              <w:rPr>
                <w:rFonts w:ascii="Times New Roman" w:hAnsi="Times New Roman"/>
                <w:sz w:val="19"/>
              </w:rPr>
              <w:t xml:space="preserve">Client at 79th percentile</w:t>
            </w:r>
          </w:p>
        </w:tc>
      </w:tr>
      <w:tr>
        <w:trPr>
          <w:cantSplit w:val="true"/>
        </w:trPr>
        <w:tc>
          <w:tcPr>
            <w:tcW w:type="dxa" w:w="35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Claims ratio</w:t>
            </w:r>
          </w:p>
        </w:tc>
        <w:tc>
          <w:tcPr>
            <w:tcW w:type="dxa" w:w="156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96%</w:t>
            </w:r>
          </w:p>
        </w:tc>
        <w:tc>
          <w:tcPr>
            <w:tcW w:type="dxa" w:w="386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Median 78%</w:t>
            </w:r>
          </w:p>
        </w:tc>
      </w:tr>
      <w:tr>
        <w:trPr>
          <w:cantSplit w:val="true"/>
        </w:trPr>
        <w:tc>
          <w:tcPr>
            <w:tcW w:type="dxa" w:w="3596"/>
            <w:tcMar>
              <w:top w:w="40" w:type="dxa"/>
              <w:bottom w:w="40" w:type="dxa"/>
            </w:tcMar>
          </w:tcPr>
          <w:p>
            <w:pPr>
              <w:pStyle w:val="Compact"/>
              <w:spacing w:line="252" w:lineRule="auto" w:after="20" w:before="20"/>
              <w:jc w:val="left"/>
            </w:pPr>
            <w:r>
              <w:rPr>
                <w:rFonts w:ascii="Times New Roman" w:hAnsi="Times New Roman"/>
                <w:sz w:val="19"/>
              </w:rPr>
              <w:t xml:space="preserve">Employee engagement</w:t>
            </w:r>
          </w:p>
        </w:tc>
        <w:tc>
          <w:tcPr>
            <w:tcW w:type="dxa" w:w="1564"/>
            <w:tcMar>
              <w:top w:w="40" w:type="dxa"/>
              <w:bottom w:w="40" w:type="dxa"/>
            </w:tcMar>
          </w:tcPr>
          <w:p>
            <w:pPr>
              <w:pStyle w:val="Compact"/>
              <w:spacing w:line="252" w:lineRule="auto" w:after="20" w:before="20"/>
              <w:jc w:val="left"/>
            </w:pPr>
            <w:r>
              <w:rPr>
                <w:rFonts w:ascii="Times New Roman" w:hAnsi="Times New Roman"/>
                <w:sz w:val="19"/>
              </w:rPr>
              <w:t xml:space="preserve">36%</w:t>
            </w:r>
          </w:p>
        </w:tc>
        <w:tc>
          <w:tcPr>
            <w:tcW w:type="dxa" w:w="3869"/>
            <w:tcMar>
              <w:top w:w="40" w:type="dxa"/>
              <w:bottom w:w="40" w:type="dxa"/>
            </w:tcMar>
          </w:tcPr>
          <w:p>
            <w:pPr>
              <w:pStyle w:val="Compact"/>
              <w:spacing w:line="252" w:lineRule="auto" w:after="20" w:before="20"/>
              <w:jc w:val="left"/>
            </w:pPr>
            <w:r>
              <w:rPr>
                <w:rFonts w:ascii="Times New Roman" w:hAnsi="Times New Roman"/>
                <w:sz w:val="19"/>
              </w:rPr>
              <w:t xml:space="preserve">Median 45%</w:t>
            </w:r>
          </w:p>
        </w:tc>
      </w:tr>
      <w:tr>
        <w:trPr>
          <w:cantSplit w:val="true"/>
        </w:trPr>
        <w:tc>
          <w:tcPr>
            <w:tcW w:type="dxa" w:w="35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Forecast renewal loading</w:t>
            </w:r>
          </w:p>
        </w:tc>
        <w:tc>
          <w:tcPr>
            <w:tcW w:type="dxa" w:w="156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+18.9%</w:t>
            </w:r>
          </w:p>
        </w:tc>
        <w:tc>
          <w:tcPr>
            <w:tcW w:type="dxa" w:w="386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t>
            </w:r>
          </w:p>
        </w:tc>
      </w:tr>
    </w:tbl>
    <w:p>
      <w:pPr>
        <w:pStyle w:val="BodyText"/>
        <w:spacing w:before="160"/>
      </w:pPr>
      <w:r>
        <w:rPr>
          <w:b/>
          <w:bCs/>
        </w:rPr>
        <w:t xml:space="preserve">AI-03 Plan-design simulator (rating model fit R² = 0.954 on synthetic data)</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4941"/>
        <w:gridCol w:w="4087"/>
      </w:tblGrid>
      <w:tr>
        <w:trPr>
          <w:cantSplit w:val="true"/>
          <w:tblHeader w:val="true"/>
        </w:trPr>
        <w:tc>
          <w:tcPr>
            <w:tcW w:type="dxa" w:w="494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Change</w:t>
            </w:r>
          </w:p>
        </w:tc>
        <w:tc>
          <w:tcPr>
            <w:tcW w:type="dxa" w:w="408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Estimated premium impact</w:t>
            </w:r>
          </w:p>
        </w:tc>
      </w:tr>
      <w:tr>
        <w:trPr>
          <w:cantSplit w:val="true"/>
        </w:trPr>
        <w:tc>
          <w:tcPr>
            <w:tcW w:type="dxa" w:w="4942"/>
            <w:tcMar>
              <w:top w:w="40" w:type="dxa"/>
              <w:bottom w:w="40" w:type="dxa"/>
            </w:tcMar>
          </w:tcPr>
          <w:p>
            <w:pPr>
              <w:pStyle w:val="Compact"/>
              <w:spacing w:line="252" w:lineRule="auto" w:after="20" w:before="20"/>
              <w:jc w:val="left"/>
            </w:pPr>
            <w:r>
              <w:rPr>
                <w:rFonts w:ascii="Times New Roman" w:hAnsi="Times New Roman"/>
                <w:sz w:val="19"/>
              </w:rPr>
              <w:t xml:space="preserve">10% co-pay on parents</w:t>
            </w:r>
          </w:p>
        </w:tc>
        <w:tc>
          <w:tcPr>
            <w:tcW w:type="dxa" w:w="4087"/>
            <w:tcMar>
              <w:top w:w="40" w:type="dxa"/>
              <w:bottom w:w="40" w:type="dxa"/>
            </w:tcMar>
          </w:tcPr>
          <w:p>
            <w:pPr>
              <w:pStyle w:val="Compact"/>
              <w:spacing w:line="252" w:lineRule="auto" w:after="20" w:before="20"/>
              <w:jc w:val="left"/>
            </w:pPr>
            <w:r>
              <w:rPr>
                <w:rFonts w:ascii="Times New Roman" w:hAnsi="Times New Roman"/>
                <w:sz w:val="19"/>
              </w:rPr>
              <w:t xml:space="preserve">−4.2%</w:t>
            </w:r>
          </w:p>
        </w:tc>
      </w:tr>
      <w:tr>
        <w:trPr>
          <w:cantSplit w:val="true"/>
        </w:trPr>
        <w:tc>
          <w:tcPr>
            <w:tcW w:type="dxa" w:w="494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20% co-pay on parents</w:t>
            </w:r>
          </w:p>
        </w:tc>
        <w:tc>
          <w:tcPr>
            <w:tcW w:type="dxa" w:w="408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−8.2%</w:t>
            </w:r>
          </w:p>
        </w:tc>
      </w:tr>
      <w:tr>
        <w:trPr>
          <w:cantSplit w:val="true"/>
        </w:trPr>
        <w:tc>
          <w:tcPr>
            <w:tcW w:type="dxa" w:w="4942"/>
            <w:tcMar>
              <w:top w:w="40" w:type="dxa"/>
              <w:bottom w:w="40" w:type="dxa"/>
            </w:tcMar>
          </w:tcPr>
          <w:p>
            <w:pPr>
              <w:pStyle w:val="Compact"/>
              <w:spacing w:line="252" w:lineRule="auto" w:after="20" w:before="20"/>
              <w:jc w:val="left"/>
            </w:pPr>
            <w:r>
              <w:rPr>
                <w:rFonts w:ascii="Times New Roman" w:hAnsi="Times New Roman"/>
                <w:sz w:val="19"/>
              </w:rPr>
              <w:t xml:space="preserve">Room-rent cap at 1% (from no cap)</w:t>
            </w:r>
          </w:p>
        </w:tc>
        <w:tc>
          <w:tcPr>
            <w:tcW w:type="dxa" w:w="4087"/>
            <w:tcMar>
              <w:top w:w="40" w:type="dxa"/>
              <w:bottom w:w="40" w:type="dxa"/>
            </w:tcMar>
          </w:tcPr>
          <w:p>
            <w:pPr>
              <w:pStyle w:val="Compact"/>
              <w:spacing w:line="252" w:lineRule="auto" w:after="20" w:before="20"/>
              <w:jc w:val="left"/>
            </w:pPr>
            <w:r>
              <w:rPr>
                <w:rFonts w:ascii="Times New Roman" w:hAnsi="Times New Roman"/>
                <w:sz w:val="19"/>
              </w:rPr>
              <w:t xml:space="preserve">−11.6%</w:t>
            </w:r>
          </w:p>
        </w:tc>
      </w:tr>
      <w:tr>
        <w:trPr>
          <w:cantSplit w:val="true"/>
        </w:trPr>
        <w:tc>
          <w:tcPr>
            <w:tcW w:type="dxa" w:w="494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Sum insured ₹5 lakh → ₹10 lakh</w:t>
            </w:r>
          </w:p>
        </w:tc>
        <w:tc>
          <w:tcPr>
            <w:tcW w:type="dxa" w:w="408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+24.2%</w:t>
            </w:r>
          </w:p>
        </w:tc>
      </w:tr>
      <w:tr>
        <w:trPr>
          <w:cantSplit w:val="true"/>
        </w:trPr>
        <w:tc>
          <w:tcPr>
            <w:tcW w:type="dxa" w:w="4942"/>
            <w:tcMar>
              <w:top w:w="40" w:type="dxa"/>
              <w:bottom w:w="40" w:type="dxa"/>
            </w:tcMar>
          </w:tcPr>
          <w:p>
            <w:pPr>
              <w:pStyle w:val="Compact"/>
              <w:spacing w:line="252" w:lineRule="auto" w:after="20" w:before="20"/>
              <w:jc w:val="left"/>
            </w:pPr>
            <w:r>
              <w:rPr>
                <w:rFonts w:ascii="Times New Roman" w:hAnsi="Times New Roman"/>
                <w:sz w:val="19"/>
              </w:rPr>
              <w:t xml:space="preserve">Remove parents’ cover</w:t>
            </w:r>
          </w:p>
        </w:tc>
        <w:tc>
          <w:tcPr>
            <w:tcW w:type="dxa" w:w="4087"/>
            <w:tcMar>
              <w:top w:w="40" w:type="dxa"/>
              <w:bottom w:w="40" w:type="dxa"/>
            </w:tcMar>
          </w:tcPr>
          <w:p>
            <w:pPr>
              <w:pStyle w:val="Compact"/>
              <w:spacing w:line="252" w:lineRule="auto" w:after="20" w:before="20"/>
              <w:jc w:val="left"/>
            </w:pPr>
            <w:r>
              <w:rPr>
                <w:rFonts w:ascii="Times New Roman" w:hAnsi="Times New Roman"/>
                <w:sz w:val="19"/>
              </w:rPr>
              <w:t xml:space="preserve">−30.3%</w:t>
            </w:r>
          </w:p>
        </w:tc>
      </w:tr>
    </w:tbl>
    <w:p>
      <w:pPr>
        <w:pStyle w:val="BodyText"/>
        <w:spacing w:before="160"/>
      </w:pPr>
      <w:r>
        <w:rPr>
          <w:b/>
          <w:bCs/>
        </w:rPr>
        <w:t xml:space="preserve">AI-05 Claims anomaly flags (5,000 synthetic claims, 100 planted anomalies)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4272"/>
        <w:gridCol w:w="1527"/>
        <w:gridCol w:w="1887"/>
        <w:gridCol w:w="1341"/>
      </w:tblGrid>
      <w:tr>
        <w:trPr>
          <w:cantSplit w:val="true"/>
          <w:tblHeader w:val="true"/>
        </w:trPr>
        <w:tc>
          <w:tcPr>
            <w:tcW w:type="dxa" w:w="427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Approach</w:t>
            </w:r>
          </w:p>
        </w:tc>
        <w:tc>
          <w:tcPr>
            <w:tcW w:type="dxa" w:w="152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Flagged</w:t>
            </w:r>
          </w:p>
        </w:tc>
        <w:tc>
          <w:tcPr>
            <w:tcW w:type="dxa" w:w="188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Precision</w:t>
            </w:r>
          </w:p>
        </w:tc>
        <w:tc>
          <w:tcPr>
            <w:tcW w:type="dxa" w:w="134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Recall</w:t>
            </w:r>
          </w:p>
        </w:tc>
      </w:tr>
      <w:tr>
        <w:trPr>
          <w:cantSplit w:val="true"/>
        </w:trPr>
        <w:tc>
          <w:tcPr>
            <w:tcW w:type="dxa" w:w="4273"/>
            <w:tcMar>
              <w:top w:w="40" w:type="dxa"/>
              <w:bottom w:w="40" w:type="dxa"/>
            </w:tcMar>
          </w:tcPr>
          <w:p>
            <w:pPr>
              <w:pStyle w:val="Compact"/>
              <w:spacing w:line="252" w:lineRule="auto" w:after="20" w:before="20"/>
              <w:jc w:val="left"/>
            </w:pPr>
            <w:r>
              <w:rPr>
                <w:rFonts w:ascii="Times New Roman" w:hAnsi="Times New Roman"/>
                <w:sz w:val="19"/>
              </w:rPr>
              <w:t xml:space="preserve">Isolation forest alone</w:t>
            </w:r>
          </w:p>
        </w:tc>
        <w:tc>
          <w:tcPr>
            <w:tcW w:type="dxa" w:w="1527"/>
            <w:tcMar>
              <w:top w:w="40" w:type="dxa"/>
              <w:bottom w:w="40" w:type="dxa"/>
            </w:tcMar>
          </w:tcPr>
          <w:p>
            <w:pPr>
              <w:pStyle w:val="Compact"/>
              <w:spacing w:line="252" w:lineRule="auto" w:after="20" w:before="20"/>
              <w:jc w:val="left"/>
            </w:pPr>
            <w:r>
              <w:rPr>
                <w:rFonts w:ascii="Times New Roman" w:hAnsi="Times New Roman"/>
                <w:sz w:val="19"/>
              </w:rPr>
              <w:t xml:space="preserve">100</w:t>
            </w:r>
          </w:p>
        </w:tc>
        <w:tc>
          <w:tcPr>
            <w:tcW w:type="dxa" w:w="1887"/>
            <w:tcMar>
              <w:top w:w="40" w:type="dxa"/>
              <w:bottom w:w="40" w:type="dxa"/>
            </w:tcMar>
          </w:tcPr>
          <w:p>
            <w:pPr>
              <w:pStyle w:val="Compact"/>
              <w:spacing w:line="252" w:lineRule="auto" w:after="20" w:before="20"/>
              <w:jc w:val="left"/>
            </w:pPr>
            <w:r>
              <w:rPr>
                <w:rFonts w:ascii="Times New Roman" w:hAnsi="Times New Roman"/>
                <w:sz w:val="19"/>
              </w:rPr>
              <w:t xml:space="preserve">29%</w:t>
            </w:r>
          </w:p>
        </w:tc>
        <w:tc>
          <w:tcPr>
            <w:tcW w:type="dxa" w:w="1342"/>
            <w:tcMar>
              <w:top w:w="40" w:type="dxa"/>
              <w:bottom w:w="40" w:type="dxa"/>
            </w:tcMar>
          </w:tcPr>
          <w:p>
            <w:pPr>
              <w:pStyle w:val="Compact"/>
              <w:spacing w:line="252" w:lineRule="auto" w:after="20" w:before="20"/>
              <w:jc w:val="left"/>
            </w:pPr>
            <w:r>
              <w:rPr>
                <w:rFonts w:ascii="Times New Roman" w:hAnsi="Times New Roman"/>
                <w:sz w:val="19"/>
              </w:rPr>
              <w:t xml:space="preserve">29%</w:t>
            </w:r>
          </w:p>
        </w:tc>
      </w:tr>
      <w:tr>
        <w:trPr>
          <w:cantSplit w:val="true"/>
        </w:trPr>
        <w:tc>
          <w:tcPr>
            <w:tcW w:type="dxa" w:w="427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Isolation forest + cost-per-day rule</w:t>
            </w:r>
          </w:p>
        </w:tc>
        <w:tc>
          <w:tcPr>
            <w:tcW w:type="dxa" w:w="152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75</w:t>
            </w:r>
          </w:p>
        </w:tc>
        <w:tc>
          <w:tcPr>
            <w:tcW w:type="dxa" w:w="1887"/>
            <w:shd w:val="clear" w:color="auto" w:fill="F4F5F9"/>
            <w:tcMar>
              <w:top w:w="40" w:type="dxa"/>
              <w:bottom w:w="40" w:type="dxa"/>
            </w:tcMar>
          </w:tcPr>
          <w:p>
            <w:pPr>
              <w:pStyle w:val="Compact"/>
              <w:spacing w:line="252" w:lineRule="auto" w:after="20" w:before="20"/>
              <w:jc w:val="left"/>
            </w:pPr>
            <w:r>
              <w:rPr>
                <w:rFonts w:ascii="Times New Roman" w:hAnsi="Times New Roman"/>
                <w:b/>
                <w:bCs/>
                <w:sz w:val="19"/>
              </w:rPr>
              <w:t xml:space="preserve">56%</w:t>
            </w:r>
          </w:p>
        </w:tc>
        <w:tc>
          <w:tcPr>
            <w:tcW w:type="dxa" w:w="1342"/>
            <w:shd w:val="clear" w:color="auto" w:fill="F4F5F9"/>
            <w:tcMar>
              <w:top w:w="40" w:type="dxa"/>
              <w:bottom w:w="40" w:type="dxa"/>
            </w:tcMar>
          </w:tcPr>
          <w:p>
            <w:pPr>
              <w:pStyle w:val="Compact"/>
              <w:spacing w:line="252" w:lineRule="auto" w:after="20" w:before="20"/>
              <w:jc w:val="left"/>
            </w:pPr>
            <w:r>
              <w:rPr>
                <w:rFonts w:ascii="Times New Roman" w:hAnsi="Times New Roman"/>
                <w:b/>
                <w:bCs/>
                <w:sz w:val="19"/>
              </w:rPr>
              <w:t xml:space="preserve">42%</w:t>
            </w:r>
          </w:p>
        </w:tc>
      </w:tr>
    </w:tbl>
    <w:p>
      <w:pPr>
        <w:pStyle w:val="BodyText"/>
        <w:spacing w:before="160"/>
      </w:pPr>
      <w:r>
        <w:rPr>
          <w:b/>
          <w:bCs/>
        </w:rPr>
        <w:t xml:space="preserve">So what:</w:t>
      </w:r>
      <w:r>
        <w:t xml:space="preserve"> </w:t>
      </w:r>
      <w:r>
        <w:t xml:space="preserve">an unsupervised model alone flags too many genuine large claims. The hybrid approach passes the 50% precision bar, but flags must stay</w:t>
      </w:r>
      <w:r>
        <w:t xml:space="preserve"> </w:t>
      </w:r>
      <w:r>
        <w:rPr>
          <w:b/>
          <w:bCs/>
        </w:rPr>
        <w:t xml:space="preserve">advisory</w:t>
      </w:r>
      <w:r>
        <w:t xml:space="preserve">, reviewed by a person, exactly as the report’s guardrails require.</w:t>
      </w:r>
    </w:p>
    <w:p>
      <w:pPr>
        <w:pStyle w:val="BodyText"/>
      </w:pPr>
      <w:r>
        <w:rPr>
          <w:b/>
          <w:bCs/>
        </w:rPr>
        <w:t xml:space="preserve">AI-04 and AI-06</w:t>
      </w:r>
      <w:r>
        <w:t xml:space="preserve"> </w:t>
      </w:r>
      <w:r>
        <w:t xml:space="preserve">use language models and cannot be meaningfully simulated without real documents. Their acceptance test is defined in Section 12: 50 labelled insurer quotes and 100 policy questions collected during pilots.</w:t>
      </w:r>
    </w:p>
    <w:p>
      <w:pPr>
        <w:pStyle w:val="Heading2"/>
      </w:pPr>
      <w:r>
        <w:t xml:space="preserve">7.3 Synthetic data and model pipeline</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468"/>
        <w:gridCol w:w="4906"/>
        <w:gridCol w:w="2654"/>
      </w:tblGrid>
      <w:tr>
        <w:trPr>
          <w:cantSplit w:val="true"/>
          <w:tblHeader w:val="true"/>
        </w:trPr>
        <w:tc>
          <w:tcPr>
            <w:tcW w:type="dxa" w:w="146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Stage</w:t>
            </w:r>
          </w:p>
        </w:tc>
        <w:tc>
          <w:tcPr>
            <w:tcW w:type="dxa" w:w="490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What happens</w:t>
            </w:r>
          </w:p>
        </w:tc>
        <w:tc>
          <w:tcPr>
            <w:tcW w:type="dxa" w:w="2654"/>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Tool (prototype)</w:t>
            </w:r>
          </w:p>
        </w:tc>
      </w:tr>
      <w:tr>
        <w:trPr>
          <w:cantSplit w:val="true"/>
        </w:trPr>
        <w:tc>
          <w:tcPr>
            <w:tcW w:type="dxa" w:w="1469"/>
            <w:tcMar>
              <w:top w:w="40" w:type="dxa"/>
              <w:bottom w:w="40" w:type="dxa"/>
            </w:tcMar>
          </w:tcPr>
          <w:p>
            <w:pPr>
              <w:pStyle w:val="Compact"/>
              <w:spacing w:line="252" w:lineRule="auto" w:after="20" w:before="20"/>
              <w:jc w:val="left"/>
            </w:pPr>
            <w:r>
              <w:rPr>
                <w:rFonts w:ascii="Times New Roman" w:hAnsi="Times New Roman"/>
                <w:sz w:val="19"/>
              </w:rPr>
              <w:t xml:space="preserve">Generate</w:t>
            </w:r>
          </w:p>
        </w:tc>
        <w:tc>
          <w:tcPr>
            <w:tcW w:type="dxa" w:w="4906"/>
            <w:tcMar>
              <w:top w:w="40" w:type="dxa"/>
              <w:bottom w:w="40" w:type="dxa"/>
            </w:tcMar>
          </w:tcPr>
          <w:p>
            <w:pPr>
              <w:pStyle w:val="Compact"/>
              <w:spacing w:line="252" w:lineRule="auto" w:after="20" w:before="20"/>
              <w:jc w:val="left"/>
            </w:pPr>
            <w:r>
              <w:rPr>
                <w:rFonts w:ascii="Times New Roman" w:hAnsi="Times New Roman"/>
                <w:sz w:val="19"/>
              </w:rPr>
              <w:t xml:space="preserve">Create employer groups, plans, claims with known rules</w:t>
            </w:r>
          </w:p>
        </w:tc>
        <w:tc>
          <w:tcPr>
            <w:tcW w:type="dxa" w:w="2654"/>
            <w:tcMar>
              <w:top w:w="40" w:type="dxa"/>
              <w:bottom w:w="40" w:type="dxa"/>
            </w:tcMar>
          </w:tcPr>
          <w:p>
            <w:pPr>
              <w:pStyle w:val="Compact"/>
              <w:spacing w:line="252" w:lineRule="auto" w:after="20" w:before="20"/>
              <w:jc w:val="left"/>
            </w:pPr>
            <w:r>
              <w:rPr>
                <w:rFonts w:ascii="Times New Roman" w:hAnsi="Times New Roman"/>
                <w:sz w:val="19"/>
              </w:rPr>
              <w:t xml:space="preserve">Python (NumPy, pandas)</w:t>
            </w:r>
          </w:p>
        </w:tc>
      </w:tr>
      <w:tr>
        <w:trPr>
          <w:cantSplit w:val="true"/>
        </w:trPr>
        <w:tc>
          <w:tcPr>
            <w:tcW w:type="dxa" w:w="146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Store</w:t>
            </w:r>
          </w:p>
        </w:tc>
        <w:tc>
          <w:tcPr>
            <w:tcW w:type="dxa" w:w="49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Load into the prototype database</w:t>
            </w:r>
          </w:p>
        </w:tc>
        <w:tc>
          <w:tcPr>
            <w:tcW w:type="dxa" w:w="265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SQLite / PostgreSQL</w:t>
            </w:r>
          </w:p>
        </w:tc>
      </w:tr>
      <w:tr>
        <w:trPr>
          <w:cantSplit w:val="true"/>
        </w:trPr>
        <w:tc>
          <w:tcPr>
            <w:tcW w:type="dxa" w:w="1469"/>
            <w:tcMar>
              <w:top w:w="40" w:type="dxa"/>
              <w:bottom w:w="40" w:type="dxa"/>
            </w:tcMar>
          </w:tcPr>
          <w:p>
            <w:pPr>
              <w:pStyle w:val="Compact"/>
              <w:spacing w:line="252" w:lineRule="auto" w:after="20" w:before="20"/>
              <w:jc w:val="left"/>
            </w:pPr>
            <w:r>
              <w:rPr>
                <w:rFonts w:ascii="Times New Roman" w:hAnsi="Times New Roman"/>
                <w:sz w:val="19"/>
              </w:rPr>
              <w:t xml:space="preserve">Train</w:t>
            </w:r>
          </w:p>
        </w:tc>
        <w:tc>
          <w:tcPr>
            <w:tcW w:type="dxa" w:w="4906"/>
            <w:tcMar>
              <w:top w:w="40" w:type="dxa"/>
              <w:bottom w:w="40" w:type="dxa"/>
            </w:tcMar>
          </w:tcPr>
          <w:p>
            <w:pPr>
              <w:pStyle w:val="Compact"/>
              <w:spacing w:line="252" w:lineRule="auto" w:after="20" w:before="20"/>
              <w:jc w:val="left"/>
            </w:pPr>
            <w:r>
              <w:rPr>
                <w:rFonts w:ascii="Times New Roman" w:hAnsi="Times New Roman"/>
                <w:sz w:val="19"/>
              </w:rPr>
              <w:t xml:space="preserve">Fit AI-01 to AI-03 and AI-05</w:t>
            </w:r>
          </w:p>
        </w:tc>
        <w:tc>
          <w:tcPr>
            <w:tcW w:type="dxa" w:w="2654"/>
            <w:tcMar>
              <w:top w:w="40" w:type="dxa"/>
              <w:bottom w:w="40" w:type="dxa"/>
            </w:tcMar>
          </w:tcPr>
          <w:p>
            <w:pPr>
              <w:pStyle w:val="Compact"/>
              <w:spacing w:line="252" w:lineRule="auto" w:after="20" w:before="20"/>
              <w:jc w:val="left"/>
            </w:pPr>
            <w:r>
              <w:rPr>
                <w:rFonts w:ascii="Times New Roman" w:hAnsi="Times New Roman"/>
                <w:sz w:val="19"/>
              </w:rPr>
              <w:t xml:space="preserve">scikit-learn</w:t>
            </w:r>
          </w:p>
        </w:tc>
      </w:tr>
      <w:tr>
        <w:trPr>
          <w:cantSplit w:val="true"/>
        </w:trPr>
        <w:tc>
          <w:tcPr>
            <w:tcW w:type="dxa" w:w="146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Evaluate</w:t>
            </w:r>
          </w:p>
        </w:tc>
        <w:tc>
          <w:tcPr>
            <w:tcW w:type="dxa" w:w="49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Hold-out back-test; write metrics to ModelRun</w:t>
            </w:r>
          </w:p>
        </w:tc>
        <w:tc>
          <w:tcPr>
            <w:tcW w:type="dxa" w:w="265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scikit-learn metrics</w:t>
            </w:r>
          </w:p>
        </w:tc>
      </w:tr>
      <w:tr>
        <w:trPr>
          <w:cantSplit w:val="true"/>
        </w:trPr>
        <w:tc>
          <w:tcPr>
            <w:tcW w:type="dxa" w:w="1469"/>
            <w:tcMar>
              <w:top w:w="40" w:type="dxa"/>
              <w:bottom w:w="40" w:type="dxa"/>
            </w:tcMar>
          </w:tcPr>
          <w:p>
            <w:pPr>
              <w:pStyle w:val="Compact"/>
              <w:spacing w:line="252" w:lineRule="auto" w:after="20" w:before="20"/>
              <w:jc w:val="left"/>
            </w:pPr>
            <w:r>
              <w:rPr>
                <w:rFonts w:ascii="Times New Roman" w:hAnsi="Times New Roman"/>
                <w:sz w:val="19"/>
              </w:rPr>
              <w:t xml:space="preserve">Serve</w:t>
            </w:r>
          </w:p>
        </w:tc>
        <w:tc>
          <w:tcPr>
            <w:tcW w:type="dxa" w:w="4906"/>
            <w:tcMar>
              <w:top w:w="40" w:type="dxa"/>
              <w:bottom w:w="40" w:type="dxa"/>
            </w:tcMar>
          </w:tcPr>
          <w:p>
            <w:pPr>
              <w:pStyle w:val="Compact"/>
              <w:spacing w:line="252" w:lineRule="auto" w:after="20" w:before="20"/>
              <w:jc w:val="left"/>
            </w:pPr>
            <w:r>
              <w:rPr>
                <w:rFonts w:ascii="Times New Roman" w:hAnsi="Times New Roman"/>
                <w:sz w:val="19"/>
              </w:rPr>
              <w:t xml:space="preserve">Screens read metrics and predictions from the database</w:t>
            </w:r>
          </w:p>
        </w:tc>
        <w:tc>
          <w:tcPr>
            <w:tcW w:type="dxa" w:w="2654"/>
            <w:tcMar>
              <w:top w:w="40" w:type="dxa"/>
              <w:bottom w:w="40" w:type="dxa"/>
            </w:tcMar>
          </w:tcPr>
          <w:p>
            <w:pPr>
              <w:pStyle w:val="Compact"/>
              <w:spacing w:line="252" w:lineRule="auto" w:after="20" w:before="20"/>
              <w:jc w:val="left"/>
            </w:pPr>
            <w:r>
              <w:rPr>
                <w:rFonts w:ascii="Times New Roman" w:hAnsi="Times New Roman"/>
                <w:sz w:val="19"/>
              </w:rPr>
              <w:t xml:space="preserve">Streamlit / FastAPI</w:t>
            </w:r>
          </w:p>
        </w:tc>
      </w:tr>
      <w:tr>
        <w:trPr>
          <w:cantSplit w:val="true"/>
        </w:trPr>
        <w:tc>
          <w:tcPr>
            <w:tcW w:type="dxa" w:w="146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Replace</w:t>
            </w:r>
          </w:p>
        </w:tc>
        <w:tc>
          <w:tcPr>
            <w:tcW w:type="dxa" w:w="490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Swap synthetic data for consented pilot data, retrain, compare</w:t>
            </w:r>
          </w:p>
        </w:tc>
        <w:tc>
          <w:tcPr>
            <w:tcW w:type="dxa" w:w="2654"/>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Same pipeline</w:t>
            </w:r>
          </w:p>
        </w:tc>
      </w:tr>
    </w:tbl>
    <w:p>
      <w:pPr>
        <w:spacing w:before="160"/>
      </w:pPr>
      <w:r>
        <w:br w:type="page"/>
      </w:r>
    </w:p>
    <w:p>
      <w:pPr>
        <w:pStyle w:val="Heading1"/>
      </w:pPr>
      <w:r>
        <w:t xml:space="preserve">8. Data Requirements</w:t>
      </w:r>
    </w:p>
    <w:p>
      <w:pPr>
        <w:pStyle w:val="Heading2"/>
      </w:pPr>
      <w:r>
        <w:t xml:space="preserve">8.1 Data model</w:t>
      </w:r>
    </w:p>
    <w:p>
      <w:pPr>
        <w:pStyle w:val="CaptionedFigure"/>
      </w:pPr>
      <w:r>
        <w:drawing>
          <wp:inline>
            <wp:extent cx="5733288" cy="3545048"/>
            <wp:effectExtent b="0" l="0" r="0" t="0"/>
            <wp:docPr descr="Core data model" title="" id="75" name="Picture"/>
            <a:graphic>
              <a:graphicData uri="http://schemas.openxmlformats.org/drawingml/2006/picture">
                <pic:pic>
                  <pic:nvPicPr>
                    <pic:cNvPr descr="fig/d5_datamodel.png" id="76" name="Picture"/>
                    <pic:cNvPicPr>
                      <a:picLocks noChangeArrowheads="1" noChangeAspect="1"/>
                    </pic:cNvPicPr>
                  </pic:nvPicPr>
                  <pic:blipFill>
                    <a:blip r:embed="rId74"/>
                    <a:stretch>
                      <a:fillRect/>
                    </a:stretch>
                  </pic:blipFill>
                  <pic:spPr bwMode="auto">
                    <a:xfrm>
                      <a:off x="0" y="0"/>
                      <a:ext cx="5733288" cy="3545048"/>
                    </a:xfrm>
                    <a:prstGeom prst="rect">
                      <a:avLst/>
                    </a:prstGeom>
                    <a:noFill/>
                    <a:ln w="9525">
                      <a:noFill/>
                      <a:headEnd/>
                      <a:tailEnd/>
                    </a:ln>
                  </pic:spPr>
                </pic:pic>
              </a:graphicData>
            </a:graphic>
          </wp:inline>
        </w:drawing>
      </w:r>
    </w:p>
    <w:p>
      <w:pPr>
        <w:pStyle w:val="ImageCaption"/>
      </w:pPr>
      <w:r>
        <w:t xml:space="preserve">Core data model</w:t>
      </w:r>
    </w:p>
    <w:p>
      <w:pPr>
        <w:pStyle w:val="Heading2"/>
      </w:pPr>
      <w:r>
        <w:t xml:space="preserve">8.2 Key data fields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2152"/>
        <w:gridCol w:w="2707"/>
        <w:gridCol w:w="1576"/>
        <w:gridCol w:w="1663"/>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215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Entity</w:t>
            </w:r>
          </w:p>
        </w:tc>
        <w:tc>
          <w:tcPr>
            <w:tcW w:type="dxa" w:w="270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Key fields</w:t>
            </w:r>
          </w:p>
        </w:tc>
        <w:tc>
          <w:tcPr>
            <w:tcW w:type="dxa" w:w="157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Source</w:t>
            </w:r>
          </w:p>
        </w:tc>
        <w:tc>
          <w:tcPr>
            <w:tcW w:type="dxa" w:w="166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Sensitivity</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DR-01</w:t>
            </w:r>
          </w:p>
        </w:tc>
        <w:tc>
          <w:tcPr>
            <w:tcW w:type="dxa" w:w="2153"/>
            <w:tcMar>
              <w:top w:w="40" w:type="dxa"/>
              <w:bottom w:w="40" w:type="dxa"/>
            </w:tcMar>
          </w:tcPr>
          <w:p>
            <w:pPr>
              <w:pStyle w:val="Compact"/>
              <w:spacing w:line="252" w:lineRule="auto" w:after="20" w:before="20"/>
              <w:jc w:val="left"/>
            </w:pPr>
            <w:r>
              <w:rPr>
                <w:rFonts w:ascii="Times New Roman" w:hAnsi="Times New Roman"/>
                <w:sz w:val="19"/>
              </w:rPr>
              <w:t xml:space="preserve">EmployerAccount</w:t>
            </w:r>
          </w:p>
        </w:tc>
        <w:tc>
          <w:tcPr>
            <w:tcW w:type="dxa" w:w="2708"/>
            <w:tcMar>
              <w:top w:w="40" w:type="dxa"/>
              <w:bottom w:w="40" w:type="dxa"/>
            </w:tcMar>
          </w:tcPr>
          <w:p>
            <w:pPr>
              <w:pStyle w:val="Compact"/>
              <w:spacing w:line="252" w:lineRule="auto" w:after="20" w:before="20"/>
              <w:jc w:val="left"/>
            </w:pPr>
            <w:r>
              <w:rPr>
                <w:rFonts w:ascii="Times New Roman" w:hAnsi="Times New Roman"/>
                <w:sz w:val="19"/>
              </w:rPr>
              <w:t xml:space="preserve">Industry, employees, city, renewal date, broker</w:t>
            </w:r>
          </w:p>
        </w:tc>
        <w:tc>
          <w:tcPr>
            <w:tcW w:type="dxa" w:w="1576"/>
            <w:tcMar>
              <w:top w:w="40" w:type="dxa"/>
              <w:bottom w:w="40" w:type="dxa"/>
            </w:tcMar>
          </w:tcPr>
          <w:p>
            <w:pPr>
              <w:pStyle w:val="Compact"/>
              <w:spacing w:line="252" w:lineRule="auto" w:after="20" w:before="20"/>
              <w:jc w:val="left"/>
            </w:pPr>
            <w:r>
              <w:rPr>
                <w:rFonts w:ascii="Times New Roman" w:hAnsi="Times New Roman"/>
                <w:sz w:val="19"/>
              </w:rPr>
              <w:t xml:space="preserve">Broker CRM / onboarding form</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Business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DR-02</w:t>
            </w:r>
          </w:p>
        </w:tc>
        <w:tc>
          <w:tcPr>
            <w:tcW w:type="dxa" w:w="215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PlanDesign</w:t>
            </w:r>
          </w:p>
        </w:tc>
        <w:tc>
          <w:tcPr>
            <w:tcW w:type="dxa" w:w="27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Sum insured, family definition, co-pays, room-rent, sub-limits</w:t>
            </w:r>
          </w:p>
        </w:tc>
        <w:tc>
          <w:tcPr>
            <w:tcW w:type="dxa" w:w="157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Policy schedule</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Business</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DR-03</w:t>
            </w:r>
          </w:p>
        </w:tc>
        <w:tc>
          <w:tcPr>
            <w:tcW w:type="dxa" w:w="2153"/>
            <w:tcMar>
              <w:top w:w="40" w:type="dxa"/>
              <w:bottom w:w="40" w:type="dxa"/>
            </w:tcMar>
          </w:tcPr>
          <w:p>
            <w:pPr>
              <w:pStyle w:val="Compact"/>
              <w:spacing w:line="252" w:lineRule="auto" w:after="20" w:before="20"/>
              <w:jc w:val="left"/>
            </w:pPr>
            <w:r>
              <w:rPr>
                <w:rFonts w:ascii="Times New Roman" w:hAnsi="Times New Roman"/>
                <w:sz w:val="19"/>
              </w:rPr>
              <w:t xml:space="preserve">Member</w:t>
            </w:r>
          </w:p>
        </w:tc>
        <w:tc>
          <w:tcPr>
            <w:tcW w:type="dxa" w:w="2708"/>
            <w:tcMar>
              <w:top w:w="40" w:type="dxa"/>
              <w:bottom w:w="40" w:type="dxa"/>
            </w:tcMar>
          </w:tcPr>
          <w:p>
            <w:pPr>
              <w:pStyle w:val="Compact"/>
              <w:spacing w:line="252" w:lineRule="auto" w:after="20" w:before="20"/>
              <w:jc w:val="left"/>
            </w:pPr>
            <w:r>
              <w:rPr>
                <w:rFonts w:ascii="Times New Roman" w:hAnsi="Times New Roman"/>
                <w:sz w:val="19"/>
              </w:rPr>
              <w:t xml:space="preserve">Relation, age band, consent flags (no names in benchmark pool)</w:t>
            </w:r>
          </w:p>
        </w:tc>
        <w:tc>
          <w:tcPr>
            <w:tcW w:type="dxa" w:w="1576"/>
            <w:tcMar>
              <w:top w:w="40" w:type="dxa"/>
              <w:bottom w:w="40" w:type="dxa"/>
            </w:tcMar>
          </w:tcPr>
          <w:p>
            <w:pPr>
              <w:pStyle w:val="Compact"/>
              <w:spacing w:line="252" w:lineRule="auto" w:after="20" w:before="20"/>
              <w:jc w:val="left"/>
            </w:pPr>
            <w:r>
              <w:rPr>
                <w:rFonts w:ascii="Times New Roman" w:hAnsi="Times New Roman"/>
                <w:sz w:val="19"/>
              </w:rPr>
              <w:t xml:space="preserve">HR census</w:t>
            </w:r>
          </w:p>
        </w:tc>
        <w:tc>
          <w:tcPr>
            <w:tcW w:type="dxa" w:w="1663"/>
            <w:tcMar>
              <w:top w:w="40" w:type="dxa"/>
              <w:bottom w:w="40" w:type="dxa"/>
            </w:tcMar>
          </w:tcPr>
          <w:p>
            <w:pPr>
              <w:pStyle w:val="Compact"/>
              <w:spacing w:line="252" w:lineRule="auto" w:after="20" w:before="20"/>
              <w:jc w:val="left"/>
            </w:pPr>
            <w:r>
              <w:rPr>
                <w:rFonts w:ascii="Times New Roman" w:hAnsi="Times New Roman"/>
                <w:b/>
                <w:bCs/>
                <w:sz w:val="19"/>
              </w:rPr>
              <w:t xml:space="preserve">Personal</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DR-04</w:t>
            </w:r>
          </w:p>
        </w:tc>
        <w:tc>
          <w:tcPr>
            <w:tcW w:type="dxa" w:w="215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Claim</w:t>
            </w:r>
          </w:p>
        </w:tc>
        <w:tc>
          <w:tcPr>
            <w:tcW w:type="dxa" w:w="27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Amount, length of stay, diagnosis group, status, turnaround minutes</w:t>
            </w:r>
          </w:p>
        </w:tc>
        <w:tc>
          <w:tcPr>
            <w:tcW w:type="dxa" w:w="157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TPA MIS file</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b/>
                <w:bCs/>
                <w:sz w:val="19"/>
              </w:rPr>
              <w:t xml:space="preserve">Sensitive health data</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DR-05</w:t>
            </w:r>
          </w:p>
        </w:tc>
        <w:tc>
          <w:tcPr>
            <w:tcW w:type="dxa" w:w="2153"/>
            <w:tcMar>
              <w:top w:w="40" w:type="dxa"/>
              <w:bottom w:w="40" w:type="dxa"/>
            </w:tcMar>
          </w:tcPr>
          <w:p>
            <w:pPr>
              <w:pStyle w:val="Compact"/>
              <w:spacing w:line="252" w:lineRule="auto" w:after="20" w:before="20"/>
              <w:jc w:val="left"/>
            </w:pPr>
            <w:r>
              <w:rPr>
                <w:rFonts w:ascii="Times New Roman" w:hAnsi="Times New Roman"/>
                <w:sz w:val="19"/>
              </w:rPr>
              <w:t xml:space="preserve">Quote / QuoteTerm</w:t>
            </w:r>
          </w:p>
        </w:tc>
        <w:tc>
          <w:tcPr>
            <w:tcW w:type="dxa" w:w="2708"/>
            <w:tcMar>
              <w:top w:w="40" w:type="dxa"/>
              <w:bottom w:w="40" w:type="dxa"/>
            </w:tcMar>
          </w:tcPr>
          <w:p>
            <w:pPr>
              <w:pStyle w:val="Compact"/>
              <w:spacing w:line="252" w:lineRule="auto" w:after="20" w:before="20"/>
              <w:jc w:val="left"/>
            </w:pPr>
            <w:r>
              <w:rPr>
                <w:rFonts w:ascii="Times New Roman" w:hAnsi="Times New Roman"/>
                <w:sz w:val="19"/>
              </w:rPr>
              <w:t xml:space="preserve">24 schema fields, confidence, reviewer</w:t>
            </w:r>
          </w:p>
        </w:tc>
        <w:tc>
          <w:tcPr>
            <w:tcW w:type="dxa" w:w="1576"/>
            <w:tcMar>
              <w:top w:w="40" w:type="dxa"/>
              <w:bottom w:w="40" w:type="dxa"/>
            </w:tcMar>
          </w:tcPr>
          <w:p>
            <w:pPr>
              <w:pStyle w:val="Compact"/>
              <w:spacing w:line="252" w:lineRule="auto" w:after="20" w:before="20"/>
              <w:jc w:val="left"/>
            </w:pPr>
            <w:r>
              <w:rPr>
                <w:rFonts w:ascii="Times New Roman" w:hAnsi="Times New Roman"/>
                <w:sz w:val="19"/>
              </w:rPr>
              <w:t xml:space="preserve">Insurer quotes</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Business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DR-06</w:t>
            </w:r>
          </w:p>
        </w:tc>
        <w:tc>
          <w:tcPr>
            <w:tcW w:type="dxa" w:w="215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Vendor / SLAEvent</w:t>
            </w:r>
          </w:p>
        </w:tc>
        <w:tc>
          <w:tcPr>
            <w:tcW w:type="dxa" w:w="27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SLA type, minutes, ticket status</w:t>
            </w:r>
          </w:p>
        </w:tc>
        <w:tc>
          <w:tcPr>
            <w:tcW w:type="dxa" w:w="157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TPA reports, tickets</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Business</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DR-07</w:t>
            </w:r>
          </w:p>
        </w:tc>
        <w:tc>
          <w:tcPr>
            <w:tcW w:type="dxa" w:w="2153"/>
            <w:tcMar>
              <w:top w:w="40" w:type="dxa"/>
              <w:bottom w:w="40" w:type="dxa"/>
            </w:tcMar>
          </w:tcPr>
          <w:p>
            <w:pPr>
              <w:pStyle w:val="Compact"/>
              <w:spacing w:line="252" w:lineRule="auto" w:after="20" w:before="20"/>
              <w:jc w:val="left"/>
            </w:pPr>
            <w:r>
              <w:rPr>
                <w:rFonts w:ascii="Times New Roman" w:hAnsi="Times New Roman"/>
                <w:sz w:val="19"/>
              </w:rPr>
              <w:t xml:space="preserve">BenchmarkCohort</w:t>
            </w:r>
          </w:p>
        </w:tc>
        <w:tc>
          <w:tcPr>
            <w:tcW w:type="dxa" w:w="2708"/>
            <w:tcMar>
              <w:top w:w="40" w:type="dxa"/>
              <w:bottom w:w="40" w:type="dxa"/>
            </w:tcMar>
          </w:tcPr>
          <w:p>
            <w:pPr>
              <w:pStyle w:val="Compact"/>
              <w:spacing w:line="252" w:lineRule="auto" w:after="20" w:before="20"/>
              <w:jc w:val="left"/>
            </w:pPr>
            <w:r>
              <w:rPr>
                <w:rFonts w:ascii="Times New Roman" w:hAnsi="Times New Roman"/>
                <w:sz w:val="19"/>
              </w:rPr>
              <w:t xml:space="preserve">Filters, company count (≥10), percentiles</w:t>
            </w:r>
          </w:p>
        </w:tc>
        <w:tc>
          <w:tcPr>
            <w:tcW w:type="dxa" w:w="1576"/>
            <w:tcMar>
              <w:top w:w="40" w:type="dxa"/>
              <w:bottom w:w="40" w:type="dxa"/>
            </w:tcMar>
          </w:tcPr>
          <w:p>
            <w:pPr>
              <w:pStyle w:val="Compact"/>
              <w:spacing w:line="252" w:lineRule="auto" w:after="20" w:before="20"/>
              <w:jc w:val="left"/>
            </w:pPr>
            <w:r>
              <w:rPr>
                <w:rFonts w:ascii="Times New Roman" w:hAnsi="Times New Roman"/>
                <w:sz w:val="19"/>
              </w:rPr>
              <w:t xml:space="preserve">Computed</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Anonymised</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DR-08</w:t>
            </w:r>
          </w:p>
        </w:tc>
        <w:tc>
          <w:tcPr>
            <w:tcW w:type="dxa" w:w="215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Nudge</w:t>
            </w:r>
          </w:p>
        </w:tc>
        <w:tc>
          <w:tcPr>
            <w:tcW w:type="dxa" w:w="27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Event, channel, sent, actioned</w:t>
            </w:r>
          </w:p>
        </w:tc>
        <w:tc>
          <w:tcPr>
            <w:tcW w:type="dxa" w:w="157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Engagement engine</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Personal</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DR-09</w:t>
            </w:r>
          </w:p>
        </w:tc>
        <w:tc>
          <w:tcPr>
            <w:tcW w:type="dxa" w:w="2153"/>
            <w:tcMar>
              <w:top w:w="40" w:type="dxa"/>
              <w:bottom w:w="40" w:type="dxa"/>
            </w:tcMar>
          </w:tcPr>
          <w:p>
            <w:pPr>
              <w:pStyle w:val="Compact"/>
              <w:spacing w:line="252" w:lineRule="auto" w:after="20" w:before="20"/>
              <w:jc w:val="left"/>
            </w:pPr>
            <w:r>
              <w:rPr>
                <w:rFonts w:ascii="Times New Roman" w:hAnsi="Times New Roman"/>
                <w:sz w:val="19"/>
              </w:rPr>
              <w:t xml:space="preserve">ModelRun</w:t>
            </w:r>
          </w:p>
        </w:tc>
        <w:tc>
          <w:tcPr>
            <w:tcW w:type="dxa" w:w="2708"/>
            <w:tcMar>
              <w:top w:w="40" w:type="dxa"/>
              <w:bottom w:w="40" w:type="dxa"/>
            </w:tcMar>
          </w:tcPr>
          <w:p>
            <w:pPr>
              <w:pStyle w:val="Compact"/>
              <w:spacing w:line="252" w:lineRule="auto" w:after="20" w:before="20"/>
              <w:jc w:val="left"/>
            </w:pPr>
            <w:r>
              <w:rPr>
                <w:rFonts w:ascii="Times New Roman" w:hAnsi="Times New Roman"/>
                <w:sz w:val="19"/>
              </w:rPr>
              <w:t xml:space="preserve">Model, version, output, reviewer, override</w:t>
            </w:r>
          </w:p>
        </w:tc>
        <w:tc>
          <w:tcPr>
            <w:tcW w:type="dxa" w:w="1576"/>
            <w:tcMar>
              <w:top w:w="40" w:type="dxa"/>
              <w:bottom w:w="40" w:type="dxa"/>
            </w:tcMar>
          </w:tcPr>
          <w:p>
            <w:pPr>
              <w:pStyle w:val="Compact"/>
              <w:spacing w:line="252" w:lineRule="auto" w:after="20" w:before="20"/>
              <w:jc w:val="left"/>
            </w:pPr>
            <w:r>
              <w:rPr>
                <w:rFonts w:ascii="Times New Roman" w:hAnsi="Times New Roman"/>
                <w:sz w:val="19"/>
              </w:rPr>
              <w:t xml:space="preserve">Platform</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Internal</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DR-10</w:t>
            </w:r>
          </w:p>
        </w:tc>
        <w:tc>
          <w:tcPr>
            <w:tcW w:type="dxa" w:w="215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AuditLog</w:t>
            </w:r>
          </w:p>
        </w:tc>
        <w:tc>
          <w:tcPr>
            <w:tcW w:type="dxa" w:w="27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User, action, object, time</w:t>
            </w:r>
          </w:p>
        </w:tc>
        <w:tc>
          <w:tcPr>
            <w:tcW w:type="dxa" w:w="157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Platform</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Internal</w:t>
            </w:r>
          </w:p>
        </w:tc>
      </w:tr>
    </w:tbl>
    <w:p>
      <w:pPr>
        <w:pStyle w:val="Heading2"/>
        <w:spacing w:before="160"/>
      </w:pPr>
      <w:r>
        <w:t xml:space="preserve">8.3 Data sourcing plan (solving the</w:t>
      </w:r>
      <w:r>
        <w:t xml:space="preserve"> </w:t>
      </w:r>
      <w:r>
        <w:t xml:space="preserve">“</w:t>
      </w:r>
      <w:r>
        <w:t xml:space="preserve">cold start</w:t>
      </w:r>
      <w:r>
        <w:t xml:space="preserve">”</w:t>
      </w:r>
      <w:r>
        <w:t xml:space="preserve">, report Section 7.5)</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845"/>
        <w:gridCol w:w="3972"/>
        <w:gridCol w:w="3211"/>
      </w:tblGrid>
      <w:tr>
        <w:trPr>
          <w:cantSplit w:val="true"/>
          <w:tblHeader w:val="true"/>
        </w:trPr>
        <w:tc>
          <w:tcPr>
            <w:tcW w:type="dxa" w:w="1845"/>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Phase</w:t>
            </w:r>
          </w:p>
        </w:tc>
        <w:tc>
          <w:tcPr>
            <w:tcW w:type="dxa" w:w="397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Source</w:t>
            </w:r>
          </w:p>
        </w:tc>
        <w:tc>
          <w:tcPr>
            <w:tcW w:type="dxa" w:w="3212"/>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Enables</w:t>
            </w:r>
          </w:p>
        </w:tc>
      </w:tr>
      <w:tr>
        <w:trPr>
          <w:cantSplit w:val="true"/>
        </w:trPr>
        <w:tc>
          <w:tcPr>
            <w:tcW w:type="dxa" w:w="1845"/>
            <w:tcMar>
              <w:top w:w="40" w:type="dxa"/>
              <w:bottom w:w="40" w:type="dxa"/>
            </w:tcMar>
          </w:tcPr>
          <w:p>
            <w:pPr>
              <w:pStyle w:val="Compact"/>
              <w:spacing w:line="252" w:lineRule="auto" w:after="20" w:before="20"/>
              <w:jc w:val="left"/>
            </w:pPr>
            <w:r>
              <w:rPr>
                <w:rFonts w:ascii="Times New Roman" w:hAnsi="Times New Roman"/>
                <w:sz w:val="19"/>
              </w:rPr>
              <w:t xml:space="preserve">Prototype</w:t>
            </w:r>
          </w:p>
        </w:tc>
        <w:tc>
          <w:tcPr>
            <w:tcW w:type="dxa" w:w="3972"/>
            <w:tcMar>
              <w:top w:w="40" w:type="dxa"/>
              <w:bottom w:w="40" w:type="dxa"/>
            </w:tcMar>
          </w:tcPr>
          <w:p>
            <w:pPr>
              <w:pStyle w:val="Compact"/>
              <w:spacing w:line="252" w:lineRule="auto" w:after="20" w:before="20"/>
              <w:jc w:val="left"/>
            </w:pPr>
            <w:r>
              <w:rPr>
                <w:rFonts w:ascii="Times New Roman" w:hAnsi="Times New Roman"/>
                <w:sz w:val="19"/>
              </w:rPr>
              <w:t xml:space="preserve">Synthetic data (this document)</w:t>
            </w:r>
          </w:p>
        </w:tc>
        <w:tc>
          <w:tcPr>
            <w:tcW w:type="dxa" w:w="3212"/>
            <w:tcMar>
              <w:top w:w="40" w:type="dxa"/>
              <w:bottom w:w="40" w:type="dxa"/>
            </w:tcMar>
          </w:tcPr>
          <w:p>
            <w:pPr>
              <w:pStyle w:val="Compact"/>
              <w:spacing w:line="252" w:lineRule="auto" w:after="20" w:before="20"/>
              <w:jc w:val="left"/>
            </w:pPr>
            <w:r>
              <w:rPr>
                <w:rFonts w:ascii="Times New Roman" w:hAnsi="Times New Roman"/>
                <w:sz w:val="19"/>
              </w:rPr>
              <w:t xml:space="preserve">Demos, UI testing, pipeline proof</w:t>
            </w:r>
          </w:p>
        </w:tc>
      </w:tr>
      <w:tr>
        <w:trPr>
          <w:cantSplit w:val="true"/>
        </w:trPr>
        <w:tc>
          <w:tcPr>
            <w:tcW w:type="dxa" w:w="184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Pilot (months 3–6)</w:t>
            </w:r>
          </w:p>
        </w:tc>
        <w:tc>
          <w:tcPr>
            <w:tcW w:type="dxa" w:w="397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Each broker’s own anonymised book</w:t>
            </w:r>
          </w:p>
        </w:tc>
        <w:tc>
          <w:tcPr>
            <w:tcW w:type="dxa" w:w="321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Portfolio benchmarking within one broker</w:t>
            </w:r>
          </w:p>
        </w:tc>
      </w:tr>
      <w:tr>
        <w:trPr>
          <w:cantSplit w:val="true"/>
        </w:trPr>
        <w:tc>
          <w:tcPr>
            <w:tcW w:type="dxa" w:w="1845"/>
            <w:tcMar>
              <w:top w:w="40" w:type="dxa"/>
              <w:bottom w:w="40" w:type="dxa"/>
            </w:tcMar>
          </w:tcPr>
          <w:p>
            <w:pPr>
              <w:pStyle w:val="Compact"/>
              <w:spacing w:line="252" w:lineRule="auto" w:after="20" w:before="20"/>
              <w:jc w:val="left"/>
            </w:pPr>
            <w:r>
              <w:rPr>
                <w:rFonts w:ascii="Times New Roman" w:hAnsi="Times New Roman"/>
                <w:sz w:val="19"/>
              </w:rPr>
              <w:t xml:space="preserve">Scale (months 6–18)</w:t>
            </w:r>
          </w:p>
        </w:tc>
        <w:tc>
          <w:tcPr>
            <w:tcW w:type="dxa" w:w="3972"/>
            <w:tcMar>
              <w:top w:w="40" w:type="dxa"/>
              <w:bottom w:w="40" w:type="dxa"/>
            </w:tcMar>
          </w:tcPr>
          <w:p>
            <w:pPr>
              <w:pStyle w:val="Compact"/>
              <w:spacing w:line="252" w:lineRule="auto" w:after="20" w:before="20"/>
              <w:jc w:val="left"/>
            </w:pPr>
            <w:r>
              <w:rPr>
                <w:rFonts w:ascii="Times New Roman" w:hAnsi="Times New Roman"/>
                <w:sz w:val="19"/>
              </w:rPr>
              <w:t xml:space="preserve">Pooled, consented, anonymised data across brokers</w:t>
            </w:r>
          </w:p>
        </w:tc>
        <w:tc>
          <w:tcPr>
            <w:tcW w:type="dxa" w:w="3212"/>
            <w:tcMar>
              <w:top w:w="40" w:type="dxa"/>
              <w:bottom w:w="40" w:type="dxa"/>
            </w:tcMar>
          </w:tcPr>
          <w:p>
            <w:pPr>
              <w:pStyle w:val="Compact"/>
              <w:spacing w:line="252" w:lineRule="auto" w:after="20" w:before="20"/>
              <w:jc w:val="left"/>
            </w:pPr>
            <w:r>
              <w:rPr>
                <w:rFonts w:ascii="Times New Roman" w:hAnsi="Times New Roman"/>
                <w:sz w:val="19"/>
              </w:rPr>
              <w:t xml:space="preserve">True market peer benchmarks</w:t>
            </w:r>
          </w:p>
        </w:tc>
      </w:tr>
      <w:tr>
        <w:trPr>
          <w:cantSplit w:val="true"/>
        </w:trPr>
        <w:tc>
          <w:tcPr>
            <w:tcW w:type="dxa" w:w="184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Ongoing</w:t>
            </w:r>
          </w:p>
        </w:tc>
        <w:tc>
          <w:tcPr>
            <w:tcW w:type="dxa" w:w="397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Public IRDAI/GI Council aggregates; annual benefits survey</w:t>
            </w:r>
          </w:p>
        </w:tc>
        <w:tc>
          <w:tcPr>
            <w:tcW w:type="dxa" w:w="3212"/>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Market context and plan-design data</w:t>
            </w:r>
          </w:p>
        </w:tc>
      </w:tr>
    </w:tbl>
    <w:p>
      <w:pPr>
        <w:pStyle w:val="BodyText"/>
        <w:keepNext/>
        <w:spacing w:before="160"/>
      </w:pPr>
      <w:r>
        <w:rPr>
          <w:b/>
          <w:bCs/>
        </w:rPr>
        <w:t xml:space="preserve">Data rules</w:t>
      </w:r>
    </w:p>
    <w:p>
      <w:pPr>
        <w:pStyle w:val="Compact"/>
        <w:numPr>
          <w:ilvl w:val="0"/>
          <w:numId w:val="1006"/>
        </w:numPr>
        <w:spacing w:after="60" w:line="324" w:lineRule="auto"/>
      </w:pPr>
      <w:r>
        <w:t xml:space="preserve">Benchmarks use only records with a consent tag (FR-92) and cohorts of ≥10 companies (FR-11).</w:t>
      </w:r>
    </w:p>
    <w:p>
      <w:pPr>
        <w:pStyle w:val="Compact"/>
        <w:numPr>
          <w:ilvl w:val="0"/>
          <w:numId w:val="1006"/>
        </w:numPr>
        <w:spacing w:after="60" w:line="324" w:lineRule="auto"/>
      </w:pPr>
      <w:r>
        <w:t xml:space="preserve">Health data (claims) is kept at diagnosis-group level in the benchmark pool; no individual-level health data leaves the client’s own workspace.</w:t>
      </w:r>
    </w:p>
    <w:p>
      <w:pPr>
        <w:pStyle w:val="Compact"/>
        <w:numPr>
          <w:ilvl w:val="0"/>
          <w:numId w:val="1006"/>
        </w:numPr>
        <w:spacing w:after="60" w:line="324" w:lineRule="auto"/>
      </w:pPr>
      <w:r>
        <w:t xml:space="preserve">Retention: follow the DPDP Rules timeline, with core obligations from 14 May 2027 (report Section 3.2); logs kept at least one year and CERT-In logs for 180 days.</w:t>
      </w:r>
    </w:p>
    <w:p>
      <w:pPr>
        <w:pStyle w:val="Heading1"/>
      </w:pPr>
      <w:r>
        <w:t xml:space="preserve">9. Non-Functional Requirements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051"/>
        <w:gridCol w:w="2030"/>
        <w:gridCol w:w="4651"/>
        <w:gridCol w:w="1296"/>
      </w:tblGrid>
      <w:tr>
        <w:trPr>
          <w:cantSplit w:val="true"/>
          <w:tblHeader w:val="true"/>
        </w:trPr>
        <w:tc>
          <w:tcPr>
            <w:tcW w:type="dxa" w:w="10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ID</w:t>
            </w:r>
          </w:p>
        </w:tc>
        <w:tc>
          <w:tcPr>
            <w:tcW w:type="dxa" w:w="203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Area</w:t>
            </w:r>
          </w:p>
        </w:tc>
        <w:tc>
          <w:tcPr>
            <w:tcW w:type="dxa" w:w="46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Requirement</w:t>
            </w:r>
          </w:p>
        </w:tc>
        <w:tc>
          <w:tcPr>
            <w:tcW w:type="dxa" w:w="129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Priority</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NFR-01</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Performance</w:t>
            </w:r>
          </w:p>
        </w:tc>
        <w:tc>
          <w:tcPr>
            <w:tcW w:type="dxa" w:w="4651"/>
            <w:tcMar>
              <w:top w:w="40" w:type="dxa"/>
              <w:bottom w:w="40" w:type="dxa"/>
            </w:tcMar>
          </w:tcPr>
          <w:p>
            <w:pPr>
              <w:pStyle w:val="Compact"/>
              <w:spacing w:line="252" w:lineRule="auto" w:after="20" w:before="20"/>
              <w:jc w:val="left"/>
            </w:pPr>
            <w:r>
              <w:rPr>
                <w:rFonts w:ascii="Times New Roman" w:hAnsi="Times New Roman"/>
                <w:sz w:val="19"/>
              </w:rPr>
              <w:t xml:space="preserve">Dashboards load in &lt; 3 s; filter changes refresh in &lt; 3 s; quote extraction &lt; 60 s per document</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NFR-02</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Security</w:t>
            </w:r>
          </w:p>
        </w:tc>
        <w:tc>
          <w:tcPr>
            <w:tcW w:type="dxa" w:w="46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HTTPS only on a branded domain; role-based access (Section 2); encryption at rest and in transit</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NFR-03</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Authentication</w:t>
            </w:r>
          </w:p>
        </w:tc>
        <w:tc>
          <w:tcPr>
            <w:tcW w:type="dxa" w:w="4651"/>
            <w:tcMar>
              <w:top w:w="40" w:type="dxa"/>
              <w:bottom w:w="40" w:type="dxa"/>
            </w:tcMar>
          </w:tcPr>
          <w:p>
            <w:pPr>
              <w:pStyle w:val="Compact"/>
              <w:spacing w:line="252" w:lineRule="auto" w:after="20" w:before="20"/>
              <w:jc w:val="left"/>
            </w:pPr>
            <w:r>
              <w:rPr>
                <w:rFonts w:ascii="Times New Roman" w:hAnsi="Times New Roman"/>
                <w:sz w:val="19"/>
              </w:rPr>
              <w:t xml:space="preserve">SSO for broker and HR users; OTP for employees; session timeout 30 minutes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NFR-04</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Privacy</w:t>
            </w:r>
          </w:p>
        </w:tc>
        <w:tc>
          <w:tcPr>
            <w:tcW w:type="dxa" w:w="46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DPDP-aligned consent, purpose limitation, data-processing agreements with brokers; breach response plan</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NFR-05</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Incident reporting</w:t>
            </w:r>
          </w:p>
        </w:tc>
        <w:tc>
          <w:tcPr>
            <w:tcW w:type="dxa" w:w="4651"/>
            <w:tcMar>
              <w:top w:w="40" w:type="dxa"/>
              <w:bottom w:w="40" w:type="dxa"/>
            </w:tcMar>
          </w:tcPr>
          <w:p>
            <w:pPr>
              <w:pStyle w:val="Compact"/>
              <w:spacing w:line="252" w:lineRule="auto" w:after="20" w:before="20"/>
              <w:jc w:val="left"/>
            </w:pPr>
            <w:r>
              <w:rPr>
                <w:rFonts w:ascii="Times New Roman" w:hAnsi="Times New Roman"/>
                <w:sz w:val="19"/>
              </w:rPr>
              <w:t xml:space="preserve">Cyber incidents reported within 6 hours (CERT-In)</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NFR-06</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Audit</w:t>
            </w:r>
          </w:p>
        </w:tc>
        <w:tc>
          <w:tcPr>
            <w:tcW w:type="dxa" w:w="46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Immutable audit log for data access, approvals and AI outputs</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NFR-07</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Availability</w:t>
            </w:r>
          </w:p>
        </w:tc>
        <w:tc>
          <w:tcPr>
            <w:tcW w:type="dxa" w:w="4651"/>
            <w:tcMar>
              <w:top w:w="40" w:type="dxa"/>
              <w:bottom w:w="40" w:type="dxa"/>
            </w:tcMar>
          </w:tcPr>
          <w:p>
            <w:pPr>
              <w:pStyle w:val="Compact"/>
              <w:spacing w:line="252" w:lineRule="auto" w:after="20" w:before="20"/>
              <w:jc w:val="left"/>
            </w:pPr>
            <w:r>
              <w:rPr>
                <w:rFonts w:ascii="Times New Roman" w:hAnsi="Times New Roman"/>
                <w:sz w:val="19"/>
              </w:rPr>
              <w:t xml:space="preserve">99.5% monthly uptime for the pilot; daily backups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Should</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NFR-08</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Accessibility</w:t>
            </w:r>
          </w:p>
        </w:tc>
        <w:tc>
          <w:tcPr>
            <w:tcW w:type="dxa" w:w="46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WCAG 2.1 AA contrast; values never shown by colour alone; keyboard navigation</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NFR-09</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White-label</w:t>
            </w:r>
          </w:p>
        </w:tc>
        <w:tc>
          <w:tcPr>
            <w:tcW w:type="dxa" w:w="4651"/>
            <w:tcMar>
              <w:top w:w="40" w:type="dxa"/>
              <w:bottom w:w="40" w:type="dxa"/>
            </w:tcMar>
          </w:tcPr>
          <w:p>
            <w:pPr>
              <w:pStyle w:val="Compact"/>
              <w:spacing w:line="252" w:lineRule="auto" w:after="20" w:before="20"/>
              <w:jc w:val="left"/>
            </w:pPr>
            <w:r>
              <w:rPr>
                <w:rFonts w:ascii="Times New Roman" w:hAnsi="Times New Roman"/>
                <w:sz w:val="19"/>
              </w:rPr>
              <w:t xml:space="preserve">Broker logo, colours and domain configurable without code</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Must</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NFR-10</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Scalability</w:t>
            </w:r>
          </w:p>
        </w:tc>
        <w:tc>
          <w:tcPr>
            <w:tcW w:type="dxa" w:w="46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50 brokers, 2,000 employer accounts, 1.5 million lives without redesign</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Could</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NFR-11</w:t>
            </w:r>
          </w:p>
        </w:tc>
        <w:tc>
          <w:tcPr>
            <w:tcW w:type="dxa" w:w="2030"/>
            <w:tcMar>
              <w:top w:w="40" w:type="dxa"/>
              <w:bottom w:w="40" w:type="dxa"/>
            </w:tcMar>
          </w:tcPr>
          <w:p>
            <w:pPr>
              <w:pStyle w:val="Compact"/>
              <w:spacing w:line="252" w:lineRule="auto" w:after="20" w:before="20"/>
              <w:jc w:val="left"/>
            </w:pPr>
            <w:r>
              <w:rPr>
                <w:rFonts w:ascii="Times New Roman" w:hAnsi="Times New Roman"/>
                <w:sz w:val="19"/>
              </w:rPr>
              <w:t xml:space="preserve">Localisation</w:t>
            </w:r>
          </w:p>
        </w:tc>
        <w:tc>
          <w:tcPr>
            <w:tcW w:type="dxa" w:w="4651"/>
            <w:tcMar>
              <w:top w:w="40" w:type="dxa"/>
              <w:bottom w:w="40" w:type="dxa"/>
            </w:tcMar>
          </w:tcPr>
          <w:p>
            <w:pPr>
              <w:pStyle w:val="Compact"/>
              <w:spacing w:line="252" w:lineRule="auto" w:after="20" w:before="20"/>
              <w:jc w:val="left"/>
            </w:pPr>
            <w:r>
              <w:rPr>
                <w:rFonts w:ascii="Times New Roman" w:hAnsi="Times New Roman"/>
                <w:sz w:val="19"/>
              </w:rPr>
              <w:t xml:space="preserve">English first; Hindi and regional languages for employee nudges</w:t>
            </w:r>
          </w:p>
        </w:tc>
        <w:tc>
          <w:tcPr>
            <w:tcW w:type="dxa" w:w="1296"/>
            <w:tcMar>
              <w:top w:w="40" w:type="dxa"/>
              <w:bottom w:w="40" w:type="dxa"/>
            </w:tcMar>
          </w:tcPr>
          <w:p>
            <w:pPr>
              <w:pStyle w:val="Compact"/>
              <w:spacing w:line="252" w:lineRule="auto" w:after="20" w:before="20"/>
              <w:jc w:val="left"/>
            </w:pPr>
            <w:r>
              <w:rPr>
                <w:rFonts w:ascii="Times New Roman" w:hAnsi="Times New Roman"/>
                <w:sz w:val="19"/>
              </w:rPr>
              <w:t xml:space="preserve">Could</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NFR-12</w:t>
            </w:r>
          </w:p>
        </w:tc>
        <w:tc>
          <w:tcPr>
            <w:tcW w:type="dxa" w:w="20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Data residency</w:t>
            </w:r>
          </w:p>
        </w:tc>
        <w:tc>
          <w:tcPr>
            <w:tcW w:type="dxa" w:w="46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Cloud region in India preferred for client data</w:t>
            </w:r>
          </w:p>
        </w:tc>
        <w:tc>
          <w:tcPr>
            <w:tcW w:type="dxa" w:w="129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Should</w:t>
            </w:r>
          </w:p>
        </w:tc>
      </w:tr>
    </w:tbl>
    <w:p>
      <w:pPr>
        <w:pStyle w:val="Heading1"/>
        <w:spacing w:before="160"/>
      </w:pPr>
      <w:r>
        <w:t xml:space="preserve">10. Technology Recommendations for the Prototype</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170"/>
        <w:gridCol w:w="4167"/>
        <w:gridCol w:w="2690"/>
      </w:tblGrid>
      <w:tr>
        <w:trPr>
          <w:cantSplit w:val="true"/>
          <w:tblHeader w:val="true"/>
        </w:trPr>
        <w:tc>
          <w:tcPr>
            <w:tcW w:type="dxa" w:w="217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Layer</w:t>
            </w:r>
          </w:p>
        </w:tc>
        <w:tc>
          <w:tcPr>
            <w:tcW w:type="dxa" w:w="416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Prototype (weeks 0–20)</w:t>
            </w:r>
          </w:p>
        </w:tc>
        <w:tc>
          <w:tcPr>
            <w:tcW w:type="dxa" w:w="269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Production path</w:t>
            </w:r>
          </w:p>
        </w:tc>
      </w:tr>
      <w:tr>
        <w:trPr>
          <w:cantSplit w:val="true"/>
        </w:trPr>
        <w:tc>
          <w:tcPr>
            <w:tcW w:type="dxa" w:w="2171"/>
            <w:tcMar>
              <w:top w:w="40" w:type="dxa"/>
              <w:bottom w:w="40" w:type="dxa"/>
            </w:tcMar>
          </w:tcPr>
          <w:p>
            <w:pPr>
              <w:pStyle w:val="Compact"/>
              <w:spacing w:line="252" w:lineRule="auto" w:after="20" w:before="20"/>
              <w:jc w:val="left"/>
            </w:pPr>
            <w:r>
              <w:rPr>
                <w:rFonts w:ascii="Times New Roman" w:hAnsi="Times New Roman"/>
                <w:sz w:val="19"/>
              </w:rPr>
              <w:t xml:space="preserve">Clickable design</w:t>
            </w:r>
          </w:p>
        </w:tc>
        <w:tc>
          <w:tcPr>
            <w:tcW w:type="dxa" w:w="4168"/>
            <w:tcMar>
              <w:top w:w="40" w:type="dxa"/>
              <w:bottom w:w="40" w:type="dxa"/>
            </w:tcMar>
          </w:tcPr>
          <w:p>
            <w:pPr>
              <w:pStyle w:val="Compact"/>
              <w:spacing w:line="252" w:lineRule="auto" w:after="20" w:before="20"/>
              <w:jc w:val="left"/>
            </w:pPr>
            <w:r>
              <w:rPr>
                <w:rFonts w:ascii="Times New Roman" w:hAnsi="Times New Roman"/>
                <w:sz w:val="19"/>
              </w:rPr>
              <w:t xml:space="preserve">Figma (all 10 screens, linked flows)</w:t>
            </w:r>
          </w:p>
        </w:tc>
        <w:tc>
          <w:tcPr>
            <w:tcW w:type="dxa" w:w="2691"/>
            <w:tcMar>
              <w:top w:w="40" w:type="dxa"/>
              <w:bottom w:w="40" w:type="dxa"/>
            </w:tcMar>
          </w:tcPr>
          <w:p>
            <w:pPr>
              <w:pStyle w:val="Compact"/>
              <w:spacing w:line="252" w:lineRule="auto" w:after="20" w:before="20"/>
              <w:jc w:val="left"/>
            </w:pPr>
            <w:r>
              <w:rPr>
                <w:rFonts w:ascii="Times New Roman" w:hAnsi="Times New Roman"/>
                <w:sz w:val="19"/>
              </w:rPr>
              <w:t xml:space="preserve">Design system reused</w:t>
            </w:r>
          </w:p>
        </w:tc>
      </w:tr>
      <w:tr>
        <w:trPr>
          <w:cantSplit w:val="true"/>
        </w:trPr>
        <w:tc>
          <w:tcPr>
            <w:tcW w:type="dxa" w:w="217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Front end</w:t>
            </w:r>
          </w:p>
        </w:tc>
        <w:tc>
          <w:tcPr>
            <w:tcW w:type="dxa" w:w="41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Streamlit (fast, Python-native)</w:t>
            </w:r>
          </w:p>
        </w:tc>
        <w:tc>
          <w:tcPr>
            <w:tcW w:type="dxa" w:w="269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React + a charting library</w:t>
            </w:r>
          </w:p>
        </w:tc>
      </w:tr>
      <w:tr>
        <w:trPr>
          <w:cantSplit w:val="true"/>
        </w:trPr>
        <w:tc>
          <w:tcPr>
            <w:tcW w:type="dxa" w:w="2171"/>
            <w:tcMar>
              <w:top w:w="40" w:type="dxa"/>
              <w:bottom w:w="40" w:type="dxa"/>
            </w:tcMar>
          </w:tcPr>
          <w:p>
            <w:pPr>
              <w:pStyle w:val="Compact"/>
              <w:spacing w:line="252" w:lineRule="auto" w:after="20" w:before="20"/>
              <w:jc w:val="left"/>
            </w:pPr>
            <w:r>
              <w:rPr>
                <w:rFonts w:ascii="Times New Roman" w:hAnsi="Times New Roman"/>
                <w:sz w:val="19"/>
              </w:rPr>
              <w:t xml:space="preserve">Back end / API</w:t>
            </w:r>
          </w:p>
        </w:tc>
        <w:tc>
          <w:tcPr>
            <w:tcW w:type="dxa" w:w="4168"/>
            <w:tcMar>
              <w:top w:w="40" w:type="dxa"/>
              <w:bottom w:w="40" w:type="dxa"/>
            </w:tcMar>
          </w:tcPr>
          <w:p>
            <w:pPr>
              <w:pStyle w:val="Compact"/>
              <w:spacing w:line="252" w:lineRule="auto" w:after="20" w:before="20"/>
              <w:jc w:val="left"/>
            </w:pPr>
            <w:r>
              <w:rPr>
                <w:rFonts w:ascii="Times New Roman" w:hAnsi="Times New Roman"/>
                <w:sz w:val="19"/>
              </w:rPr>
              <w:t xml:space="preserve">FastAPI</w:t>
            </w:r>
          </w:p>
        </w:tc>
        <w:tc>
          <w:tcPr>
            <w:tcW w:type="dxa" w:w="2691"/>
            <w:tcMar>
              <w:top w:w="40" w:type="dxa"/>
              <w:bottom w:w="40" w:type="dxa"/>
            </w:tcMar>
          </w:tcPr>
          <w:p>
            <w:pPr>
              <w:pStyle w:val="Compact"/>
              <w:spacing w:line="252" w:lineRule="auto" w:after="20" w:before="20"/>
              <w:jc w:val="left"/>
            </w:pPr>
            <w:r>
              <w:rPr>
                <w:rFonts w:ascii="Times New Roman" w:hAnsi="Times New Roman"/>
                <w:sz w:val="19"/>
              </w:rPr>
              <w:t xml:space="preserve">FastAPI or Node.js</w:t>
            </w:r>
          </w:p>
        </w:tc>
      </w:tr>
      <w:tr>
        <w:trPr>
          <w:cantSplit w:val="true"/>
        </w:trPr>
        <w:tc>
          <w:tcPr>
            <w:tcW w:type="dxa" w:w="217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Database</w:t>
            </w:r>
          </w:p>
        </w:tc>
        <w:tc>
          <w:tcPr>
            <w:tcW w:type="dxa" w:w="41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SQLite → PostgreSQL</w:t>
            </w:r>
          </w:p>
        </w:tc>
        <w:tc>
          <w:tcPr>
            <w:tcW w:type="dxa" w:w="269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Managed PostgreSQL</w:t>
            </w:r>
          </w:p>
        </w:tc>
      </w:tr>
      <w:tr>
        <w:trPr>
          <w:cantSplit w:val="true"/>
        </w:trPr>
        <w:tc>
          <w:tcPr>
            <w:tcW w:type="dxa" w:w="2171"/>
            <w:tcMar>
              <w:top w:w="40" w:type="dxa"/>
              <w:bottom w:w="40" w:type="dxa"/>
            </w:tcMar>
          </w:tcPr>
          <w:p>
            <w:pPr>
              <w:pStyle w:val="Compact"/>
              <w:spacing w:line="252" w:lineRule="auto" w:after="20" w:before="20"/>
              <w:jc w:val="left"/>
            </w:pPr>
            <w:r>
              <w:rPr>
                <w:rFonts w:ascii="Times New Roman" w:hAnsi="Times New Roman"/>
                <w:sz w:val="19"/>
              </w:rPr>
              <w:t xml:space="preserve">AI/ML</w:t>
            </w:r>
          </w:p>
        </w:tc>
        <w:tc>
          <w:tcPr>
            <w:tcW w:type="dxa" w:w="4168"/>
            <w:tcMar>
              <w:top w:w="40" w:type="dxa"/>
              <w:bottom w:w="40" w:type="dxa"/>
            </w:tcMar>
          </w:tcPr>
          <w:p>
            <w:pPr>
              <w:pStyle w:val="Compact"/>
              <w:spacing w:line="252" w:lineRule="auto" w:after="20" w:before="20"/>
              <w:jc w:val="left"/>
            </w:pPr>
            <w:r>
              <w:rPr>
                <w:rFonts w:ascii="Times New Roman" w:hAnsi="Times New Roman"/>
                <w:sz w:val="19"/>
              </w:rPr>
              <w:t xml:space="preserve">scikit-learn, XGBoost; cloud OCR + LLM API for quotes</w:t>
            </w:r>
          </w:p>
        </w:tc>
        <w:tc>
          <w:tcPr>
            <w:tcW w:type="dxa" w:w="2691"/>
            <w:tcMar>
              <w:top w:w="40" w:type="dxa"/>
              <w:bottom w:w="40" w:type="dxa"/>
            </w:tcMar>
          </w:tcPr>
          <w:p>
            <w:pPr>
              <w:pStyle w:val="Compact"/>
              <w:spacing w:line="252" w:lineRule="auto" w:after="20" w:before="20"/>
              <w:jc w:val="left"/>
            </w:pPr>
            <w:r>
              <w:rPr>
                <w:rFonts w:ascii="Times New Roman" w:hAnsi="Times New Roman"/>
                <w:sz w:val="19"/>
              </w:rPr>
              <w:t xml:space="preserve">Same, with model registry</w:t>
            </w:r>
          </w:p>
        </w:tc>
      </w:tr>
      <w:tr>
        <w:trPr>
          <w:cantSplit w:val="true"/>
        </w:trPr>
        <w:tc>
          <w:tcPr>
            <w:tcW w:type="dxa" w:w="217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Internal dashboards</w:t>
            </w:r>
          </w:p>
        </w:tc>
        <w:tc>
          <w:tcPr>
            <w:tcW w:type="dxa" w:w="41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Power BI or Looker Studio (GTM and business simulator)</w:t>
            </w:r>
          </w:p>
        </w:tc>
        <w:tc>
          <w:tcPr>
            <w:tcW w:type="dxa" w:w="269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Embedded BI</w:t>
            </w:r>
          </w:p>
        </w:tc>
      </w:tr>
      <w:tr>
        <w:trPr>
          <w:cantSplit w:val="true"/>
        </w:trPr>
        <w:tc>
          <w:tcPr>
            <w:tcW w:type="dxa" w:w="2171"/>
            <w:tcMar>
              <w:top w:w="40" w:type="dxa"/>
              <w:bottom w:w="40" w:type="dxa"/>
            </w:tcMar>
          </w:tcPr>
          <w:p>
            <w:pPr>
              <w:pStyle w:val="Compact"/>
              <w:spacing w:line="252" w:lineRule="auto" w:after="20" w:before="20"/>
              <w:jc w:val="left"/>
            </w:pPr>
            <w:r>
              <w:rPr>
                <w:rFonts w:ascii="Times New Roman" w:hAnsi="Times New Roman"/>
                <w:sz w:val="19"/>
              </w:rPr>
              <w:t xml:space="preserve">CRM</w:t>
            </w:r>
          </w:p>
        </w:tc>
        <w:tc>
          <w:tcPr>
            <w:tcW w:type="dxa" w:w="4168"/>
            <w:tcMar>
              <w:top w:w="40" w:type="dxa"/>
              <w:bottom w:w="40" w:type="dxa"/>
            </w:tcMar>
          </w:tcPr>
          <w:p>
            <w:pPr>
              <w:pStyle w:val="Compact"/>
              <w:spacing w:line="252" w:lineRule="auto" w:after="20" w:before="20"/>
              <w:jc w:val="left"/>
            </w:pPr>
            <w:r>
              <w:rPr>
                <w:rFonts w:ascii="Times New Roman" w:hAnsi="Times New Roman"/>
                <w:sz w:val="19"/>
              </w:rPr>
              <w:t xml:space="preserve">HubSpot (free/starter) or Zoho CRM</w:t>
            </w:r>
          </w:p>
        </w:tc>
        <w:tc>
          <w:tcPr>
            <w:tcW w:type="dxa" w:w="2691"/>
            <w:tcMar>
              <w:top w:w="40" w:type="dxa"/>
              <w:bottom w:w="40" w:type="dxa"/>
            </w:tcMar>
          </w:tcPr>
          <w:p>
            <w:pPr>
              <w:pStyle w:val="Compact"/>
              <w:spacing w:line="252" w:lineRule="auto" w:after="20" w:before="20"/>
              <w:jc w:val="left"/>
            </w:pPr>
            <w:r>
              <w:rPr>
                <w:rFonts w:ascii="Times New Roman" w:hAnsi="Times New Roman"/>
                <w:sz w:val="19"/>
              </w:rPr>
              <w:t xml:space="preserve">Same</w:t>
            </w:r>
          </w:p>
        </w:tc>
      </w:tr>
      <w:tr>
        <w:trPr>
          <w:cantSplit w:val="true"/>
        </w:trPr>
        <w:tc>
          <w:tcPr>
            <w:tcW w:type="dxa" w:w="217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Messaging</w:t>
            </w:r>
          </w:p>
        </w:tc>
        <w:tc>
          <w:tcPr>
            <w:tcW w:type="dxa" w:w="416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Email + WhatsApp Business API (sandbox)</w:t>
            </w:r>
          </w:p>
        </w:tc>
        <w:tc>
          <w:tcPr>
            <w:tcW w:type="dxa" w:w="269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Approved provider</w:t>
            </w:r>
          </w:p>
        </w:tc>
      </w:tr>
      <w:tr>
        <w:trPr>
          <w:cantSplit w:val="true"/>
        </w:trPr>
        <w:tc>
          <w:tcPr>
            <w:tcW w:type="dxa" w:w="2171"/>
            <w:tcMar>
              <w:top w:w="40" w:type="dxa"/>
              <w:bottom w:w="40" w:type="dxa"/>
            </w:tcMar>
          </w:tcPr>
          <w:p>
            <w:pPr>
              <w:pStyle w:val="Compact"/>
              <w:spacing w:line="252" w:lineRule="auto" w:after="20" w:before="20"/>
              <w:jc w:val="left"/>
            </w:pPr>
            <w:r>
              <w:rPr>
                <w:rFonts w:ascii="Times New Roman" w:hAnsi="Times New Roman"/>
                <w:sz w:val="19"/>
              </w:rPr>
              <w:t xml:space="preserve">Hosting</w:t>
            </w:r>
          </w:p>
        </w:tc>
        <w:tc>
          <w:tcPr>
            <w:tcW w:type="dxa" w:w="4168"/>
            <w:tcMar>
              <w:top w:w="40" w:type="dxa"/>
              <w:bottom w:w="40" w:type="dxa"/>
            </w:tcMar>
          </w:tcPr>
          <w:p>
            <w:pPr>
              <w:pStyle w:val="Compact"/>
              <w:spacing w:line="252" w:lineRule="auto" w:after="20" w:before="20"/>
              <w:jc w:val="left"/>
            </w:pPr>
            <w:r>
              <w:rPr>
                <w:rFonts w:ascii="Times New Roman" w:hAnsi="Times New Roman"/>
                <w:sz w:val="19"/>
              </w:rPr>
              <w:t xml:space="preserve">India-region cloud; synthetic data only</w:t>
            </w:r>
          </w:p>
        </w:tc>
        <w:tc>
          <w:tcPr>
            <w:tcW w:type="dxa" w:w="2691"/>
            <w:tcMar>
              <w:top w:w="40" w:type="dxa"/>
              <w:bottom w:w="40" w:type="dxa"/>
            </w:tcMar>
          </w:tcPr>
          <w:p>
            <w:pPr>
              <w:pStyle w:val="Compact"/>
              <w:spacing w:line="252" w:lineRule="auto" w:after="20" w:before="20"/>
              <w:jc w:val="left"/>
            </w:pPr>
            <w:r>
              <w:rPr>
                <w:rFonts w:ascii="Times New Roman" w:hAnsi="Times New Roman"/>
                <w:sz w:val="19"/>
              </w:rPr>
              <w:t xml:space="preserve">Hardened cloud, ISO 27001 path</w:t>
            </w:r>
          </w:p>
        </w:tc>
      </w:tr>
    </w:tbl>
    <w:p>
      <w:pPr>
        <w:pStyle w:val="BodyText"/>
        <w:spacing w:before="160"/>
      </w:pPr>
      <w:r>
        <w:rPr>
          <w:b/>
          <w:bCs/>
        </w:rPr>
        <w:t xml:space="preserve">Recommended data flow for the go-to-market stack (report Section 12.1):</w:t>
      </w:r>
      <w:r>
        <w:t xml:space="preserve"> </w:t>
      </w:r>
      <w:r>
        <w:t xml:space="preserve">lead sources → CRM → marketing automation → sales → customer success → BI dashboard.</w:t>
      </w:r>
    </w:p>
    <w:p>
      <w:pPr>
        <w:pStyle w:val="Heading1"/>
      </w:pPr>
      <w:r>
        <w:t xml:space="preserve">11. Dashboard and Chart Catalogue</w:t>
      </w:r>
    </w:p>
    <w:p>
      <w:pPr>
        <w:pStyle w:val="FirstParagraph"/>
      </w:pPr>
      <w:r>
        <w:t xml:space="preserve">Every chart in the prototype, the question it answers, and how it is built.</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928"/>
        <w:gridCol w:w="1051"/>
        <w:gridCol w:w="1785"/>
        <w:gridCol w:w="1779"/>
        <w:gridCol w:w="1908"/>
        <w:gridCol w:w="1663"/>
      </w:tblGrid>
      <w:tr>
        <w:trPr>
          <w:cantSplit w:val="true"/>
          <w:tblHeader w:val="true"/>
        </w:trPr>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Chart ID</w:t>
            </w:r>
          </w:p>
        </w:tc>
        <w:tc>
          <w:tcPr>
            <w:tcW w:type="dxa" w:w="10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Screen</w:t>
            </w:r>
          </w:p>
        </w:tc>
        <w:tc>
          <w:tcPr>
            <w:tcW w:type="dxa" w:w="178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Question it answers</w:t>
            </w:r>
          </w:p>
        </w:tc>
        <w:tc>
          <w:tcPr>
            <w:tcW w:type="dxa" w:w="177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Chart type</w:t>
            </w:r>
          </w:p>
        </w:tc>
        <w:tc>
          <w:tcPr>
            <w:tcW w:type="dxa" w:w="190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Data</w:t>
            </w:r>
          </w:p>
        </w:tc>
        <w:tc>
          <w:tcPr>
            <w:tcW w:type="dxa" w:w="166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Interaction</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C-01</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S1</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Which clients need attention first?</w:t>
            </w:r>
          </w:p>
        </w:tc>
        <w:tc>
          <w:tcPr>
            <w:tcW w:type="dxa" w:w="1779"/>
            <w:tcMar>
              <w:top w:w="40" w:type="dxa"/>
              <w:bottom w:w="40" w:type="dxa"/>
            </w:tcMar>
          </w:tcPr>
          <w:p>
            <w:pPr>
              <w:pStyle w:val="Compact"/>
              <w:spacing w:line="252" w:lineRule="auto" w:after="20" w:before="20"/>
              <w:jc w:val="left"/>
            </w:pPr>
            <w:r>
              <w:rPr>
                <w:rFonts w:ascii="Times New Roman" w:hAnsi="Times New Roman"/>
                <w:sz w:val="19"/>
              </w:rPr>
              <w:t xml:space="preserve">Table with inline risk bars</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Accounts, renewal dates, risk score</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Sort, click to open client</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C-02</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S2</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Are we above or below peers?</w:t>
            </w:r>
          </w:p>
        </w:tc>
        <w:tc>
          <w:tcPr>
            <w:tcW w:type="dxa" w:w="177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KPI tiles with percentile</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Premium, ICR, forecast, engagement</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Filter bar</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C-03</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S2</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Where does our plan sit feature by feature?</w:t>
            </w:r>
          </w:p>
        </w:tc>
        <w:tc>
          <w:tcPr>
            <w:tcW w:type="dxa" w:w="1779"/>
            <w:tcMar>
              <w:top w:w="40" w:type="dxa"/>
              <w:bottom w:w="40" w:type="dxa"/>
            </w:tcMar>
          </w:tcPr>
          <w:p>
            <w:pPr>
              <w:pStyle w:val="Compact"/>
              <w:spacing w:line="252" w:lineRule="auto" w:after="20" w:before="20"/>
              <w:jc w:val="left"/>
            </w:pPr>
            <w:r>
              <w:rPr>
                <w:rFonts w:ascii="Times New Roman" w:hAnsi="Times New Roman"/>
                <w:sz w:val="19"/>
              </w:rPr>
              <w:t xml:space="preserve">Horizontal percentile bars + median marker</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Peer percentiles</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Hover shows peer values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C-04</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S3</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Which quote is best and what got worse?</w:t>
            </w:r>
          </w:p>
        </w:tc>
        <w:tc>
          <w:tcPr>
            <w:tcW w:type="dxa" w:w="177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Comparison grid with flags</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24 quote fields</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Click field to see source text</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C-05</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S4</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What do plan changes save?</w:t>
            </w:r>
          </w:p>
        </w:tc>
        <w:tc>
          <w:tcPr>
            <w:tcW w:type="dxa" w:w="1779"/>
            <w:tcMar>
              <w:top w:w="40" w:type="dxa"/>
              <w:bottom w:w="40" w:type="dxa"/>
            </w:tcMar>
          </w:tcPr>
          <w:p>
            <w:pPr>
              <w:pStyle w:val="Compact"/>
              <w:spacing w:line="252" w:lineRule="auto" w:after="20" w:before="20"/>
              <w:jc w:val="left"/>
            </w:pPr>
            <w:r>
              <w:rPr>
                <w:rFonts w:ascii="Times New Roman" w:hAnsi="Times New Roman"/>
                <w:sz w:val="19"/>
              </w:rPr>
              <w:t xml:space="preserve">Waterfall</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Simulator output</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Sliders update live</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C-06</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S4</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What drives the renewal forecast?</w:t>
            </w:r>
          </w:p>
        </w:tc>
        <w:tc>
          <w:tcPr>
            <w:tcW w:type="dxa" w:w="177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Horizontal bars (driver share)</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Model explanations</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Hover shows definition</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C-07</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S5</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Are TPAs meeting IRDAI timelines?</w:t>
            </w:r>
          </w:p>
        </w:tc>
        <w:tc>
          <w:tcPr>
            <w:tcW w:type="dxa" w:w="1779"/>
            <w:tcMar>
              <w:top w:w="40" w:type="dxa"/>
              <w:bottom w:w="40" w:type="dxa"/>
            </w:tcMar>
          </w:tcPr>
          <w:p>
            <w:pPr>
              <w:pStyle w:val="Compact"/>
              <w:spacing w:line="252" w:lineRule="auto" w:after="20" w:before="20"/>
              <w:jc w:val="left"/>
            </w:pPr>
            <w:r>
              <w:rPr>
                <w:rFonts w:ascii="Times New Roman" w:hAnsi="Times New Roman"/>
                <w:sz w:val="19"/>
              </w:rPr>
              <w:t xml:space="preserve">Line chart with 60-min target line</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Weekly median approval time</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Toggle TPA</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C-08</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S5</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Which vendors perform worst?</w:t>
            </w:r>
          </w:p>
        </w:tc>
        <w:tc>
          <w:tcPr>
            <w:tcW w:type="dxa" w:w="177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Scorecard table</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SLA, tickets, feedback</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Sort</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C-09</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S6</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Are employees engaging?</w:t>
            </w:r>
          </w:p>
        </w:tc>
        <w:tc>
          <w:tcPr>
            <w:tcW w:type="dxa" w:w="1779"/>
            <w:tcMar>
              <w:top w:w="40" w:type="dxa"/>
              <w:bottom w:w="40" w:type="dxa"/>
            </w:tcMar>
          </w:tcPr>
          <w:p>
            <w:pPr>
              <w:pStyle w:val="Compact"/>
              <w:spacing w:line="252" w:lineRule="auto" w:after="20" w:before="20"/>
              <w:jc w:val="left"/>
            </w:pPr>
            <w:r>
              <w:rPr>
                <w:rFonts w:ascii="Times New Roman" w:hAnsi="Times New Roman"/>
                <w:sz w:val="19"/>
              </w:rPr>
              <w:t xml:space="preserve">KPI tiles + funnel (sent → opened → actioned)</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Nudge log</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Filter by event type</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C-10</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S8</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How big is each segment?</w:t>
            </w:r>
          </w:p>
        </w:tc>
        <w:tc>
          <w:tcPr>
            <w:tcW w:type="dxa" w:w="177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Horizontal bars TAM → SAM → ABM → SOM</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Report sizing</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Edit assumptions</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C-11</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S8</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Is the pipeline on plan?</w:t>
            </w:r>
          </w:p>
        </w:tc>
        <w:tc>
          <w:tcPr>
            <w:tcW w:type="dxa" w:w="1779"/>
            <w:tcMar>
              <w:top w:w="40" w:type="dxa"/>
              <w:bottom w:w="40" w:type="dxa"/>
            </w:tcMar>
          </w:tcPr>
          <w:p>
            <w:pPr>
              <w:pStyle w:val="Compact"/>
              <w:spacing w:line="252" w:lineRule="auto" w:after="20" w:before="20"/>
              <w:jc w:val="left"/>
            </w:pPr>
            <w:r>
              <w:rPr>
                <w:rFonts w:ascii="Times New Roman" w:hAnsi="Times New Roman"/>
                <w:sz w:val="19"/>
              </w:rPr>
              <w:t xml:space="preserve">Grouped bars by stage and path</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CRM stages</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Filter by quarter</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C-12</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S8</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Where do we sit vs competitors?</w:t>
            </w:r>
          </w:p>
        </w:tc>
        <w:tc>
          <w:tcPr>
            <w:tcW w:type="dxa" w:w="177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Strategic group scatter</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Report Section 5.3</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Static</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C-13</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S9</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When does the suite break even?</w:t>
            </w:r>
          </w:p>
        </w:tc>
        <w:tc>
          <w:tcPr>
            <w:tcW w:type="dxa" w:w="1779"/>
            <w:tcMar>
              <w:top w:w="40" w:type="dxa"/>
              <w:bottom w:w="40" w:type="dxa"/>
            </w:tcMar>
          </w:tcPr>
          <w:p>
            <w:pPr>
              <w:pStyle w:val="Compact"/>
              <w:spacing w:line="252" w:lineRule="auto" w:after="20" w:before="20"/>
              <w:jc w:val="left"/>
            </w:pPr>
            <w:r>
              <w:rPr>
                <w:rFonts w:ascii="Times New Roman" w:hAnsi="Times New Roman"/>
                <w:sz w:val="19"/>
              </w:rPr>
              <w:t xml:space="preserve">Grouped bars revenue vs cost</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Business model</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Sliders</w:t>
            </w:r>
          </w:p>
        </w:tc>
      </w:tr>
      <w:tr>
        <w:trPr>
          <w:cantSplit w:val="true"/>
        </w:trPr>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C-14</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S9</w:t>
            </w:r>
          </w:p>
        </w:tc>
        <w:tc>
          <w:tcPr>
            <w:tcW w:type="dxa" w:w="178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Which lever matters most?</w:t>
            </w:r>
          </w:p>
        </w:tc>
        <w:tc>
          <w:tcPr>
            <w:tcW w:type="dxa" w:w="177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Diverging sensitivity bars</w:t>
            </w:r>
          </w:p>
        </w:tc>
        <w:tc>
          <w:tcPr>
            <w:tcW w:type="dxa" w:w="190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Model sensitivities</w:t>
            </w:r>
          </w:p>
        </w:tc>
        <w:tc>
          <w:tcPr>
            <w:tcW w:type="dxa" w:w="166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Static per scenario</w:t>
            </w:r>
          </w:p>
        </w:tc>
      </w:tr>
      <w:tr>
        <w:trPr>
          <w:cantSplit w:val="true"/>
        </w:trPr>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C-15</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S10</w:t>
            </w:r>
          </w:p>
        </w:tc>
        <w:tc>
          <w:tcPr>
            <w:tcW w:type="dxa" w:w="1786"/>
            <w:tcMar>
              <w:top w:w="40" w:type="dxa"/>
              <w:bottom w:w="40" w:type="dxa"/>
            </w:tcMar>
          </w:tcPr>
          <w:p>
            <w:pPr>
              <w:pStyle w:val="Compact"/>
              <w:spacing w:line="252" w:lineRule="auto" w:after="20" w:before="20"/>
              <w:jc w:val="left"/>
            </w:pPr>
            <w:r>
              <w:rPr>
                <w:rFonts w:ascii="Times New Roman" w:hAnsi="Times New Roman"/>
                <w:sz w:val="19"/>
              </w:rPr>
              <w:t xml:space="preserve">Are the models healthy?</w:t>
            </w:r>
          </w:p>
        </w:tc>
        <w:tc>
          <w:tcPr>
            <w:tcW w:type="dxa" w:w="1779"/>
            <w:tcMar>
              <w:top w:w="40" w:type="dxa"/>
              <w:bottom w:w="40" w:type="dxa"/>
            </w:tcMar>
          </w:tcPr>
          <w:p>
            <w:pPr>
              <w:pStyle w:val="Compact"/>
              <w:spacing w:line="252" w:lineRule="auto" w:after="20" w:before="20"/>
              <w:jc w:val="left"/>
            </w:pPr>
            <w:r>
              <w:rPr>
                <w:rFonts w:ascii="Times New Roman" w:hAnsi="Times New Roman"/>
                <w:sz w:val="19"/>
              </w:rPr>
              <w:t xml:space="preserve">Line with target line</w:t>
            </w:r>
          </w:p>
        </w:tc>
        <w:tc>
          <w:tcPr>
            <w:tcW w:type="dxa" w:w="1908"/>
            <w:tcMar>
              <w:top w:w="40" w:type="dxa"/>
              <w:bottom w:w="40" w:type="dxa"/>
            </w:tcMar>
          </w:tcPr>
          <w:p>
            <w:pPr>
              <w:pStyle w:val="Compact"/>
              <w:spacing w:line="252" w:lineRule="auto" w:after="20" w:before="20"/>
              <w:jc w:val="left"/>
            </w:pPr>
            <w:r>
              <w:rPr>
                <w:rFonts w:ascii="Times New Roman" w:hAnsi="Times New Roman"/>
                <w:sz w:val="19"/>
              </w:rPr>
              <w:t xml:space="preserve">Accuracy and error by week</w:t>
            </w:r>
          </w:p>
        </w:tc>
        <w:tc>
          <w:tcPr>
            <w:tcW w:type="dxa" w:w="1663"/>
            <w:tcMar>
              <w:top w:w="40" w:type="dxa"/>
              <w:bottom w:w="40" w:type="dxa"/>
            </w:tcMar>
          </w:tcPr>
          <w:p>
            <w:pPr>
              <w:pStyle w:val="Compact"/>
              <w:spacing w:line="252" w:lineRule="auto" w:after="20" w:before="20"/>
              <w:jc w:val="left"/>
            </w:pPr>
            <w:r>
              <w:rPr>
                <w:rFonts w:ascii="Times New Roman" w:hAnsi="Times New Roman"/>
                <w:sz w:val="19"/>
              </w:rPr>
              <w:t xml:space="preserve">Toggle model</w:t>
            </w:r>
          </w:p>
        </w:tc>
      </w:tr>
    </w:tbl>
    <w:p>
      <w:pPr>
        <w:pStyle w:val="BodyText"/>
        <w:spacing w:before="160"/>
      </w:pPr>
      <w:r>
        <w:rPr>
          <w:b/>
          <w:bCs/>
        </w:rPr>
        <w:t xml:space="preserve">Chart design rules:</w:t>
      </w:r>
      <w:r>
        <w:t xml:space="preserve"> </w:t>
      </w:r>
      <w:r>
        <w:t xml:space="preserve">one y-axis per chart; numbers printed on or next to bars; colour never used alone to carry meaning; a validated colour palette for series; brand purple and green reserved for navigation and headers.</w:t>
      </w:r>
    </w:p>
    <w:p>
      <w:r>
        <w:br w:type="page"/>
      </w:r>
    </w:p>
    <w:p>
      <w:pPr>
        <w:pStyle w:val="Heading1"/>
      </w:pPr>
      <w:r>
        <w:t xml:space="preserve">12. Build Plan, Testing and Demo</w:t>
      </w:r>
    </w:p>
    <w:p>
      <w:pPr>
        <w:pStyle w:val="Heading2"/>
      </w:pPr>
      <w:r>
        <w:t xml:space="preserve">12.1 Sprint plan</w:t>
      </w:r>
    </w:p>
    <w:p>
      <w:pPr>
        <w:pStyle w:val="CaptionedFigure"/>
      </w:pPr>
      <w:r>
        <w:drawing>
          <wp:inline>
            <wp:extent cx="5733288" cy="2062962"/>
            <wp:effectExtent b="0" l="0" r="0" t="0"/>
            <wp:docPr descr="Prototype build plan" title="" id="78" name="Picture"/>
            <a:graphic>
              <a:graphicData uri="http://schemas.openxmlformats.org/drawingml/2006/picture">
                <pic:pic>
                  <pic:nvPicPr>
                    <pic:cNvPr descr="fig/d6_sprints.png" id="79" name="Picture"/>
                    <pic:cNvPicPr>
                      <a:picLocks noChangeArrowheads="1" noChangeAspect="1"/>
                    </pic:cNvPicPr>
                  </pic:nvPicPr>
                  <pic:blipFill>
                    <a:blip r:embed="rId77"/>
                    <a:stretch>
                      <a:fillRect/>
                    </a:stretch>
                  </pic:blipFill>
                  <pic:spPr bwMode="auto">
                    <a:xfrm>
                      <a:off x="0" y="0"/>
                      <a:ext cx="5733288" cy="2062962"/>
                    </a:xfrm>
                    <a:prstGeom prst="rect">
                      <a:avLst/>
                    </a:prstGeom>
                    <a:noFill/>
                    <a:ln w="9525">
                      <a:noFill/>
                      <a:headEnd/>
                      <a:tailEnd/>
                    </a:ln>
                  </pic:spPr>
                </pic:pic>
              </a:graphicData>
            </a:graphic>
          </wp:inline>
        </w:drawing>
      </w:r>
    </w:p>
    <w:p>
      <w:pPr>
        <w:pStyle w:val="ImageCaption"/>
      </w:pPr>
      <w:r>
        <w:t xml:space="preserve">Prototype build plan</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1051"/>
        <w:gridCol w:w="928"/>
        <w:gridCol w:w="4347"/>
        <w:gridCol w:w="2701"/>
      </w:tblGrid>
      <w:tr>
        <w:trPr>
          <w:cantSplit w:val="true"/>
          <w:tblHeader w:val="true"/>
        </w:trPr>
        <w:tc>
          <w:tcPr>
            <w:tcW w:type="dxa" w:w="10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Sprint</w:t>
            </w:r>
          </w:p>
        </w:tc>
        <w:tc>
          <w:tcPr>
            <w:tcW w:type="dxa" w:w="92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Weeks</w:t>
            </w:r>
          </w:p>
        </w:tc>
        <w:tc>
          <w:tcPr>
            <w:tcW w:type="dxa" w:w="434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Deliverable</w:t>
            </w:r>
          </w:p>
        </w:tc>
        <w:tc>
          <w:tcPr>
            <w:tcW w:type="dxa" w:w="270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Linked requirements</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S0</w:t>
            </w:r>
          </w:p>
        </w:tc>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0–4</w:t>
            </w:r>
          </w:p>
        </w:tc>
        <w:tc>
          <w:tcPr>
            <w:tcW w:type="dxa" w:w="4347"/>
            <w:tcMar>
              <w:top w:w="40" w:type="dxa"/>
              <w:bottom w:w="40" w:type="dxa"/>
            </w:tcMar>
          </w:tcPr>
          <w:p>
            <w:pPr>
              <w:pStyle w:val="Compact"/>
              <w:spacing w:line="252" w:lineRule="auto" w:after="20" w:before="20"/>
              <w:jc w:val="left"/>
            </w:pPr>
            <w:r>
              <w:rPr>
                <w:rFonts w:ascii="Times New Roman" w:hAnsi="Times New Roman"/>
                <w:sz w:val="19"/>
              </w:rPr>
              <w:t xml:space="preserve">Design system; clickable Figma flows for all 10 screens</w:t>
            </w:r>
          </w:p>
        </w:tc>
        <w:tc>
          <w:tcPr>
            <w:tcW w:type="dxa" w:w="2701"/>
            <w:tcMar>
              <w:top w:w="40" w:type="dxa"/>
              <w:bottom w:w="40" w:type="dxa"/>
            </w:tcMar>
          </w:tcPr>
          <w:p>
            <w:pPr>
              <w:pStyle w:val="Compact"/>
              <w:spacing w:line="252" w:lineRule="auto" w:after="20" w:before="20"/>
              <w:jc w:val="left"/>
            </w:pPr>
            <w:r>
              <w:rPr>
                <w:rFonts w:ascii="Times New Roman" w:hAnsi="Times New Roman"/>
                <w:sz w:val="19"/>
              </w:rPr>
              <w:t xml:space="preserve">All screens</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S1</w:t>
            </w:r>
          </w:p>
        </w:tc>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2–6</w:t>
            </w:r>
          </w:p>
        </w:tc>
        <w:tc>
          <w:tcPr>
            <w:tcW w:type="dxa" w:w="434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Data model, synthetic data generator, ingestion and validation</w:t>
            </w:r>
          </w:p>
        </w:tc>
        <w:tc>
          <w:tcPr>
            <w:tcW w:type="dxa" w:w="270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DR-01 to DR-10, FR-90 to FR-92</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S2</w:t>
            </w:r>
          </w:p>
        </w:tc>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4–8</w:t>
            </w:r>
          </w:p>
        </w:tc>
        <w:tc>
          <w:tcPr>
            <w:tcW w:type="dxa" w:w="4347"/>
            <w:tcMar>
              <w:top w:w="40" w:type="dxa"/>
              <w:bottom w:w="40" w:type="dxa"/>
            </w:tcMar>
          </w:tcPr>
          <w:p>
            <w:pPr>
              <w:pStyle w:val="Compact"/>
              <w:spacing w:line="252" w:lineRule="auto" w:after="20" w:before="20"/>
              <w:jc w:val="left"/>
            </w:pPr>
            <w:r>
              <w:rPr>
                <w:rFonts w:ascii="Times New Roman" w:hAnsi="Times New Roman"/>
                <w:sz w:val="19"/>
              </w:rPr>
              <w:t xml:space="preserve">Benchmarking Cockpit + peer engine</w:t>
            </w:r>
          </w:p>
        </w:tc>
        <w:tc>
          <w:tcPr>
            <w:tcW w:type="dxa" w:w="2701"/>
            <w:tcMar>
              <w:top w:w="40" w:type="dxa"/>
              <w:bottom w:w="40" w:type="dxa"/>
            </w:tcMar>
          </w:tcPr>
          <w:p>
            <w:pPr>
              <w:pStyle w:val="Compact"/>
              <w:spacing w:line="252" w:lineRule="auto" w:after="20" w:before="20"/>
              <w:jc w:val="left"/>
            </w:pPr>
            <w:r>
              <w:rPr>
                <w:rFonts w:ascii="Times New Roman" w:hAnsi="Times New Roman"/>
                <w:sz w:val="19"/>
              </w:rPr>
              <w:t xml:space="preserve">FR-10 to FR-15, AI-01</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S3</w:t>
            </w:r>
          </w:p>
        </w:tc>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8–12</w:t>
            </w:r>
          </w:p>
        </w:tc>
        <w:tc>
          <w:tcPr>
            <w:tcW w:type="dxa" w:w="434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Quote &amp; Renewal Desk (upload, extract, review, compare, approve)</w:t>
            </w:r>
          </w:p>
        </w:tc>
        <w:tc>
          <w:tcPr>
            <w:tcW w:type="dxa" w:w="270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FR-20 to FR-26, AI-04</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S4</w:t>
            </w:r>
          </w:p>
        </w:tc>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10–14</w:t>
            </w:r>
          </w:p>
        </w:tc>
        <w:tc>
          <w:tcPr>
            <w:tcW w:type="dxa" w:w="4347"/>
            <w:tcMar>
              <w:top w:w="40" w:type="dxa"/>
              <w:bottom w:w="40" w:type="dxa"/>
            </w:tcMar>
          </w:tcPr>
          <w:p>
            <w:pPr>
              <w:pStyle w:val="Compact"/>
              <w:spacing w:line="252" w:lineRule="auto" w:after="20" w:before="20"/>
              <w:jc w:val="left"/>
            </w:pPr>
            <w:r>
              <w:rPr>
                <w:rFonts w:ascii="Times New Roman" w:hAnsi="Times New Roman"/>
                <w:sz w:val="19"/>
              </w:rPr>
              <w:t xml:space="preserve">AI Simulation Lab + renewal forecast + model card</w:t>
            </w:r>
          </w:p>
        </w:tc>
        <w:tc>
          <w:tcPr>
            <w:tcW w:type="dxa" w:w="2701"/>
            <w:tcMar>
              <w:top w:w="40" w:type="dxa"/>
              <w:bottom w:w="40" w:type="dxa"/>
            </w:tcMar>
          </w:tcPr>
          <w:p>
            <w:pPr>
              <w:pStyle w:val="Compact"/>
              <w:spacing w:line="252" w:lineRule="auto" w:after="20" w:before="20"/>
              <w:jc w:val="left"/>
            </w:pPr>
            <w:r>
              <w:rPr>
                <w:rFonts w:ascii="Times New Roman" w:hAnsi="Times New Roman"/>
                <w:sz w:val="19"/>
              </w:rPr>
              <w:t xml:space="preserve">FR-30 to FR-35, AI-02, AI-03</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S5</w:t>
            </w:r>
          </w:p>
        </w:tc>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12–16</w:t>
            </w:r>
          </w:p>
        </w:tc>
        <w:tc>
          <w:tcPr>
            <w:tcW w:type="dxa" w:w="434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Portfolio home, vendor/TPA, zero-login nudges</w:t>
            </w:r>
          </w:p>
        </w:tc>
        <w:tc>
          <w:tcPr>
            <w:tcW w:type="dxa" w:w="270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FR-01 to FR-06, FR-40 to FR-56</w:t>
            </w:r>
          </w:p>
        </w:tc>
      </w:tr>
      <w:tr>
        <w:trPr>
          <w:cantSplit w:val="true"/>
        </w:trPr>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S6</w:t>
            </w:r>
          </w:p>
        </w:tc>
        <w:tc>
          <w:tcPr>
            <w:tcW w:type="dxa" w:w="929"/>
            <w:tcMar>
              <w:top w:w="40" w:type="dxa"/>
              <w:bottom w:w="40" w:type="dxa"/>
            </w:tcMar>
          </w:tcPr>
          <w:p>
            <w:pPr>
              <w:pStyle w:val="Compact"/>
              <w:spacing w:line="252" w:lineRule="auto" w:after="20" w:before="20"/>
              <w:jc w:val="left"/>
            </w:pPr>
            <w:r>
              <w:rPr>
                <w:rFonts w:ascii="Times New Roman" w:hAnsi="Times New Roman"/>
                <w:sz w:val="19"/>
              </w:rPr>
              <w:t xml:space="preserve">14–18</w:t>
            </w:r>
          </w:p>
        </w:tc>
        <w:tc>
          <w:tcPr>
            <w:tcW w:type="dxa" w:w="4347"/>
            <w:tcMar>
              <w:top w:w="40" w:type="dxa"/>
              <w:bottom w:w="40" w:type="dxa"/>
            </w:tcMar>
          </w:tcPr>
          <w:p>
            <w:pPr>
              <w:pStyle w:val="Compact"/>
              <w:spacing w:line="252" w:lineRule="auto" w:after="20" w:before="20"/>
              <w:jc w:val="left"/>
            </w:pPr>
            <w:r>
              <w:rPr>
                <w:rFonts w:ascii="Times New Roman" w:hAnsi="Times New Roman"/>
                <w:sz w:val="19"/>
              </w:rPr>
              <w:t xml:space="preserve">GTM Command Centre + business simulator</w:t>
            </w:r>
          </w:p>
        </w:tc>
        <w:tc>
          <w:tcPr>
            <w:tcW w:type="dxa" w:w="2701"/>
            <w:tcMar>
              <w:top w:w="40" w:type="dxa"/>
              <w:bottom w:w="40" w:type="dxa"/>
            </w:tcMar>
          </w:tcPr>
          <w:p>
            <w:pPr>
              <w:pStyle w:val="Compact"/>
              <w:spacing w:line="252" w:lineRule="auto" w:after="20" w:before="20"/>
              <w:jc w:val="left"/>
            </w:pPr>
            <w:r>
              <w:rPr>
                <w:rFonts w:ascii="Times New Roman" w:hAnsi="Times New Roman"/>
                <w:sz w:val="19"/>
              </w:rPr>
              <w:t xml:space="preserve">FR-70 to FR-83</w:t>
            </w:r>
          </w:p>
        </w:tc>
      </w:tr>
      <w:tr>
        <w:trPr>
          <w:cantSplit w:val="true"/>
        </w:trPr>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S7</w:t>
            </w:r>
          </w:p>
        </w:tc>
        <w:tc>
          <w:tcPr>
            <w:tcW w:type="dxa" w:w="92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18–20</w:t>
            </w:r>
          </w:p>
        </w:tc>
        <w:tc>
          <w:tcPr>
            <w:tcW w:type="dxa" w:w="434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Security hardening, audit log, pilot demo script</w:t>
            </w:r>
          </w:p>
        </w:tc>
        <w:tc>
          <w:tcPr>
            <w:tcW w:type="dxa" w:w="270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NFR-01 to NFR-09, FR-93 to FR-95</w:t>
            </w:r>
          </w:p>
        </w:tc>
      </w:tr>
    </w:tbl>
    <w:p>
      <w:pPr>
        <w:pStyle w:val="BodyText"/>
        <w:spacing w:before="160"/>
      </w:pPr>
      <w:r>
        <w:t xml:space="preserve">This aligns with the report roadmap: Benchmarking Cockpit MVP by month 5, broker pilots from month 3, Quote Desk by months 4–8 (report Section 13.2).</w:t>
      </w:r>
    </w:p>
    <w:p>
      <w:pPr>
        <w:pStyle w:val="Heading2"/>
      </w:pPr>
      <w:r>
        <w:t xml:space="preserve">12.2 Acceptance tests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279"/>
        <w:gridCol w:w="3752"/>
        <w:gridCol w:w="2996"/>
      </w:tblGrid>
      <w:tr>
        <w:trPr>
          <w:cantSplit w:val="true"/>
          <w:tblHeader w:val="true"/>
        </w:trPr>
        <w:tc>
          <w:tcPr>
            <w:tcW w:type="dxa" w:w="228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Test</w:t>
            </w:r>
          </w:p>
        </w:tc>
        <w:tc>
          <w:tcPr>
            <w:tcW w:type="dxa" w:w="3753"/>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Method</w:t>
            </w:r>
          </w:p>
        </w:tc>
        <w:tc>
          <w:tcPr>
            <w:tcW w:type="dxa" w:w="299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Pass criterion</w:t>
            </w:r>
          </w:p>
        </w:tc>
      </w:tr>
      <w:tr>
        <w:trPr>
          <w:cantSplit w:val="true"/>
        </w:trPr>
        <w:tc>
          <w:tcPr>
            <w:tcW w:type="dxa" w:w="2280"/>
            <w:tcMar>
              <w:top w:w="40" w:type="dxa"/>
              <w:bottom w:w="40" w:type="dxa"/>
            </w:tcMar>
          </w:tcPr>
          <w:p>
            <w:pPr>
              <w:pStyle w:val="Compact"/>
              <w:spacing w:line="252" w:lineRule="auto" w:after="20" w:before="20"/>
              <w:jc w:val="left"/>
            </w:pPr>
            <w:r>
              <w:rPr>
                <w:rFonts w:ascii="Times New Roman" w:hAnsi="Times New Roman"/>
                <w:sz w:val="19"/>
              </w:rPr>
              <w:t xml:space="preserve">Quote extraction accuracy</w:t>
            </w:r>
          </w:p>
        </w:tc>
        <w:tc>
          <w:tcPr>
            <w:tcW w:type="dxa" w:w="3753"/>
            <w:tcMar>
              <w:top w:w="40" w:type="dxa"/>
              <w:bottom w:w="40" w:type="dxa"/>
            </w:tcMar>
          </w:tcPr>
          <w:p>
            <w:pPr>
              <w:pStyle w:val="Compact"/>
              <w:spacing w:line="252" w:lineRule="auto" w:after="20" w:before="20"/>
              <w:jc w:val="left"/>
            </w:pPr>
            <w:r>
              <w:rPr>
                <w:rFonts w:ascii="Times New Roman" w:hAnsi="Times New Roman"/>
                <w:sz w:val="19"/>
              </w:rPr>
              <w:t xml:space="preserve">50 real insurer quotes (from pilots), hand-labelled</w:t>
            </w:r>
          </w:p>
        </w:tc>
        <w:tc>
          <w:tcPr>
            <w:tcW w:type="dxa" w:w="2997"/>
            <w:tcMar>
              <w:top w:w="40" w:type="dxa"/>
              <w:bottom w:w="40" w:type="dxa"/>
            </w:tcMar>
          </w:tcPr>
          <w:p>
            <w:pPr>
              <w:pStyle w:val="Compact"/>
              <w:spacing w:line="252" w:lineRule="auto" w:after="20" w:before="20"/>
              <w:jc w:val="left"/>
            </w:pPr>
            <w:r>
              <w:rPr>
                <w:rFonts w:ascii="Times New Roman" w:hAnsi="Times New Roman"/>
                <w:sz w:val="19"/>
              </w:rPr>
              <w:t xml:space="preserve">≥95% of fields correct</w:t>
            </w:r>
          </w:p>
        </w:tc>
      </w:tr>
      <w:tr>
        <w:trPr>
          <w:cantSplit w:val="true"/>
        </w:trPr>
        <w:tc>
          <w:tcPr>
            <w:tcW w:type="dxa" w:w="228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Renewal forecast</w:t>
            </w:r>
          </w:p>
        </w:tc>
        <w:tc>
          <w:tcPr>
            <w:tcW w:type="dxa" w:w="375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Back-test on pilot clients’ last 2 renewals</w:t>
            </w:r>
          </w:p>
        </w:tc>
        <w:tc>
          <w:tcPr>
            <w:tcW w:type="dxa" w:w="299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Mean error ≤5 pts</w:t>
            </w:r>
          </w:p>
        </w:tc>
      </w:tr>
      <w:tr>
        <w:trPr>
          <w:cantSplit w:val="true"/>
        </w:trPr>
        <w:tc>
          <w:tcPr>
            <w:tcW w:type="dxa" w:w="2280"/>
            <w:tcMar>
              <w:top w:w="40" w:type="dxa"/>
              <w:bottom w:w="40" w:type="dxa"/>
            </w:tcMar>
          </w:tcPr>
          <w:p>
            <w:pPr>
              <w:pStyle w:val="Compact"/>
              <w:spacing w:line="252" w:lineRule="auto" w:after="20" w:before="20"/>
              <w:jc w:val="left"/>
            </w:pPr>
            <w:r>
              <w:rPr>
                <w:rFonts w:ascii="Times New Roman" w:hAnsi="Times New Roman"/>
                <w:sz w:val="19"/>
              </w:rPr>
              <w:t xml:space="preserve">Simulator realism</w:t>
            </w:r>
          </w:p>
        </w:tc>
        <w:tc>
          <w:tcPr>
            <w:tcW w:type="dxa" w:w="3753"/>
            <w:tcMar>
              <w:top w:w="40" w:type="dxa"/>
              <w:bottom w:w="40" w:type="dxa"/>
            </w:tcMar>
          </w:tcPr>
          <w:p>
            <w:pPr>
              <w:pStyle w:val="Compact"/>
              <w:spacing w:line="252" w:lineRule="auto" w:after="20" w:before="20"/>
              <w:jc w:val="left"/>
            </w:pPr>
            <w:r>
              <w:rPr>
                <w:rFonts w:ascii="Times New Roman" w:hAnsi="Times New Roman"/>
                <w:sz w:val="19"/>
              </w:rPr>
              <w:t xml:space="preserve">Compare scenario estimate with the insurer’s revised quote</w:t>
            </w:r>
          </w:p>
        </w:tc>
        <w:tc>
          <w:tcPr>
            <w:tcW w:type="dxa" w:w="2997"/>
            <w:tcMar>
              <w:top w:w="40" w:type="dxa"/>
              <w:bottom w:w="40" w:type="dxa"/>
            </w:tcMar>
          </w:tcPr>
          <w:p>
            <w:pPr>
              <w:pStyle w:val="Compact"/>
              <w:spacing w:line="252" w:lineRule="auto" w:after="20" w:before="20"/>
              <w:jc w:val="left"/>
            </w:pPr>
            <w:r>
              <w:rPr>
                <w:rFonts w:ascii="Times New Roman" w:hAnsi="Times New Roman"/>
                <w:sz w:val="19"/>
              </w:rPr>
              <w:t xml:space="preserve">Within ±2 pts on ≥70% of scenarios</w:t>
            </w:r>
          </w:p>
        </w:tc>
      </w:tr>
      <w:tr>
        <w:trPr>
          <w:cantSplit w:val="true"/>
        </w:trPr>
        <w:tc>
          <w:tcPr>
            <w:tcW w:type="dxa" w:w="228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Peer-set privacy</w:t>
            </w:r>
          </w:p>
        </w:tc>
        <w:tc>
          <w:tcPr>
            <w:tcW w:type="dxa" w:w="375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Automated test on every refresh</w:t>
            </w:r>
          </w:p>
        </w:tc>
        <w:tc>
          <w:tcPr>
            <w:tcW w:type="dxa" w:w="299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Zero cohorts shown with &lt; 10 companies</w:t>
            </w:r>
          </w:p>
        </w:tc>
      </w:tr>
      <w:tr>
        <w:trPr>
          <w:cantSplit w:val="true"/>
        </w:trPr>
        <w:tc>
          <w:tcPr>
            <w:tcW w:type="dxa" w:w="2280"/>
            <w:tcMar>
              <w:top w:w="40" w:type="dxa"/>
              <w:bottom w:w="40" w:type="dxa"/>
            </w:tcMar>
          </w:tcPr>
          <w:p>
            <w:pPr>
              <w:pStyle w:val="Compact"/>
              <w:spacing w:line="252" w:lineRule="auto" w:after="20" w:before="20"/>
              <w:jc w:val="left"/>
            </w:pPr>
            <w:r>
              <w:rPr>
                <w:rFonts w:ascii="Times New Roman" w:hAnsi="Times New Roman"/>
                <w:sz w:val="19"/>
              </w:rPr>
              <w:t xml:space="preserve">Policy Q&amp;A</w:t>
            </w:r>
          </w:p>
        </w:tc>
        <w:tc>
          <w:tcPr>
            <w:tcW w:type="dxa" w:w="3753"/>
            <w:tcMar>
              <w:top w:w="40" w:type="dxa"/>
              <w:bottom w:w="40" w:type="dxa"/>
            </w:tcMar>
          </w:tcPr>
          <w:p>
            <w:pPr>
              <w:pStyle w:val="Compact"/>
              <w:spacing w:line="252" w:lineRule="auto" w:after="20" w:before="20"/>
              <w:jc w:val="left"/>
            </w:pPr>
            <w:r>
              <w:rPr>
                <w:rFonts w:ascii="Times New Roman" w:hAnsi="Times New Roman"/>
                <w:sz w:val="19"/>
              </w:rPr>
              <w:t xml:space="preserve">100-question test set per pilot client</w:t>
            </w:r>
          </w:p>
        </w:tc>
        <w:tc>
          <w:tcPr>
            <w:tcW w:type="dxa" w:w="2997"/>
            <w:tcMar>
              <w:top w:w="40" w:type="dxa"/>
              <w:bottom w:w="40" w:type="dxa"/>
            </w:tcMar>
          </w:tcPr>
          <w:p>
            <w:pPr>
              <w:pStyle w:val="Compact"/>
              <w:spacing w:line="252" w:lineRule="auto" w:after="20" w:before="20"/>
              <w:jc w:val="left"/>
            </w:pPr>
            <w:r>
              <w:rPr>
                <w:rFonts w:ascii="Times New Roman" w:hAnsi="Times New Roman"/>
                <w:sz w:val="19"/>
              </w:rPr>
              <w:t xml:space="preserve">≥90% correct, with correct clause citation</w:t>
            </w:r>
          </w:p>
        </w:tc>
      </w:tr>
      <w:tr>
        <w:trPr>
          <w:cantSplit w:val="true"/>
        </w:trPr>
        <w:tc>
          <w:tcPr>
            <w:tcW w:type="dxa" w:w="228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Usability</w:t>
            </w:r>
          </w:p>
        </w:tc>
        <w:tc>
          <w:tcPr>
            <w:tcW w:type="dxa" w:w="3753"/>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5 account managers complete a renewal pack unaided</w:t>
            </w:r>
          </w:p>
        </w:tc>
        <w:tc>
          <w:tcPr>
            <w:tcW w:type="dxa" w:w="299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Median time &lt; 2 hours; SUS score ≥70</w:t>
            </w:r>
          </w:p>
        </w:tc>
      </w:tr>
      <w:tr>
        <w:trPr>
          <w:cantSplit w:val="true"/>
        </w:trPr>
        <w:tc>
          <w:tcPr>
            <w:tcW w:type="dxa" w:w="2280"/>
            <w:tcMar>
              <w:top w:w="40" w:type="dxa"/>
              <w:bottom w:w="40" w:type="dxa"/>
            </w:tcMar>
          </w:tcPr>
          <w:p>
            <w:pPr>
              <w:pStyle w:val="Compact"/>
              <w:spacing w:line="252" w:lineRule="auto" w:after="20" w:before="20"/>
              <w:jc w:val="left"/>
            </w:pPr>
            <w:r>
              <w:rPr>
                <w:rFonts w:ascii="Times New Roman" w:hAnsi="Times New Roman"/>
                <w:sz w:val="19"/>
              </w:rPr>
              <w:t xml:space="preserve">Security</w:t>
            </w:r>
          </w:p>
        </w:tc>
        <w:tc>
          <w:tcPr>
            <w:tcW w:type="dxa" w:w="3753"/>
            <w:tcMar>
              <w:top w:w="40" w:type="dxa"/>
              <w:bottom w:w="40" w:type="dxa"/>
            </w:tcMar>
          </w:tcPr>
          <w:p>
            <w:pPr>
              <w:pStyle w:val="Compact"/>
              <w:spacing w:line="252" w:lineRule="auto" w:after="20" w:before="20"/>
              <w:jc w:val="left"/>
            </w:pPr>
            <w:r>
              <w:rPr>
                <w:rFonts w:ascii="Times New Roman" w:hAnsi="Times New Roman"/>
                <w:sz w:val="19"/>
              </w:rPr>
              <w:t xml:space="preserve">External vulnerability scan before pilot</w:t>
            </w:r>
          </w:p>
        </w:tc>
        <w:tc>
          <w:tcPr>
            <w:tcW w:type="dxa" w:w="2997"/>
            <w:tcMar>
              <w:top w:w="40" w:type="dxa"/>
              <w:bottom w:w="40" w:type="dxa"/>
            </w:tcMar>
          </w:tcPr>
          <w:p>
            <w:pPr>
              <w:pStyle w:val="Compact"/>
              <w:spacing w:line="252" w:lineRule="auto" w:after="20" w:before="20"/>
              <w:jc w:val="left"/>
            </w:pPr>
            <w:r>
              <w:rPr>
                <w:rFonts w:ascii="Times New Roman" w:hAnsi="Times New Roman"/>
                <w:sz w:val="19"/>
              </w:rPr>
              <w:t xml:space="preserve">No high or critical findings open</w:t>
            </w:r>
          </w:p>
        </w:tc>
      </w:tr>
    </w:tbl>
    <w:p>
      <w:pPr>
        <w:pStyle w:val="Heading2"/>
        <w:spacing w:before="160"/>
      </w:pPr>
      <w:r>
        <w:t xml:space="preserve">12.3 Broker demo script (15 minutes)</w:t>
      </w:r>
    </w:p>
    <w:p>
      <w:pPr>
        <w:pStyle w:val="Compact"/>
        <w:numPr>
          <w:ilvl w:val="0"/>
          <w:numId w:val="1007"/>
        </w:numPr>
        <w:spacing w:after="60" w:line="324" w:lineRule="auto"/>
      </w:pPr>
      <w:r>
        <w:rPr>
          <w:b/>
          <w:bCs/>
        </w:rPr>
        <w:t xml:space="preserve">Portfolio Home (2 min):</w:t>
      </w:r>
      <w:r>
        <w:t xml:space="preserve"> </w:t>
      </w:r>
      <w:r>
        <w:t xml:space="preserve">“</w:t>
      </w:r>
      <w:r>
        <w:t xml:space="preserve">Here are your 38 clients; 7 renew in 90 days, 2 at high risk.</w:t>
      </w:r>
      <w:r>
        <w:t xml:space="preserve">”</w:t>
      </w:r>
    </w:p>
    <w:p>
      <w:pPr>
        <w:pStyle w:val="Compact"/>
        <w:numPr>
          <w:ilvl w:val="0"/>
          <w:numId w:val="1007"/>
        </w:numPr>
        <w:spacing w:after="60" w:line="324" w:lineRule="auto"/>
      </w:pPr>
      <w:r>
        <w:rPr>
          <w:b/>
          <w:bCs/>
        </w:rPr>
        <w:t xml:space="preserve">Benchmarking Cockpit (4 min):</w:t>
      </w:r>
      <w:r>
        <w:t xml:space="preserve"> </w:t>
      </w:r>
      <w:r>
        <w:t xml:space="preserve">open Acme Tech; show claims ratio 18 points above peers and a +18.9% forecast.</w:t>
      </w:r>
    </w:p>
    <w:p>
      <w:pPr>
        <w:pStyle w:val="Compact"/>
        <w:numPr>
          <w:ilvl w:val="0"/>
          <w:numId w:val="1007"/>
        </w:numPr>
        <w:spacing w:after="60" w:line="324" w:lineRule="auto"/>
      </w:pPr>
      <w:r>
        <w:rPr>
          <w:b/>
          <w:bCs/>
        </w:rPr>
        <w:t xml:space="preserve">Simulation Lab (3 min):</w:t>
      </w:r>
      <w:r>
        <w:t xml:space="preserve"> </w:t>
      </w:r>
      <w:r>
        <w:t xml:space="preserve">apply a 10% parents’ co-pay and a 1% room-rent cap; premium per life falls 15.3%.</w:t>
      </w:r>
    </w:p>
    <w:p>
      <w:pPr>
        <w:pStyle w:val="Compact"/>
        <w:numPr>
          <w:ilvl w:val="0"/>
          <w:numId w:val="1007"/>
        </w:numPr>
        <w:spacing w:after="60" w:line="324" w:lineRule="auto"/>
      </w:pPr>
      <w:r>
        <w:rPr>
          <w:b/>
          <w:bCs/>
        </w:rPr>
        <w:t xml:space="preserve">Quote Desk (4 min):</w:t>
      </w:r>
      <w:r>
        <w:t xml:space="preserve"> </w:t>
      </w:r>
      <w:r>
        <w:t xml:space="preserve">drop in five quote PDFs; show extraction, flags and the draft recommendation.</w:t>
      </w:r>
    </w:p>
    <w:p>
      <w:pPr>
        <w:pStyle w:val="Compact"/>
        <w:numPr>
          <w:ilvl w:val="0"/>
          <w:numId w:val="1007"/>
        </w:numPr>
        <w:spacing w:after="60" w:line="324" w:lineRule="auto"/>
      </w:pPr>
      <w:r>
        <w:rPr>
          <w:b/>
          <w:bCs/>
        </w:rPr>
        <w:t xml:space="preserve">Close (2 min):</w:t>
      </w:r>
      <w:r>
        <w:t xml:space="preserve"> </w:t>
      </w:r>
      <w:r>
        <w:t xml:space="preserve">“</w:t>
      </w:r>
      <w:r>
        <w:t xml:space="preserve">Let’s run this on three of your clients for 90 days and measure the hours saved.</w:t>
      </w:r>
      <w:r>
        <w:t xml:space="preserve">”</w:t>
      </w:r>
    </w:p>
    <w:p>
      <w:pPr>
        <w:pStyle w:val="Heading1"/>
      </w:pPr>
      <w:r>
        <w:t xml:space="preserve">13. Success Metrics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640"/>
        <w:gridCol w:w="3107"/>
        <w:gridCol w:w="1430"/>
        <w:gridCol w:w="1850"/>
      </w:tblGrid>
      <w:tr>
        <w:trPr>
          <w:cantSplit w:val="true"/>
          <w:tblHeader w:val="true"/>
        </w:trPr>
        <w:tc>
          <w:tcPr>
            <w:tcW w:type="dxa" w:w="264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Metric</w:t>
            </w:r>
          </w:p>
        </w:tc>
        <w:tc>
          <w:tcPr>
            <w:tcW w:type="dxa" w:w="310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Definition</w:t>
            </w:r>
          </w:p>
        </w:tc>
        <w:tc>
          <w:tcPr>
            <w:tcW w:type="dxa" w:w="143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Pilot target</w:t>
            </w:r>
          </w:p>
        </w:tc>
        <w:tc>
          <w:tcPr>
            <w:tcW w:type="dxa" w:w="18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Source</w:t>
            </w:r>
          </w:p>
        </w:tc>
      </w:tr>
      <w:tr>
        <w:trPr>
          <w:cantSplit w:val="true"/>
        </w:trPr>
        <w:tc>
          <w:tcPr>
            <w:tcW w:type="dxa" w:w="2640"/>
            <w:tcMar>
              <w:top w:w="40" w:type="dxa"/>
              <w:bottom w:w="40" w:type="dxa"/>
            </w:tcMar>
          </w:tcPr>
          <w:p>
            <w:pPr>
              <w:pStyle w:val="Compact"/>
              <w:spacing w:line="252" w:lineRule="auto" w:after="20" w:before="20"/>
              <w:jc w:val="left"/>
            </w:pPr>
            <w:r>
              <w:rPr>
                <w:rFonts w:ascii="Times New Roman" w:hAnsi="Times New Roman"/>
                <w:sz w:val="19"/>
              </w:rPr>
              <w:t xml:space="preserve">Renewal prep time</w:t>
            </w:r>
          </w:p>
        </w:tc>
        <w:tc>
          <w:tcPr>
            <w:tcW w:type="dxa" w:w="3107"/>
            <w:tcMar>
              <w:top w:w="40" w:type="dxa"/>
              <w:bottom w:w="40" w:type="dxa"/>
            </w:tcMar>
          </w:tcPr>
          <w:p>
            <w:pPr>
              <w:pStyle w:val="Compact"/>
              <w:spacing w:line="252" w:lineRule="auto" w:after="20" w:before="20"/>
              <w:jc w:val="left"/>
            </w:pPr>
            <w:r>
              <w:rPr>
                <w:rFonts w:ascii="Times New Roman" w:hAnsi="Times New Roman"/>
                <w:sz w:val="19"/>
              </w:rPr>
              <w:t xml:space="preserve">Hours per renewal pack vs baseline</w:t>
            </w:r>
          </w:p>
        </w:tc>
        <w:tc>
          <w:tcPr>
            <w:tcW w:type="dxa" w:w="1431"/>
            <w:tcMar>
              <w:top w:w="40" w:type="dxa"/>
              <w:bottom w:w="40" w:type="dxa"/>
            </w:tcMar>
          </w:tcPr>
          <w:p>
            <w:pPr>
              <w:pStyle w:val="Compact"/>
              <w:spacing w:line="252" w:lineRule="auto" w:after="20" w:before="20"/>
              <w:jc w:val="left"/>
            </w:pPr>
            <w:r>
              <w:rPr>
                <w:rFonts w:ascii="Times New Roman" w:hAnsi="Times New Roman"/>
                <w:sz w:val="19"/>
              </w:rPr>
              <w:t xml:space="preserve">−50%</w:t>
            </w:r>
          </w:p>
        </w:tc>
        <w:tc>
          <w:tcPr>
            <w:tcW w:type="dxa" w:w="1851"/>
            <w:tcMar>
              <w:top w:w="40" w:type="dxa"/>
              <w:bottom w:w="40" w:type="dxa"/>
            </w:tcMar>
          </w:tcPr>
          <w:p>
            <w:pPr>
              <w:pStyle w:val="Compact"/>
              <w:spacing w:line="252" w:lineRule="auto" w:after="20" w:before="20"/>
              <w:jc w:val="left"/>
            </w:pPr>
            <w:r>
              <w:rPr>
                <w:rFonts w:ascii="Times New Roman" w:hAnsi="Times New Roman"/>
                <w:sz w:val="19"/>
              </w:rPr>
              <w:t xml:space="preserve">Report KPI 13.4</w:t>
            </w:r>
          </w:p>
        </w:tc>
      </w:tr>
      <w:tr>
        <w:trPr>
          <w:cantSplit w:val="true"/>
        </w:trPr>
        <w:tc>
          <w:tcPr>
            <w:tcW w:type="dxa" w:w="26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Extraction accuracy</w:t>
            </w:r>
          </w:p>
        </w:tc>
        <w:tc>
          <w:tcPr>
            <w:tcW w:type="dxa" w:w="310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Correct fields ÷ total fields</w:t>
            </w:r>
          </w:p>
        </w:tc>
        <w:tc>
          <w:tcPr>
            <w:tcW w:type="dxa" w:w="1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≥95%</w:t>
            </w:r>
          </w:p>
        </w:tc>
        <w:tc>
          <w:tcPr>
            <w:tcW w:type="dxa" w:w="18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Report 7.3</w:t>
            </w:r>
          </w:p>
        </w:tc>
      </w:tr>
      <w:tr>
        <w:trPr>
          <w:cantSplit w:val="true"/>
        </w:trPr>
        <w:tc>
          <w:tcPr>
            <w:tcW w:type="dxa" w:w="2640"/>
            <w:tcMar>
              <w:top w:w="40" w:type="dxa"/>
              <w:bottom w:w="40" w:type="dxa"/>
            </w:tcMar>
          </w:tcPr>
          <w:p>
            <w:pPr>
              <w:pStyle w:val="Compact"/>
              <w:spacing w:line="252" w:lineRule="auto" w:after="20" w:before="20"/>
              <w:jc w:val="left"/>
            </w:pPr>
            <w:r>
              <w:rPr>
                <w:rFonts w:ascii="Times New Roman" w:hAnsi="Times New Roman"/>
                <w:sz w:val="19"/>
              </w:rPr>
              <w:t xml:space="preserve">Forecast error</w:t>
            </w:r>
          </w:p>
        </w:tc>
        <w:tc>
          <w:tcPr>
            <w:tcW w:type="dxa" w:w="3107"/>
            <w:tcMar>
              <w:top w:w="40" w:type="dxa"/>
              <w:bottom w:w="40" w:type="dxa"/>
            </w:tcMar>
          </w:tcPr>
          <w:p>
            <w:pPr>
              <w:pStyle w:val="Compact"/>
              <w:spacing w:line="252" w:lineRule="auto" w:after="20" w:before="20"/>
              <w:jc w:val="left"/>
            </w:pPr>
            <w:r>
              <w:rPr>
                <w:rFonts w:ascii="Times New Roman" w:hAnsi="Times New Roman"/>
                <w:sz w:val="19"/>
              </w:rPr>
              <w:t xml:space="preserve">Mean absolute error, pts</w:t>
            </w:r>
          </w:p>
        </w:tc>
        <w:tc>
          <w:tcPr>
            <w:tcW w:type="dxa" w:w="1431"/>
            <w:tcMar>
              <w:top w:w="40" w:type="dxa"/>
              <w:bottom w:w="40" w:type="dxa"/>
            </w:tcMar>
          </w:tcPr>
          <w:p>
            <w:pPr>
              <w:pStyle w:val="Compact"/>
              <w:spacing w:line="252" w:lineRule="auto" w:after="20" w:before="20"/>
              <w:jc w:val="left"/>
            </w:pPr>
            <w:r>
              <w:rPr>
                <w:rFonts w:ascii="Times New Roman" w:hAnsi="Times New Roman"/>
                <w:sz w:val="19"/>
              </w:rPr>
              <w:t xml:space="preserve">≤5</w:t>
            </w:r>
          </w:p>
        </w:tc>
        <w:tc>
          <w:tcPr>
            <w:tcW w:type="dxa" w:w="1851"/>
            <w:tcMar>
              <w:top w:w="40" w:type="dxa"/>
              <w:bottom w:w="40" w:type="dxa"/>
            </w:tcMar>
          </w:tcPr>
          <w:p>
            <w:pPr>
              <w:pStyle w:val="Compact"/>
              <w:spacing w:line="252" w:lineRule="auto" w:after="20" w:before="20"/>
              <w:jc w:val="left"/>
            </w:pPr>
            <w:r>
              <w:rPr>
                <w:rFonts w:ascii="Times New Roman" w:hAnsi="Times New Roman"/>
                <w:sz w:val="19"/>
              </w:rPr>
              <w:t xml:space="preserve">Report 7.3</w:t>
            </w:r>
          </w:p>
        </w:tc>
      </w:tr>
      <w:tr>
        <w:trPr>
          <w:cantSplit w:val="true"/>
        </w:trPr>
        <w:tc>
          <w:tcPr>
            <w:tcW w:type="dxa" w:w="26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Broker weekly active users</w:t>
            </w:r>
          </w:p>
        </w:tc>
        <w:tc>
          <w:tcPr>
            <w:tcW w:type="dxa" w:w="310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Active users ÷ licensed users</w:t>
            </w:r>
          </w:p>
        </w:tc>
        <w:tc>
          <w:tcPr>
            <w:tcW w:type="dxa" w:w="1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≥70% by day 60</w:t>
            </w:r>
          </w:p>
        </w:tc>
        <w:tc>
          <w:tcPr>
            <w:tcW w:type="dxa" w:w="18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Report 11.1</w:t>
            </w:r>
          </w:p>
        </w:tc>
      </w:tr>
      <w:tr>
        <w:trPr>
          <w:cantSplit w:val="true"/>
        </w:trPr>
        <w:tc>
          <w:tcPr>
            <w:tcW w:type="dxa" w:w="2640"/>
            <w:tcMar>
              <w:top w:w="40" w:type="dxa"/>
              <w:bottom w:w="40" w:type="dxa"/>
            </w:tcMar>
          </w:tcPr>
          <w:p>
            <w:pPr>
              <w:pStyle w:val="Compact"/>
              <w:spacing w:line="252" w:lineRule="auto" w:after="20" w:before="20"/>
              <w:jc w:val="left"/>
            </w:pPr>
            <w:r>
              <w:rPr>
                <w:rFonts w:ascii="Times New Roman" w:hAnsi="Times New Roman"/>
                <w:sz w:val="19"/>
              </w:rPr>
              <w:t xml:space="preserve">Employee activation</w:t>
            </w:r>
          </w:p>
        </w:tc>
        <w:tc>
          <w:tcPr>
            <w:tcW w:type="dxa" w:w="3107"/>
            <w:tcMar>
              <w:top w:w="40" w:type="dxa"/>
              <w:bottom w:w="40" w:type="dxa"/>
            </w:tcMar>
          </w:tcPr>
          <w:p>
            <w:pPr>
              <w:pStyle w:val="Compact"/>
              <w:spacing w:line="252" w:lineRule="auto" w:after="20" w:before="20"/>
              <w:jc w:val="left"/>
            </w:pPr>
            <w:r>
              <w:rPr>
                <w:rFonts w:ascii="Times New Roman" w:hAnsi="Times New Roman"/>
                <w:sz w:val="19"/>
              </w:rPr>
              <w:t xml:space="preserve">Employees acting on ≥1 nudge ÷ eligible</w:t>
            </w:r>
          </w:p>
        </w:tc>
        <w:tc>
          <w:tcPr>
            <w:tcW w:type="dxa" w:w="1431"/>
            <w:tcMar>
              <w:top w:w="40" w:type="dxa"/>
              <w:bottom w:w="40" w:type="dxa"/>
            </w:tcMar>
          </w:tcPr>
          <w:p>
            <w:pPr>
              <w:pStyle w:val="Compact"/>
              <w:spacing w:line="252" w:lineRule="auto" w:after="20" w:before="20"/>
              <w:jc w:val="left"/>
            </w:pPr>
            <w:r>
              <w:rPr>
                <w:rFonts w:ascii="Times New Roman" w:hAnsi="Times New Roman"/>
                <w:sz w:val="19"/>
              </w:rPr>
              <w:t xml:space="preserve">≥60%</w:t>
            </w:r>
          </w:p>
        </w:tc>
        <w:tc>
          <w:tcPr>
            <w:tcW w:type="dxa" w:w="1851"/>
            <w:tcMar>
              <w:top w:w="40" w:type="dxa"/>
              <w:bottom w:w="40" w:type="dxa"/>
            </w:tcMar>
          </w:tcPr>
          <w:p>
            <w:pPr>
              <w:pStyle w:val="Compact"/>
              <w:spacing w:line="252" w:lineRule="auto" w:after="20" w:before="20"/>
              <w:jc w:val="left"/>
            </w:pPr>
            <w:r>
              <w:rPr>
                <w:rFonts w:ascii="Times New Roman" w:hAnsi="Times New Roman"/>
                <w:sz w:val="19"/>
              </w:rPr>
              <w:t xml:space="preserve">Report 13.4</w:t>
            </w:r>
          </w:p>
        </w:tc>
      </w:tr>
      <w:tr>
        <w:trPr>
          <w:cantSplit w:val="true"/>
        </w:trPr>
        <w:tc>
          <w:tcPr>
            <w:tcW w:type="dxa" w:w="26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Insights accepted without edits</w:t>
            </w:r>
          </w:p>
        </w:tc>
        <w:tc>
          <w:tcPr>
            <w:tcW w:type="dxa" w:w="310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Accepted ÷ shown</w:t>
            </w:r>
          </w:p>
        </w:tc>
        <w:tc>
          <w:tcPr>
            <w:tcW w:type="dxa" w:w="1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≥80%</w:t>
            </w:r>
          </w:p>
        </w:tc>
        <w:tc>
          <w:tcPr>
            <w:tcW w:type="dxa" w:w="18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Report Appendix C</w:t>
            </w:r>
          </w:p>
        </w:tc>
      </w:tr>
      <w:tr>
        <w:trPr>
          <w:cantSplit w:val="true"/>
        </w:trPr>
        <w:tc>
          <w:tcPr>
            <w:tcW w:type="dxa" w:w="2640"/>
            <w:tcMar>
              <w:top w:w="40" w:type="dxa"/>
              <w:bottom w:w="40" w:type="dxa"/>
            </w:tcMar>
          </w:tcPr>
          <w:p>
            <w:pPr>
              <w:pStyle w:val="Compact"/>
              <w:spacing w:line="252" w:lineRule="auto" w:after="20" w:before="20"/>
              <w:jc w:val="left"/>
            </w:pPr>
            <w:r>
              <w:rPr>
                <w:rFonts w:ascii="Times New Roman" w:hAnsi="Times New Roman"/>
                <w:sz w:val="19"/>
              </w:rPr>
              <w:t xml:space="preserve">Pilot-to-paid conversion</w:t>
            </w:r>
          </w:p>
        </w:tc>
        <w:tc>
          <w:tcPr>
            <w:tcW w:type="dxa" w:w="3107"/>
            <w:tcMar>
              <w:top w:w="40" w:type="dxa"/>
              <w:bottom w:w="40" w:type="dxa"/>
            </w:tcMar>
          </w:tcPr>
          <w:p>
            <w:pPr>
              <w:pStyle w:val="Compact"/>
              <w:spacing w:line="252" w:lineRule="auto" w:after="20" w:before="20"/>
              <w:jc w:val="left"/>
            </w:pPr>
            <w:r>
              <w:rPr>
                <w:rFonts w:ascii="Times New Roman" w:hAnsi="Times New Roman"/>
                <w:sz w:val="19"/>
              </w:rPr>
              <w:t xml:space="preserve">Paid ÷ pilots</w:t>
            </w:r>
          </w:p>
        </w:tc>
        <w:tc>
          <w:tcPr>
            <w:tcW w:type="dxa" w:w="1431"/>
            <w:tcMar>
              <w:top w:w="40" w:type="dxa"/>
              <w:bottom w:w="40" w:type="dxa"/>
            </w:tcMar>
          </w:tcPr>
          <w:p>
            <w:pPr>
              <w:pStyle w:val="Compact"/>
              <w:spacing w:line="252" w:lineRule="auto" w:after="20" w:before="20"/>
              <w:jc w:val="left"/>
            </w:pPr>
            <w:r>
              <w:rPr>
                <w:rFonts w:ascii="Times New Roman" w:hAnsi="Times New Roman"/>
                <w:sz w:val="19"/>
              </w:rPr>
              <w:t xml:space="preserve">≥50%</w:t>
            </w:r>
          </w:p>
        </w:tc>
        <w:tc>
          <w:tcPr>
            <w:tcW w:type="dxa" w:w="1851"/>
            <w:tcMar>
              <w:top w:w="40" w:type="dxa"/>
              <w:bottom w:w="40" w:type="dxa"/>
            </w:tcMar>
          </w:tcPr>
          <w:p>
            <w:pPr>
              <w:pStyle w:val="Compact"/>
              <w:spacing w:line="252" w:lineRule="auto" w:after="20" w:before="20"/>
              <w:jc w:val="left"/>
            </w:pPr>
            <w:r>
              <w:rPr>
                <w:rFonts w:ascii="Times New Roman" w:hAnsi="Times New Roman"/>
                <w:sz w:val="19"/>
              </w:rPr>
              <w:t xml:space="preserve">Report 13.4</w:t>
            </w:r>
          </w:p>
        </w:tc>
      </w:tr>
      <w:tr>
        <w:trPr>
          <w:cantSplit w:val="true"/>
        </w:trPr>
        <w:tc>
          <w:tcPr>
            <w:tcW w:type="dxa" w:w="264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Time to first value</w:t>
            </w:r>
          </w:p>
        </w:tc>
        <w:tc>
          <w:tcPr>
            <w:tcW w:type="dxa" w:w="310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Contract to first client live</w:t>
            </w:r>
          </w:p>
        </w:tc>
        <w:tc>
          <w:tcPr>
            <w:tcW w:type="dxa" w:w="1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≤30 days</w:t>
            </w:r>
          </w:p>
        </w:tc>
        <w:tc>
          <w:tcPr>
            <w:tcW w:type="dxa" w:w="18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Report 11.1</w:t>
            </w:r>
          </w:p>
        </w:tc>
      </w:tr>
    </w:tbl>
    <w:p>
      <w:pPr>
        <w:pStyle w:val="Heading1"/>
        <w:spacing w:before="160"/>
      </w:pPr>
      <w:r>
        <w:t xml:space="preserve">14. Risks, Assumptions and Open Questions</w:t>
      </w:r>
    </w:p>
    <w:p>
      <w:pPr>
        <w:pStyle w:val="Heading2"/>
      </w:pPr>
      <w:r>
        <w:t xml:space="preserve">14.1 Prototype risks</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946"/>
        <w:gridCol w:w="2364"/>
        <w:gridCol w:w="3717"/>
      </w:tblGrid>
      <w:tr>
        <w:trPr>
          <w:cantSplit w:val="true"/>
          <w:tblHeader w:val="true"/>
        </w:trPr>
        <w:tc>
          <w:tcPr>
            <w:tcW w:type="dxa" w:w="294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Risk</w:t>
            </w:r>
          </w:p>
        </w:tc>
        <w:tc>
          <w:tcPr>
            <w:tcW w:type="dxa" w:w="2365"/>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Impact</w:t>
            </w:r>
          </w:p>
        </w:tc>
        <w:tc>
          <w:tcPr>
            <w:tcW w:type="dxa" w:w="3717"/>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Mitigation</w:t>
            </w:r>
          </w:p>
        </w:tc>
      </w:tr>
      <w:tr>
        <w:trPr>
          <w:cantSplit w:val="true"/>
        </w:trPr>
        <w:tc>
          <w:tcPr>
            <w:tcW w:type="dxa" w:w="2947"/>
            <w:tcMar>
              <w:top w:w="40" w:type="dxa"/>
              <w:bottom w:w="40" w:type="dxa"/>
            </w:tcMar>
          </w:tcPr>
          <w:p>
            <w:pPr>
              <w:pStyle w:val="Compact"/>
              <w:spacing w:line="252" w:lineRule="auto" w:after="20" w:before="20"/>
              <w:jc w:val="left"/>
            </w:pPr>
            <w:r>
              <w:rPr>
                <w:rFonts w:ascii="Times New Roman" w:hAnsi="Times New Roman"/>
                <w:sz w:val="19"/>
              </w:rPr>
              <w:t xml:space="preserve">Synthetic data makes models look better than reality</w:t>
            </w:r>
          </w:p>
        </w:tc>
        <w:tc>
          <w:tcPr>
            <w:tcW w:type="dxa" w:w="2365"/>
            <w:tcMar>
              <w:top w:w="40" w:type="dxa"/>
              <w:bottom w:w="40" w:type="dxa"/>
            </w:tcMar>
          </w:tcPr>
          <w:p>
            <w:pPr>
              <w:pStyle w:val="Compact"/>
              <w:spacing w:line="252" w:lineRule="auto" w:after="20" w:before="20"/>
              <w:jc w:val="left"/>
            </w:pPr>
            <w:r>
              <w:rPr>
                <w:rFonts w:ascii="Times New Roman" w:hAnsi="Times New Roman"/>
                <w:sz w:val="19"/>
              </w:rPr>
              <w:t xml:space="preserve">Over-confidence in AI accuracy</w:t>
            </w:r>
          </w:p>
        </w:tc>
        <w:tc>
          <w:tcPr>
            <w:tcW w:type="dxa" w:w="3717"/>
            <w:tcMar>
              <w:top w:w="40" w:type="dxa"/>
              <w:bottom w:w="40" w:type="dxa"/>
            </w:tcMar>
          </w:tcPr>
          <w:p>
            <w:pPr>
              <w:pStyle w:val="Compact"/>
              <w:spacing w:line="252" w:lineRule="auto" w:after="20" w:before="20"/>
              <w:jc w:val="left"/>
            </w:pPr>
            <w:r>
              <w:rPr>
                <w:rFonts w:ascii="Times New Roman" w:hAnsi="Times New Roman"/>
                <w:sz w:val="19"/>
              </w:rPr>
              <w:t xml:space="preserve">Label every screen</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synthetic</w:t>
            </w:r>
            <w:r>
              <w:rPr>
                <w:rFonts w:ascii="Times New Roman" w:hAnsi="Times New Roman"/>
                <w:sz w:val="19"/>
              </w:rPr>
              <w:t xml:space="preserve">”</w:t>
            </w:r>
            <w:r>
              <w:rPr>
                <w:rFonts w:ascii="Times New Roman" w:hAnsi="Times New Roman"/>
                <w:sz w:val="19"/>
              </w:rPr>
              <w:t xml:space="preserve">; re-test on pilot data before any client claim</w:t>
            </w:r>
          </w:p>
        </w:tc>
      </w:tr>
      <w:tr>
        <w:trPr>
          <w:cantSplit w:val="true"/>
        </w:trPr>
        <w:tc>
          <w:tcPr>
            <w:tcW w:type="dxa" w:w="294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Too few real quotes to test extraction</w:t>
            </w:r>
          </w:p>
        </w:tc>
        <w:tc>
          <w:tcPr>
            <w:tcW w:type="dxa" w:w="236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Cannot prove ≥95% accuracy</w:t>
            </w:r>
          </w:p>
        </w:tc>
        <w:tc>
          <w:tcPr>
            <w:tcW w:type="dxa" w:w="371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Collect 50 quotes in the first two pilots as a condition of the pilot</w:t>
            </w:r>
          </w:p>
        </w:tc>
      </w:tr>
      <w:tr>
        <w:trPr>
          <w:cantSplit w:val="true"/>
        </w:trPr>
        <w:tc>
          <w:tcPr>
            <w:tcW w:type="dxa" w:w="2947"/>
            <w:tcMar>
              <w:top w:w="40" w:type="dxa"/>
              <w:bottom w:w="40" w:type="dxa"/>
            </w:tcMar>
          </w:tcPr>
          <w:p>
            <w:pPr>
              <w:pStyle w:val="Compact"/>
              <w:spacing w:line="252" w:lineRule="auto" w:after="20" w:before="20"/>
              <w:jc w:val="left"/>
            </w:pPr>
            <w:r>
              <w:rPr>
                <w:rFonts w:ascii="Times New Roman" w:hAnsi="Times New Roman"/>
                <w:sz w:val="19"/>
              </w:rPr>
              <w:t xml:space="preserve">Brokers reluctant to share data</w:t>
            </w:r>
          </w:p>
        </w:tc>
        <w:tc>
          <w:tcPr>
            <w:tcW w:type="dxa" w:w="2365"/>
            <w:tcMar>
              <w:top w:w="40" w:type="dxa"/>
              <w:bottom w:w="40" w:type="dxa"/>
            </w:tcMar>
          </w:tcPr>
          <w:p>
            <w:pPr>
              <w:pStyle w:val="Compact"/>
              <w:spacing w:line="252" w:lineRule="auto" w:after="20" w:before="20"/>
              <w:jc w:val="left"/>
            </w:pPr>
            <w:r>
              <w:rPr>
                <w:rFonts w:ascii="Times New Roman" w:hAnsi="Times New Roman"/>
                <w:sz w:val="19"/>
              </w:rPr>
              <w:t xml:space="preserve">Benchmark pool stays small</w:t>
            </w:r>
          </w:p>
        </w:tc>
        <w:tc>
          <w:tcPr>
            <w:tcW w:type="dxa" w:w="3717"/>
            <w:tcMar>
              <w:top w:w="40" w:type="dxa"/>
              <w:bottom w:w="40" w:type="dxa"/>
            </w:tcMar>
          </w:tcPr>
          <w:p>
            <w:pPr>
              <w:pStyle w:val="Compact"/>
              <w:spacing w:line="252" w:lineRule="auto" w:after="20" w:before="20"/>
              <w:jc w:val="left"/>
            </w:pPr>
            <w:r>
              <w:rPr>
                <w:rFonts w:ascii="Times New Roman" w:hAnsi="Times New Roman"/>
                <w:sz w:val="19"/>
              </w:rPr>
              <w:t xml:space="preserve">Start with portfolio benchmarking (works with one broker); pooled-data clause in contracts</w:t>
            </w:r>
          </w:p>
        </w:tc>
      </w:tr>
      <w:tr>
        <w:trPr>
          <w:cantSplit w:val="true"/>
        </w:trPr>
        <w:tc>
          <w:tcPr>
            <w:tcW w:type="dxa" w:w="294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Scope creep from custom requests</w:t>
            </w:r>
          </w:p>
        </w:tc>
        <w:tc>
          <w:tcPr>
            <w:tcW w:type="dxa" w:w="236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Delays</w:t>
            </w:r>
          </w:p>
        </w:tc>
        <w:tc>
          <w:tcPr>
            <w:tcW w:type="dxa" w:w="3717"/>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Apply the report’s product governance rule: core / configurable / paid custom / reject</w:t>
            </w:r>
          </w:p>
        </w:tc>
      </w:tr>
      <w:tr>
        <w:trPr>
          <w:cantSplit w:val="true"/>
        </w:trPr>
        <w:tc>
          <w:tcPr>
            <w:tcW w:type="dxa" w:w="2947"/>
            <w:tcMar>
              <w:top w:w="40" w:type="dxa"/>
              <w:bottom w:w="40" w:type="dxa"/>
            </w:tcMar>
          </w:tcPr>
          <w:p>
            <w:pPr>
              <w:pStyle w:val="Compact"/>
              <w:spacing w:line="252" w:lineRule="auto" w:after="20" w:before="20"/>
              <w:jc w:val="left"/>
            </w:pPr>
            <w:r>
              <w:rPr>
                <w:rFonts w:ascii="Times New Roman" w:hAnsi="Times New Roman"/>
                <w:sz w:val="19"/>
              </w:rPr>
              <w:t xml:space="preserve">Regulatory boundary on comparison</w:t>
            </w:r>
          </w:p>
        </w:tc>
        <w:tc>
          <w:tcPr>
            <w:tcW w:type="dxa" w:w="2365"/>
            <w:tcMar>
              <w:top w:w="40" w:type="dxa"/>
              <w:bottom w:w="40" w:type="dxa"/>
            </w:tcMar>
          </w:tcPr>
          <w:p>
            <w:pPr>
              <w:pStyle w:val="Compact"/>
              <w:spacing w:line="252" w:lineRule="auto" w:after="20" w:before="20"/>
              <w:jc w:val="left"/>
            </w:pPr>
            <w:r>
              <w:rPr>
                <w:rFonts w:ascii="Times New Roman" w:hAnsi="Times New Roman"/>
                <w:sz w:val="19"/>
              </w:rPr>
              <w:t xml:space="preserve">Legal risk</w:t>
            </w:r>
          </w:p>
        </w:tc>
        <w:tc>
          <w:tcPr>
            <w:tcW w:type="dxa" w:w="3717"/>
            <w:tcMar>
              <w:top w:w="40" w:type="dxa"/>
              <w:bottom w:w="40" w:type="dxa"/>
            </w:tcMar>
          </w:tcPr>
          <w:p>
            <w:pPr>
              <w:pStyle w:val="Compact"/>
              <w:spacing w:line="252" w:lineRule="auto" w:after="20" w:before="20"/>
              <w:jc w:val="left"/>
            </w:pPr>
            <w:r>
              <w:rPr>
                <w:rFonts w:ascii="Times New Roman" w:hAnsi="Times New Roman"/>
                <w:sz w:val="19"/>
              </w:rPr>
              <w:t xml:space="preserve">Broker-facing only; legal opinion before launch</w:t>
            </w:r>
          </w:p>
        </w:tc>
      </w:tr>
    </w:tbl>
    <w:p>
      <w:pPr>
        <w:pStyle w:val="Heading2"/>
        <w:spacing w:before="160"/>
      </w:pPr>
      <w:r>
        <w:t xml:space="preserve">14.2 Assumptions</w:t>
      </w:r>
    </w:p>
    <w:p>
      <w:pPr>
        <w:pStyle w:val="Compact"/>
        <w:numPr>
          <w:ilvl w:val="0"/>
          <w:numId w:val="1008"/>
        </w:numPr>
        <w:spacing w:after="60" w:line="324" w:lineRule="auto"/>
      </w:pPr>
      <w:r>
        <w:t xml:space="preserve">NivoTime’s existing Flex, TPA-integration and analytics code can be reused for data ingestion and dashboards; the extent is not yet confirmed (report Appendix B).</w:t>
      </w:r>
    </w:p>
    <w:p>
      <w:pPr>
        <w:pStyle w:val="Compact"/>
        <w:numPr>
          <w:ilvl w:val="0"/>
          <w:numId w:val="1008"/>
        </w:numPr>
        <w:spacing w:after="60" w:line="324" w:lineRule="auto"/>
      </w:pPr>
      <w:r>
        <w:t xml:space="preserve">Pilot brokers will provide anonymised claims and census data under a data-processing agreement.</w:t>
      </w:r>
    </w:p>
    <w:p>
      <w:pPr>
        <w:pStyle w:val="Compact"/>
        <w:numPr>
          <w:ilvl w:val="0"/>
          <w:numId w:val="1008"/>
        </w:numPr>
        <w:spacing w:after="60" w:line="324" w:lineRule="auto"/>
      </w:pPr>
      <w:r>
        <w:t xml:space="preserve">Pricing and business-case figures follow report assumptions A1–A14 and are illustrative.</w:t>
      </w:r>
    </w:p>
    <w:p>
      <w:pPr>
        <w:pStyle w:val="Heading2"/>
      </w:pPr>
      <w:r>
        <w:t xml:space="preserve">14.3 Open questions for NivoTime</w:t>
      </w:r>
    </w:p>
    <w:p>
      <w:pPr>
        <w:pStyle w:val="Compact"/>
        <w:numPr>
          <w:ilvl w:val="0"/>
          <w:numId w:val="1009"/>
        </w:numPr>
        <w:spacing w:after="60" w:line="324" w:lineRule="auto"/>
      </w:pPr>
      <w:r>
        <w:t xml:space="preserve">Which of the described features (benchmarking dashboard, vendor management, quote comparison) already exist in code, and in what state?</w:t>
      </w:r>
    </w:p>
    <w:p>
      <w:pPr>
        <w:pStyle w:val="Compact"/>
        <w:numPr>
          <w:ilvl w:val="0"/>
          <w:numId w:val="1009"/>
        </w:numPr>
        <w:spacing w:after="60" w:line="324" w:lineRule="auto"/>
      </w:pPr>
      <w:r>
        <w:t xml:space="preserve">How many insurers and TPAs send data in a usable format today?</w:t>
      </w:r>
    </w:p>
    <w:p>
      <w:pPr>
        <w:pStyle w:val="Compact"/>
        <w:numPr>
          <w:ilvl w:val="0"/>
          <w:numId w:val="1009"/>
        </w:numPr>
        <w:spacing w:after="60" w:line="324" w:lineRule="auto"/>
      </w:pPr>
      <w:r>
        <w:t xml:space="preserve">Which CRM, if any, is in use, so S8 can connect to it?</w:t>
      </w:r>
    </w:p>
    <w:p>
      <w:pPr>
        <w:pStyle w:val="Compact"/>
        <w:numPr>
          <w:ilvl w:val="0"/>
          <w:numId w:val="1009"/>
        </w:numPr>
        <w:spacing w:after="60" w:line="324" w:lineRule="auto"/>
      </w:pPr>
      <w:r>
        <w:t xml:space="preserve">Who will own the product (product manager) and the AI models during the pilot?</w:t>
      </w:r>
    </w:p>
    <w:p>
      <w:pPr>
        <w:pStyle w:val="Heading1"/>
      </w:pPr>
      <w:r>
        <w:t xml:space="preserve">15. Traceability Matrix</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3746"/>
        <w:gridCol w:w="2195"/>
        <w:gridCol w:w="1051"/>
        <w:gridCol w:w="2036"/>
      </w:tblGrid>
      <w:tr>
        <w:trPr>
          <w:cantSplit w:val="true"/>
          <w:tblHeader w:val="true"/>
        </w:trPr>
        <w:tc>
          <w:tcPr>
            <w:tcW w:type="dxa" w:w="374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Report recommendation (section)</w:t>
            </w:r>
          </w:p>
        </w:tc>
        <w:tc>
          <w:tcPr>
            <w:tcW w:type="dxa" w:w="2195"/>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PRD requirements</w:t>
            </w:r>
          </w:p>
        </w:tc>
        <w:tc>
          <w:tcPr>
            <w:tcW w:type="dxa" w:w="105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Screen</w:t>
            </w:r>
          </w:p>
        </w:tc>
        <w:tc>
          <w:tcPr>
            <w:tcW w:type="dxa" w:w="2036"/>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KPI</w:t>
            </w:r>
          </w:p>
        </w:tc>
      </w:tr>
      <w:tr>
        <w:trPr>
          <w:cantSplit w:val="true"/>
        </w:trPr>
        <w:tc>
          <w:tcPr>
            <w:tcW w:type="dxa" w:w="3746"/>
            <w:tcMar>
              <w:top w:w="40" w:type="dxa"/>
              <w:bottom w:w="40" w:type="dxa"/>
            </w:tcMar>
          </w:tcPr>
          <w:p>
            <w:pPr>
              <w:pStyle w:val="Compact"/>
              <w:spacing w:line="252" w:lineRule="auto" w:after="20" w:before="20"/>
              <w:jc w:val="left"/>
            </w:pPr>
            <w:r>
              <w:rPr>
                <w:rFonts w:ascii="Times New Roman" w:hAnsi="Times New Roman"/>
                <w:sz w:val="19"/>
              </w:rPr>
              <w:t xml:space="preserve">Benchmarking Cockpit with co-pay, size, family, SI filters (7.2, 7.4)</w:t>
            </w:r>
          </w:p>
        </w:tc>
        <w:tc>
          <w:tcPr>
            <w:tcW w:type="dxa" w:w="2195"/>
            <w:tcMar>
              <w:top w:w="40" w:type="dxa"/>
              <w:bottom w:w="40" w:type="dxa"/>
            </w:tcMar>
          </w:tcPr>
          <w:p>
            <w:pPr>
              <w:pStyle w:val="Compact"/>
              <w:spacing w:line="252" w:lineRule="auto" w:after="20" w:before="20"/>
              <w:jc w:val="left"/>
            </w:pPr>
            <w:r>
              <w:rPr>
                <w:rFonts w:ascii="Times New Roman" w:hAnsi="Times New Roman"/>
                <w:sz w:val="19"/>
              </w:rPr>
              <w:t xml:space="preserve">FR-10 to FR-15, AI-01</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S2</w:t>
            </w:r>
          </w:p>
        </w:tc>
        <w:tc>
          <w:tcPr>
            <w:tcW w:type="dxa" w:w="2036"/>
            <w:tcMar>
              <w:top w:w="40" w:type="dxa"/>
              <w:bottom w:w="40" w:type="dxa"/>
            </w:tcMar>
          </w:tcPr>
          <w:p>
            <w:pPr>
              <w:pStyle w:val="Compact"/>
              <w:spacing w:line="252" w:lineRule="auto" w:after="20" w:before="20"/>
              <w:jc w:val="left"/>
            </w:pPr>
            <w:r>
              <w:rPr>
                <w:rFonts w:ascii="Times New Roman" w:hAnsi="Times New Roman"/>
                <w:sz w:val="19"/>
              </w:rPr>
              <w:t xml:space="preserve">Insights accepted ≥80%</w:t>
            </w:r>
          </w:p>
        </w:tc>
      </w:tr>
      <w:tr>
        <w:trPr>
          <w:cantSplit w:val="true"/>
        </w:trPr>
        <w:tc>
          <w:tcPr>
            <w:tcW w:type="dxa" w:w="374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Quote &amp; Renewal Desk with AI extraction (7.2, 7.3)</w:t>
            </w:r>
          </w:p>
        </w:tc>
        <w:tc>
          <w:tcPr>
            <w:tcW w:type="dxa" w:w="219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FR-20 to FR-26, AI-04</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S3</w:t>
            </w:r>
          </w:p>
        </w:tc>
        <w:tc>
          <w:tcPr>
            <w:tcW w:type="dxa" w:w="20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Accuracy ≥95%; prep time −50%</w:t>
            </w:r>
          </w:p>
        </w:tc>
      </w:tr>
      <w:tr>
        <w:trPr>
          <w:cantSplit w:val="true"/>
        </w:trPr>
        <w:tc>
          <w:tcPr>
            <w:tcW w:type="dxa" w:w="3746"/>
            <w:tcMar>
              <w:top w:w="40" w:type="dxa"/>
              <w:bottom w:w="40" w:type="dxa"/>
            </w:tcMar>
          </w:tcPr>
          <w:p>
            <w:pPr>
              <w:pStyle w:val="Compact"/>
              <w:spacing w:line="252" w:lineRule="auto" w:after="20" w:before="20"/>
              <w:jc w:val="left"/>
            </w:pPr>
            <w:r>
              <w:rPr>
                <w:rFonts w:ascii="Times New Roman" w:hAnsi="Times New Roman"/>
                <w:sz w:val="19"/>
              </w:rPr>
              <w:t xml:space="preserve">Plan simulator and renewal forecast (7.3)</w:t>
            </w:r>
          </w:p>
        </w:tc>
        <w:tc>
          <w:tcPr>
            <w:tcW w:type="dxa" w:w="2195"/>
            <w:tcMar>
              <w:top w:w="40" w:type="dxa"/>
              <w:bottom w:w="40" w:type="dxa"/>
            </w:tcMar>
          </w:tcPr>
          <w:p>
            <w:pPr>
              <w:pStyle w:val="Compact"/>
              <w:spacing w:line="252" w:lineRule="auto" w:after="20" w:before="20"/>
              <w:jc w:val="left"/>
            </w:pPr>
            <w:r>
              <w:rPr>
                <w:rFonts w:ascii="Times New Roman" w:hAnsi="Times New Roman"/>
                <w:sz w:val="19"/>
              </w:rPr>
              <w:t xml:space="preserve">FR-30 to FR-35, AI-02, AI-03</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S4</w:t>
            </w:r>
          </w:p>
        </w:tc>
        <w:tc>
          <w:tcPr>
            <w:tcW w:type="dxa" w:w="2036"/>
            <w:tcMar>
              <w:top w:w="40" w:type="dxa"/>
              <w:bottom w:w="40" w:type="dxa"/>
            </w:tcMar>
          </w:tcPr>
          <w:p>
            <w:pPr>
              <w:pStyle w:val="Compact"/>
              <w:spacing w:line="252" w:lineRule="auto" w:after="20" w:before="20"/>
              <w:jc w:val="left"/>
            </w:pPr>
            <w:r>
              <w:rPr>
                <w:rFonts w:ascii="Times New Roman" w:hAnsi="Times New Roman"/>
                <w:sz w:val="19"/>
              </w:rPr>
              <w:t xml:space="preserve">Forecast error ≤5 pts</w:t>
            </w:r>
          </w:p>
        </w:tc>
      </w:tr>
      <w:tr>
        <w:trPr>
          <w:cantSplit w:val="true"/>
        </w:trPr>
        <w:tc>
          <w:tcPr>
            <w:tcW w:type="dxa" w:w="374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Vendor/TPA management (7.2)</w:t>
            </w:r>
          </w:p>
        </w:tc>
        <w:tc>
          <w:tcPr>
            <w:tcW w:type="dxa" w:w="219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FR-40 to FR-44</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S5</w:t>
            </w:r>
          </w:p>
        </w:tc>
        <w:tc>
          <w:tcPr>
            <w:tcW w:type="dxa" w:w="20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SLA compliance trend</w:t>
            </w:r>
          </w:p>
        </w:tc>
      </w:tr>
      <w:tr>
        <w:trPr>
          <w:cantSplit w:val="true"/>
        </w:trPr>
        <w:tc>
          <w:tcPr>
            <w:tcW w:type="dxa" w:w="3746"/>
            <w:tcMar>
              <w:top w:w="40" w:type="dxa"/>
              <w:bottom w:w="40" w:type="dxa"/>
            </w:tcMar>
          </w:tcPr>
          <w:p>
            <w:pPr>
              <w:pStyle w:val="Compact"/>
              <w:spacing w:line="252" w:lineRule="auto" w:after="20" w:before="20"/>
              <w:jc w:val="left"/>
            </w:pPr>
            <w:r>
              <w:rPr>
                <w:rFonts w:ascii="Times New Roman" w:hAnsi="Times New Roman"/>
                <w:sz w:val="19"/>
              </w:rPr>
              <w:t xml:space="preserve">Zero-login engagement (11.2)</w:t>
            </w:r>
          </w:p>
        </w:tc>
        <w:tc>
          <w:tcPr>
            <w:tcW w:type="dxa" w:w="2195"/>
            <w:tcMar>
              <w:top w:w="40" w:type="dxa"/>
              <w:bottom w:w="40" w:type="dxa"/>
            </w:tcMar>
          </w:tcPr>
          <w:p>
            <w:pPr>
              <w:pStyle w:val="Compact"/>
              <w:spacing w:line="252" w:lineRule="auto" w:after="20" w:before="20"/>
              <w:jc w:val="left"/>
            </w:pPr>
            <w:r>
              <w:rPr>
                <w:rFonts w:ascii="Times New Roman" w:hAnsi="Times New Roman"/>
                <w:sz w:val="19"/>
              </w:rPr>
              <w:t xml:space="preserve">FR-50 to FR-56</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S6</w:t>
            </w:r>
          </w:p>
        </w:tc>
        <w:tc>
          <w:tcPr>
            <w:tcW w:type="dxa" w:w="2036"/>
            <w:tcMar>
              <w:top w:w="40" w:type="dxa"/>
              <w:bottom w:w="40" w:type="dxa"/>
            </w:tcMar>
          </w:tcPr>
          <w:p>
            <w:pPr>
              <w:pStyle w:val="Compact"/>
              <w:spacing w:line="252" w:lineRule="auto" w:after="20" w:before="20"/>
              <w:jc w:val="left"/>
            </w:pPr>
            <w:r>
              <w:rPr>
                <w:rFonts w:ascii="Times New Roman" w:hAnsi="Times New Roman"/>
                <w:sz w:val="19"/>
              </w:rPr>
              <w:t xml:space="preserve">Activation ≥60%</w:t>
            </w:r>
          </w:p>
        </w:tc>
      </w:tr>
      <w:tr>
        <w:trPr>
          <w:cantSplit w:val="true"/>
        </w:trPr>
        <w:tc>
          <w:tcPr>
            <w:tcW w:type="dxa" w:w="374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Advisory &amp; consulting layer (7.2, 9.5)</w:t>
            </w:r>
          </w:p>
        </w:tc>
        <w:tc>
          <w:tcPr>
            <w:tcW w:type="dxa" w:w="219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FR-60 to FR-63</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S7</w:t>
            </w:r>
          </w:p>
        </w:tc>
        <w:tc>
          <w:tcPr>
            <w:tcW w:type="dxa" w:w="20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Advisory packs sold</w:t>
            </w:r>
          </w:p>
        </w:tc>
      </w:tr>
      <w:tr>
        <w:trPr>
          <w:cantSplit w:val="true"/>
        </w:trPr>
        <w:tc>
          <w:tcPr>
            <w:tcW w:type="dxa" w:w="3746"/>
            <w:tcMar>
              <w:top w:w="40" w:type="dxa"/>
              <w:bottom w:w="40" w:type="dxa"/>
            </w:tcMar>
          </w:tcPr>
          <w:p>
            <w:pPr>
              <w:pStyle w:val="Compact"/>
              <w:spacing w:line="252" w:lineRule="auto" w:after="20" w:before="20"/>
              <w:jc w:val="left"/>
            </w:pPr>
            <w:r>
              <w:rPr>
                <w:rFonts w:ascii="Times New Roman" w:hAnsi="Times New Roman"/>
                <w:sz w:val="19"/>
              </w:rPr>
              <w:t xml:space="preserve">Cold-start data plan (7.5)</w:t>
            </w:r>
          </w:p>
        </w:tc>
        <w:tc>
          <w:tcPr>
            <w:tcW w:type="dxa" w:w="2195"/>
            <w:tcMar>
              <w:top w:w="40" w:type="dxa"/>
              <w:bottom w:w="40" w:type="dxa"/>
            </w:tcMar>
          </w:tcPr>
          <w:p>
            <w:pPr>
              <w:pStyle w:val="Compact"/>
              <w:spacing w:line="252" w:lineRule="auto" w:after="20" w:before="20"/>
              <w:jc w:val="left"/>
            </w:pPr>
            <w:r>
              <w:rPr>
                <w:rFonts w:ascii="Times New Roman" w:hAnsi="Times New Roman"/>
                <w:sz w:val="19"/>
              </w:rPr>
              <w:t xml:space="preserve">DR-01 to DR-10, FR-90 to FR-92</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S10</w:t>
            </w:r>
          </w:p>
        </w:tc>
        <w:tc>
          <w:tcPr>
            <w:tcW w:type="dxa" w:w="2036"/>
            <w:tcMar>
              <w:top w:w="40" w:type="dxa"/>
              <w:bottom w:w="40" w:type="dxa"/>
            </w:tcMar>
          </w:tcPr>
          <w:p>
            <w:pPr>
              <w:pStyle w:val="Compact"/>
              <w:spacing w:line="252" w:lineRule="auto" w:after="20" w:before="20"/>
              <w:jc w:val="left"/>
            </w:pPr>
            <w:r>
              <w:rPr>
                <w:rFonts w:ascii="Times New Roman" w:hAnsi="Times New Roman"/>
                <w:sz w:val="19"/>
              </w:rPr>
              <w:t xml:space="preserve">Consent coverage 100%</w:t>
            </w:r>
          </w:p>
        </w:tc>
      </w:tr>
      <w:tr>
        <w:trPr>
          <w:cantSplit w:val="true"/>
        </w:trPr>
        <w:tc>
          <w:tcPr>
            <w:tcW w:type="dxa" w:w="374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Regulatory guardrails (7.7)</w:t>
            </w:r>
          </w:p>
        </w:tc>
        <w:tc>
          <w:tcPr>
            <w:tcW w:type="dxa" w:w="219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FR-23 note, FR-53, NFR-02 to NFR-06</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All</w:t>
            </w:r>
          </w:p>
        </w:tc>
        <w:tc>
          <w:tcPr>
            <w:tcW w:type="dxa" w:w="20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Zero incidents</w:t>
            </w:r>
          </w:p>
        </w:tc>
      </w:tr>
      <w:tr>
        <w:trPr>
          <w:cantSplit w:val="true"/>
        </w:trPr>
        <w:tc>
          <w:tcPr>
            <w:tcW w:type="dxa" w:w="3746"/>
            <w:tcMar>
              <w:top w:w="40" w:type="dxa"/>
              <w:bottom w:w="40" w:type="dxa"/>
            </w:tcMar>
          </w:tcPr>
          <w:p>
            <w:pPr>
              <w:pStyle w:val="Compact"/>
              <w:spacing w:line="252" w:lineRule="auto" w:after="20" w:before="20"/>
              <w:jc w:val="left"/>
            </w:pPr>
            <w:r>
              <w:rPr>
                <w:rFonts w:ascii="Times New Roman" w:hAnsi="Times New Roman"/>
                <w:sz w:val="19"/>
              </w:rPr>
              <w:t xml:space="preserve">Segmentation, TAM/SAM/SOM, ICP (8.2–8.4)</w:t>
            </w:r>
          </w:p>
        </w:tc>
        <w:tc>
          <w:tcPr>
            <w:tcW w:type="dxa" w:w="2195"/>
            <w:tcMar>
              <w:top w:w="40" w:type="dxa"/>
              <w:bottom w:w="40" w:type="dxa"/>
            </w:tcMar>
          </w:tcPr>
          <w:p>
            <w:pPr>
              <w:pStyle w:val="Compact"/>
              <w:spacing w:line="252" w:lineRule="auto" w:after="20" w:before="20"/>
              <w:jc w:val="left"/>
            </w:pPr>
            <w:r>
              <w:rPr>
                <w:rFonts w:ascii="Times New Roman" w:hAnsi="Times New Roman"/>
                <w:sz w:val="19"/>
              </w:rPr>
              <w:t xml:space="preserve">FR-70, FR-72, Section 5.10</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S8</w:t>
            </w:r>
          </w:p>
        </w:tc>
        <w:tc>
          <w:tcPr>
            <w:tcW w:type="dxa" w:w="2036"/>
            <w:tcMar>
              <w:top w:w="40" w:type="dxa"/>
              <w:bottom w:w="40" w:type="dxa"/>
            </w:tcMar>
          </w:tcPr>
          <w:p>
            <w:pPr>
              <w:pStyle w:val="Compact"/>
              <w:spacing w:line="252" w:lineRule="auto" w:after="20" w:before="20"/>
              <w:jc w:val="left"/>
            </w:pPr>
            <w:r>
              <w:rPr>
                <w:rFonts w:ascii="Times New Roman" w:hAnsi="Times New Roman"/>
                <w:sz w:val="19"/>
              </w:rPr>
              <w:t xml:space="preserve">Named accounts contacted</w:t>
            </w:r>
          </w:p>
        </w:tc>
      </w:tr>
      <w:tr>
        <w:trPr>
          <w:cantSplit w:val="true"/>
        </w:trPr>
        <w:tc>
          <w:tcPr>
            <w:tcW w:type="dxa" w:w="374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Funnel and sales engine (10.1, 10.4)</w:t>
            </w:r>
          </w:p>
        </w:tc>
        <w:tc>
          <w:tcPr>
            <w:tcW w:type="dxa" w:w="219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FR-71, FR-73, FR-74</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S8</w:t>
            </w:r>
          </w:p>
        </w:tc>
        <w:tc>
          <w:tcPr>
            <w:tcW w:type="dxa" w:w="20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Pilot-to-paid ≥50%</w:t>
            </w:r>
          </w:p>
        </w:tc>
      </w:tr>
      <w:tr>
        <w:trPr>
          <w:cantSplit w:val="true"/>
        </w:trPr>
        <w:tc>
          <w:tcPr>
            <w:tcW w:type="dxa" w:w="3746"/>
            <w:tcMar>
              <w:top w:w="40" w:type="dxa"/>
              <w:bottom w:w="40" w:type="dxa"/>
            </w:tcMar>
          </w:tcPr>
          <w:p>
            <w:pPr>
              <w:pStyle w:val="Compact"/>
              <w:spacing w:line="252" w:lineRule="auto" w:after="20" w:before="20"/>
              <w:jc w:val="left"/>
            </w:pPr>
            <w:r>
              <w:rPr>
                <w:rFonts w:ascii="Times New Roman" w:hAnsi="Times New Roman"/>
                <w:sz w:val="19"/>
              </w:rPr>
              <w:t xml:space="preserve">Financial case and sensitivity (13.3)</w:t>
            </w:r>
          </w:p>
        </w:tc>
        <w:tc>
          <w:tcPr>
            <w:tcW w:type="dxa" w:w="2195"/>
            <w:tcMar>
              <w:top w:w="40" w:type="dxa"/>
              <w:bottom w:w="40" w:type="dxa"/>
            </w:tcMar>
          </w:tcPr>
          <w:p>
            <w:pPr>
              <w:pStyle w:val="Compact"/>
              <w:spacing w:line="252" w:lineRule="auto" w:after="20" w:before="20"/>
              <w:jc w:val="left"/>
            </w:pPr>
            <w:r>
              <w:rPr>
                <w:rFonts w:ascii="Times New Roman" w:hAnsi="Times New Roman"/>
                <w:sz w:val="19"/>
              </w:rPr>
              <w:t xml:space="preserve">FR-80 to FR-83</w:t>
            </w:r>
          </w:p>
        </w:tc>
        <w:tc>
          <w:tcPr>
            <w:tcW w:type="dxa" w:w="1051"/>
            <w:tcMar>
              <w:top w:w="40" w:type="dxa"/>
              <w:bottom w:w="40" w:type="dxa"/>
            </w:tcMar>
          </w:tcPr>
          <w:p>
            <w:pPr>
              <w:pStyle w:val="Compact"/>
              <w:spacing w:line="252" w:lineRule="auto" w:after="20" w:before="20"/>
              <w:jc w:val="left"/>
            </w:pPr>
            <w:r>
              <w:rPr>
                <w:rFonts w:ascii="Times New Roman" w:hAnsi="Times New Roman"/>
                <w:sz w:val="19"/>
              </w:rPr>
              <w:t xml:space="preserve">S9</w:t>
            </w:r>
          </w:p>
        </w:tc>
        <w:tc>
          <w:tcPr>
            <w:tcW w:type="dxa" w:w="2036"/>
            <w:tcMar>
              <w:top w:w="40" w:type="dxa"/>
              <w:bottom w:w="40" w:type="dxa"/>
            </w:tcMar>
          </w:tcPr>
          <w:p>
            <w:pPr>
              <w:pStyle w:val="Compact"/>
              <w:spacing w:line="252" w:lineRule="auto" w:after="20" w:before="20"/>
              <w:jc w:val="left"/>
            </w:pPr>
            <w:r>
              <w:rPr>
                <w:rFonts w:ascii="Times New Roman" w:hAnsi="Times New Roman"/>
                <w:sz w:val="19"/>
              </w:rPr>
              <w:t xml:space="preserve">Break-even by Year 3</w:t>
            </w:r>
          </w:p>
        </w:tc>
      </w:tr>
      <w:tr>
        <w:trPr>
          <w:cantSplit w:val="true"/>
        </w:trPr>
        <w:tc>
          <w:tcPr>
            <w:tcW w:type="dxa" w:w="374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Governance and AI review (12.4, 13.6)</w:t>
            </w:r>
          </w:p>
        </w:tc>
        <w:tc>
          <w:tcPr>
            <w:tcW w:type="dxa" w:w="2195"/>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AI-G1 to AI-G5, FR-93 to FR-95</w:t>
            </w:r>
          </w:p>
        </w:tc>
        <w:tc>
          <w:tcPr>
            <w:tcW w:type="dxa" w:w="105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S10</w:t>
            </w:r>
          </w:p>
        </w:tc>
        <w:tc>
          <w:tcPr>
            <w:tcW w:type="dxa" w:w="2036"/>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Override rate tracked</w:t>
            </w:r>
          </w:p>
        </w:tc>
      </w:tr>
    </w:tbl>
    <w:p>
      <w:pPr>
        <w:spacing w:before="160"/>
      </w:pPr>
      <w:r>
        <w:br w:type="page"/>
      </w:r>
    </w:p>
    <w:p>
      <w:pPr>
        <w:pStyle w:val="Heading1"/>
      </w:pPr>
      <w:r>
        <w:t xml:space="preserve">Appendix A: Synthetic Data Specification</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698"/>
        <w:gridCol w:w="6330"/>
      </w:tblGrid>
      <w:tr>
        <w:trPr>
          <w:cantSplit w:val="true"/>
          <w:tblHeader w:val="true"/>
        </w:trPr>
        <w:tc>
          <w:tcPr>
            <w:tcW w:type="dxa" w:w="2699"/>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Field</w:t>
            </w:r>
          </w:p>
        </w:tc>
        <w:tc>
          <w:tcPr>
            <w:tcW w:type="dxa" w:w="6330"/>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Generation rule</w:t>
            </w:r>
          </w:p>
        </w:tc>
      </w:tr>
      <w:tr>
        <w:trPr>
          <w:cantSplit w:val="true"/>
        </w:trPr>
        <w:tc>
          <w:tcPr>
            <w:tcW w:type="dxa" w:w="2699"/>
            <w:tcMar>
              <w:top w:w="40" w:type="dxa"/>
              <w:bottom w:w="40" w:type="dxa"/>
            </w:tcMar>
          </w:tcPr>
          <w:p>
            <w:pPr>
              <w:pStyle w:val="Compact"/>
              <w:spacing w:line="252" w:lineRule="auto" w:after="20" w:before="20"/>
              <w:jc w:val="left"/>
            </w:pPr>
            <w:r>
              <w:rPr>
                <w:rFonts w:ascii="Times New Roman" w:hAnsi="Times New Roman"/>
                <w:sz w:val="19"/>
              </w:rPr>
              <w:t xml:space="preserve">industry</w:t>
            </w:r>
          </w:p>
        </w:tc>
        <w:tc>
          <w:tcPr>
            <w:tcW w:type="dxa" w:w="6330"/>
            <w:tcMar>
              <w:top w:w="40" w:type="dxa"/>
              <w:bottom w:w="40" w:type="dxa"/>
            </w:tcMar>
          </w:tcPr>
          <w:p>
            <w:pPr>
              <w:pStyle w:val="Compact"/>
              <w:spacing w:line="252" w:lineRule="auto" w:after="20" w:before="20"/>
              <w:jc w:val="left"/>
            </w:pPr>
            <w:r>
              <w:rPr>
                <w:rFonts w:ascii="Times New Roman" w:hAnsi="Times New Roman"/>
                <w:sz w:val="19"/>
              </w:rPr>
              <w:t xml:space="preserve">Categorical: IT 28%, manufacturing 22%, BFSI 16%, pharma 12%, retail 12%, professional services 10%</w:t>
            </w:r>
          </w:p>
        </w:tc>
      </w:tr>
      <w:tr>
        <w:trPr>
          <w:cantSplit w:val="true"/>
        </w:trPr>
        <w:tc>
          <w:tcPr>
            <w:tcW w:type="dxa" w:w="269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employees</w:t>
            </w:r>
          </w:p>
        </w:tc>
        <w:tc>
          <w:tcPr>
            <w:tcW w:type="dxa" w:w="63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Log-normal around 650, clipped to 250–2,000</w:t>
            </w:r>
          </w:p>
        </w:tc>
      </w:tr>
      <w:tr>
        <w:trPr>
          <w:cantSplit w:val="true"/>
        </w:trPr>
        <w:tc>
          <w:tcPr>
            <w:tcW w:type="dxa" w:w="2699"/>
            <w:tcMar>
              <w:top w:w="40" w:type="dxa"/>
              <w:bottom w:w="40" w:type="dxa"/>
            </w:tcMar>
          </w:tcPr>
          <w:p>
            <w:pPr>
              <w:pStyle w:val="Compact"/>
              <w:spacing w:line="252" w:lineRule="auto" w:after="20" w:before="20"/>
              <w:jc w:val="left"/>
            </w:pPr>
            <w:r>
              <w:rPr>
                <w:rFonts w:ascii="Times New Roman" w:hAnsi="Times New Roman"/>
                <w:sz w:val="19"/>
              </w:rPr>
              <w:t xml:space="preserve">avg_age</w:t>
            </w:r>
          </w:p>
        </w:tc>
        <w:tc>
          <w:tcPr>
            <w:tcW w:type="dxa" w:w="6330"/>
            <w:tcMar>
              <w:top w:w="40" w:type="dxa"/>
              <w:bottom w:w="40" w:type="dxa"/>
            </w:tcMar>
          </w:tcPr>
          <w:p>
            <w:pPr>
              <w:pStyle w:val="Compact"/>
              <w:spacing w:line="252" w:lineRule="auto" w:after="20" w:before="20"/>
              <w:jc w:val="left"/>
            </w:pPr>
            <w:r>
              <w:rPr>
                <w:rFonts w:ascii="Times New Roman" w:hAnsi="Times New Roman"/>
                <w:sz w:val="19"/>
              </w:rPr>
              <w:t xml:space="preserve">Industry base (IT 30 … manufacturing 37) + normal noise (sd 2.5)</w:t>
            </w:r>
          </w:p>
        </w:tc>
      </w:tr>
      <w:tr>
        <w:trPr>
          <w:cantSplit w:val="true"/>
        </w:trPr>
        <w:tc>
          <w:tcPr>
            <w:tcW w:type="dxa" w:w="269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family</w:t>
            </w:r>
          </w:p>
        </w:tc>
        <w:tc>
          <w:tcPr>
            <w:tcW w:type="dxa" w:w="63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E 15%, E+S+2C 50%, E+S+2C+P 35%</w:t>
            </w:r>
          </w:p>
        </w:tc>
      </w:tr>
      <w:tr>
        <w:trPr>
          <w:cantSplit w:val="true"/>
        </w:trPr>
        <w:tc>
          <w:tcPr>
            <w:tcW w:type="dxa" w:w="2699"/>
            <w:tcMar>
              <w:top w:w="40" w:type="dxa"/>
              <w:bottom w:w="40" w:type="dxa"/>
            </w:tcMar>
          </w:tcPr>
          <w:p>
            <w:pPr>
              <w:pStyle w:val="Compact"/>
              <w:spacing w:line="252" w:lineRule="auto" w:after="20" w:before="20"/>
              <w:jc w:val="left"/>
            </w:pPr>
            <w:r>
              <w:rPr>
                <w:rFonts w:ascii="Times New Roman" w:hAnsi="Times New Roman"/>
                <w:sz w:val="19"/>
              </w:rPr>
              <w:t xml:space="preserve">sum_insured</w:t>
            </w:r>
          </w:p>
        </w:tc>
        <w:tc>
          <w:tcPr>
            <w:tcW w:type="dxa" w:w="6330"/>
            <w:tcMar>
              <w:top w:w="40" w:type="dxa"/>
              <w:bottom w:w="40" w:type="dxa"/>
            </w:tcMar>
          </w:tcPr>
          <w:p>
            <w:pPr>
              <w:pStyle w:val="Compact"/>
              <w:spacing w:line="252" w:lineRule="auto" w:after="20" w:before="20"/>
              <w:jc w:val="left"/>
            </w:pPr>
            <w:r>
              <w:rPr>
                <w:rFonts w:ascii="Times New Roman" w:hAnsi="Times New Roman"/>
                <w:sz w:val="19"/>
              </w:rPr>
              <w:t xml:space="preserve">₹3L 35%, ₹5L 45%, ₹10L 20%</w:t>
            </w:r>
          </w:p>
        </w:tc>
      </w:tr>
      <w:tr>
        <w:trPr>
          <w:cantSplit w:val="true"/>
        </w:trPr>
        <w:tc>
          <w:tcPr>
            <w:tcW w:type="dxa" w:w="269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copay_parents</w:t>
            </w:r>
          </w:p>
        </w:tc>
        <w:tc>
          <w:tcPr>
            <w:tcW w:type="dxa" w:w="63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0/10/20% (only where parents are covered)</w:t>
            </w:r>
          </w:p>
        </w:tc>
      </w:tr>
      <w:tr>
        <w:trPr>
          <w:cantSplit w:val="true"/>
        </w:trPr>
        <w:tc>
          <w:tcPr>
            <w:tcW w:type="dxa" w:w="2699"/>
            <w:tcMar>
              <w:top w:w="40" w:type="dxa"/>
              <w:bottom w:w="40" w:type="dxa"/>
            </w:tcMar>
          </w:tcPr>
          <w:p>
            <w:pPr>
              <w:pStyle w:val="Compact"/>
              <w:spacing w:line="252" w:lineRule="auto" w:after="20" w:before="20"/>
              <w:jc w:val="left"/>
            </w:pPr>
            <w:r>
              <w:rPr>
                <w:rFonts w:ascii="Times New Roman" w:hAnsi="Times New Roman"/>
                <w:sz w:val="19"/>
              </w:rPr>
              <w:t xml:space="preserve">room_rent</w:t>
            </w:r>
          </w:p>
        </w:tc>
        <w:tc>
          <w:tcPr>
            <w:tcW w:type="dxa" w:w="6330"/>
            <w:tcMar>
              <w:top w:w="40" w:type="dxa"/>
              <w:bottom w:w="40" w:type="dxa"/>
            </w:tcMar>
          </w:tcPr>
          <w:p>
            <w:pPr>
              <w:pStyle w:val="Compact"/>
              <w:spacing w:line="252" w:lineRule="auto" w:after="20" w:before="20"/>
              <w:jc w:val="left"/>
            </w:pPr>
            <w:r>
              <w:rPr>
                <w:rFonts w:ascii="Times New Roman" w:hAnsi="Times New Roman"/>
                <w:sz w:val="19"/>
              </w:rPr>
              <w:t xml:space="preserve">1% 45%, 2% 30%, no cap 25%</w:t>
            </w:r>
          </w:p>
        </w:tc>
      </w:tr>
      <w:tr>
        <w:trPr>
          <w:cantSplit w:val="true"/>
        </w:trPr>
        <w:tc>
          <w:tcPr>
            <w:tcW w:type="dxa" w:w="269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premium_per_life</w:t>
            </w:r>
          </w:p>
        </w:tc>
        <w:tc>
          <w:tcPr>
            <w:tcW w:type="dxa" w:w="63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Base × age × family × SI × room-rent × co-pay × city factors × noise; calibrated to mean ₹2,234</w:t>
            </w:r>
          </w:p>
        </w:tc>
      </w:tr>
      <w:tr>
        <w:trPr>
          <w:cantSplit w:val="true"/>
        </w:trPr>
        <w:tc>
          <w:tcPr>
            <w:tcW w:type="dxa" w:w="2699"/>
            <w:tcMar>
              <w:top w:w="40" w:type="dxa"/>
              <w:bottom w:w="40" w:type="dxa"/>
            </w:tcMar>
          </w:tcPr>
          <w:p>
            <w:pPr>
              <w:pStyle w:val="Compact"/>
              <w:spacing w:line="252" w:lineRule="auto" w:after="20" w:before="20"/>
              <w:jc w:val="left"/>
            </w:pPr>
            <w:r>
              <w:rPr>
                <w:rFonts w:ascii="Times New Roman" w:hAnsi="Times New Roman"/>
                <w:sz w:val="19"/>
              </w:rPr>
              <w:t xml:space="preserve">claims_ratio</w:t>
            </w:r>
          </w:p>
        </w:tc>
        <w:tc>
          <w:tcPr>
            <w:tcW w:type="dxa" w:w="6330"/>
            <w:tcMar>
              <w:top w:w="40" w:type="dxa"/>
              <w:bottom w:w="40" w:type="dxa"/>
            </w:tcMar>
          </w:tcPr>
          <w:p>
            <w:pPr>
              <w:pStyle w:val="Compact"/>
              <w:spacing w:line="252" w:lineRule="auto" w:after="20" w:before="20"/>
              <w:jc w:val="left"/>
            </w:pPr>
            <w:r>
              <w:rPr>
                <w:rFonts w:ascii="Times New Roman" w:hAnsi="Times New Roman"/>
                <w:sz w:val="19"/>
              </w:rPr>
              <w:t xml:space="preserve">78% base + parents-without-co-pay +10 pts + no cap +4 pts + age effect + noise scaled by group size</w:t>
            </w:r>
          </w:p>
        </w:tc>
      </w:tr>
      <w:tr>
        <w:trPr>
          <w:cantSplit w:val="true"/>
        </w:trPr>
        <w:tc>
          <w:tcPr>
            <w:tcW w:type="dxa" w:w="2699"/>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renewal_loading</w:t>
            </w:r>
          </w:p>
        </w:tc>
        <w:tc>
          <w:tcPr>
            <w:tcW w:type="dxa" w:w="6330"/>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12% trend + credibility-weighted claims effect + plan effects + noise</w:t>
            </w:r>
          </w:p>
        </w:tc>
      </w:tr>
      <w:tr>
        <w:trPr>
          <w:cantSplit w:val="true"/>
        </w:trPr>
        <w:tc>
          <w:tcPr>
            <w:tcW w:type="dxa" w:w="2699"/>
            <w:tcMar>
              <w:top w:w="40" w:type="dxa"/>
              <w:bottom w:w="40" w:type="dxa"/>
            </w:tcMar>
          </w:tcPr>
          <w:p>
            <w:pPr>
              <w:pStyle w:val="Compact"/>
              <w:spacing w:line="252" w:lineRule="auto" w:after="20" w:before="20"/>
              <w:jc w:val="left"/>
            </w:pPr>
            <w:r>
              <w:rPr>
                <w:rFonts w:ascii="Times New Roman" w:hAnsi="Times New Roman"/>
                <w:sz w:val="19"/>
              </w:rPr>
              <w:t xml:space="preserve">engagement</w:t>
            </w:r>
          </w:p>
        </w:tc>
        <w:tc>
          <w:tcPr>
            <w:tcW w:type="dxa" w:w="6330"/>
            <w:tcMar>
              <w:top w:w="40" w:type="dxa"/>
              <w:bottom w:w="40" w:type="dxa"/>
            </w:tcMar>
          </w:tcPr>
          <w:p>
            <w:pPr>
              <w:pStyle w:val="Compact"/>
              <w:spacing w:line="252" w:lineRule="auto" w:after="20" w:before="20"/>
              <w:jc w:val="left"/>
            </w:pPr>
            <w:r>
              <w:rPr>
                <w:rFonts w:ascii="Times New Roman" w:hAnsi="Times New Roman"/>
                <w:sz w:val="19"/>
              </w:rPr>
              <w:t xml:space="preserve">Normal around 44% (sd 12%)</w:t>
            </w:r>
          </w:p>
        </w:tc>
      </w:tr>
    </w:tbl>
    <w:p>
      <w:pPr>
        <w:pStyle w:val="BodyText"/>
        <w:spacing w:before="160"/>
      </w:pPr>
      <w:r>
        <w:rPr>
          <w:i/>
          <w:iCs/>
        </w:rPr>
        <w:t xml:space="preserve">The generator and model code (Python) are kept with this document so the prototype team can reproduce every number.</w:t>
      </w:r>
    </w:p>
    <w:p>
      <w:pPr>
        <w:pStyle w:val="Heading1"/>
      </w:pPr>
      <w:r>
        <w:t xml:space="preserve">Appendix B: Glossary</w:t>
      </w:r>
    </w:p>
    <w:tbl>
      <w:tblPr>
        <w:tblStyle w:val="Table"/>
        <w:tblW w:type="dxa" w:w="9028"/>
        <w:jc w:val="start"/>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Look w:firstRow="1" w:lastRow="0" w:firstColumn="0" w:lastColumn="0" w:noHBand="0" w:noVBand="0" w:val="0020"/>
      </w:tblPr>
      <w:tblGrid>
        <w:gridCol w:w="2597"/>
        <w:gridCol w:w="6431"/>
      </w:tblGrid>
      <w:tr>
        <w:trPr>
          <w:cantSplit w:val="true"/>
          <w:tblHeader w:val="true"/>
        </w:trPr>
        <w:tc>
          <w:tcPr>
            <w:tcW w:type="dxa" w:w="2598"/>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Term</w:t>
            </w:r>
          </w:p>
        </w:tc>
        <w:tc>
          <w:tcPr>
            <w:tcW w:type="dxa" w:w="6431"/>
            <w:shd w:val="clear" w:color="auto" w:fill="3B3A73"/>
            <w:tcMar>
              <w:top w:w="40" w:type="dxa"/>
              <w:bottom w:w="40" w:type="dxa"/>
            </w:tcMar>
          </w:tcPr>
          <w:p>
            <w:pPr>
              <w:pStyle w:val="Compact"/>
              <w:spacing w:line="252" w:lineRule="auto" w:after="20" w:before="20"/>
              <w:jc w:val="left"/>
            </w:pPr>
            <w:r>
              <w:rPr>
                <w:rFonts w:ascii="Times New Roman" w:hAnsi="Times New Roman"/>
                <w:b/>
                <w:color w:val="FFFFFF"/>
                <w:sz w:val="19"/>
              </w:rPr>
              <w:t xml:space="preserve">Meaning</w:t>
            </w:r>
          </w:p>
        </w:tc>
      </w:tr>
      <w:tr>
        <w:trPr>
          <w:cantSplit w:val="true"/>
        </w:trPr>
        <w:tc>
          <w:tcPr>
            <w:tcW w:type="dxa" w:w="2598"/>
            <w:tcMar>
              <w:top w:w="40" w:type="dxa"/>
              <w:bottom w:w="40" w:type="dxa"/>
            </w:tcMar>
          </w:tcPr>
          <w:p>
            <w:pPr>
              <w:pStyle w:val="Compact"/>
              <w:spacing w:line="252" w:lineRule="auto" w:after="20" w:before="20"/>
              <w:jc w:val="left"/>
            </w:pPr>
            <w:r>
              <w:rPr>
                <w:rFonts w:ascii="Times New Roman" w:hAnsi="Times New Roman"/>
                <w:sz w:val="19"/>
              </w:rPr>
              <w:t xml:space="preserve">ICR (claims ratio)</w:t>
            </w:r>
          </w:p>
        </w:tc>
        <w:tc>
          <w:tcPr>
            <w:tcW w:type="dxa" w:w="6431"/>
            <w:tcMar>
              <w:top w:w="40" w:type="dxa"/>
              <w:bottom w:w="40" w:type="dxa"/>
            </w:tcMar>
          </w:tcPr>
          <w:p>
            <w:pPr>
              <w:pStyle w:val="Compact"/>
              <w:spacing w:line="252" w:lineRule="auto" w:after="20" w:before="20"/>
              <w:jc w:val="left"/>
            </w:pPr>
            <w:r>
              <w:rPr>
                <w:rFonts w:ascii="Times New Roman" w:hAnsi="Times New Roman"/>
                <w:sz w:val="19"/>
              </w:rPr>
              <w:t xml:space="preserve">Claims paid and outstanding ÷ premium earned</w:t>
            </w:r>
          </w:p>
        </w:tc>
      </w:tr>
      <w:tr>
        <w:trPr>
          <w:cantSplit w:val="true"/>
        </w:trPr>
        <w:tc>
          <w:tcPr>
            <w:tcW w:type="dxa" w:w="25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Renewal loading</w:t>
            </w:r>
          </w:p>
        </w:tc>
        <w:tc>
          <w:tcPr>
            <w:tcW w:type="dxa" w:w="6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Percentage change in premium at renewal</w:t>
            </w:r>
          </w:p>
        </w:tc>
      </w:tr>
      <w:tr>
        <w:trPr>
          <w:cantSplit w:val="true"/>
        </w:trPr>
        <w:tc>
          <w:tcPr>
            <w:tcW w:type="dxa" w:w="2598"/>
            <w:tcMar>
              <w:top w:w="40" w:type="dxa"/>
              <w:bottom w:w="40" w:type="dxa"/>
            </w:tcMar>
          </w:tcPr>
          <w:p>
            <w:pPr>
              <w:pStyle w:val="Compact"/>
              <w:spacing w:line="252" w:lineRule="auto" w:after="20" w:before="20"/>
              <w:jc w:val="left"/>
            </w:pPr>
            <w:r>
              <w:rPr>
                <w:rFonts w:ascii="Times New Roman" w:hAnsi="Times New Roman"/>
                <w:sz w:val="19"/>
              </w:rPr>
              <w:t xml:space="preserve">Peer set</w:t>
            </w:r>
          </w:p>
        </w:tc>
        <w:tc>
          <w:tcPr>
            <w:tcW w:type="dxa" w:w="6431"/>
            <w:tcMar>
              <w:top w:w="40" w:type="dxa"/>
              <w:bottom w:w="40" w:type="dxa"/>
            </w:tcMar>
          </w:tcPr>
          <w:p>
            <w:pPr>
              <w:pStyle w:val="Compact"/>
              <w:spacing w:line="252" w:lineRule="auto" w:after="20" w:before="20"/>
              <w:jc w:val="left"/>
            </w:pPr>
            <w:r>
              <w:rPr>
                <w:rFonts w:ascii="Times New Roman" w:hAnsi="Times New Roman"/>
                <w:sz w:val="19"/>
              </w:rPr>
              <w:t xml:space="preserve">Group of comparable companies used for benchmarking (minimum 10)</w:t>
            </w:r>
          </w:p>
        </w:tc>
      </w:tr>
      <w:tr>
        <w:trPr>
          <w:cantSplit w:val="true"/>
        </w:trPr>
        <w:tc>
          <w:tcPr>
            <w:tcW w:type="dxa" w:w="25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Co-pay</w:t>
            </w:r>
          </w:p>
        </w:tc>
        <w:tc>
          <w:tcPr>
            <w:tcW w:type="dxa" w:w="6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Share of each claim paid by the employee or family member</w:t>
            </w:r>
          </w:p>
        </w:tc>
      </w:tr>
      <w:tr>
        <w:trPr>
          <w:cantSplit w:val="true"/>
        </w:trPr>
        <w:tc>
          <w:tcPr>
            <w:tcW w:type="dxa" w:w="2598"/>
            <w:tcMar>
              <w:top w:w="40" w:type="dxa"/>
              <w:bottom w:w="40" w:type="dxa"/>
            </w:tcMar>
          </w:tcPr>
          <w:p>
            <w:pPr>
              <w:pStyle w:val="Compact"/>
              <w:spacing w:line="252" w:lineRule="auto" w:after="20" w:before="20"/>
              <w:jc w:val="left"/>
            </w:pPr>
            <w:r>
              <w:rPr>
                <w:rFonts w:ascii="Times New Roman" w:hAnsi="Times New Roman"/>
                <w:sz w:val="19"/>
              </w:rPr>
              <w:t xml:space="preserve">Room-rent cap</w:t>
            </w:r>
          </w:p>
        </w:tc>
        <w:tc>
          <w:tcPr>
            <w:tcW w:type="dxa" w:w="6431"/>
            <w:tcMar>
              <w:top w:w="40" w:type="dxa"/>
              <w:bottom w:w="40" w:type="dxa"/>
            </w:tcMar>
          </w:tcPr>
          <w:p>
            <w:pPr>
              <w:pStyle w:val="Compact"/>
              <w:spacing w:line="252" w:lineRule="auto" w:after="20" w:before="20"/>
              <w:jc w:val="left"/>
            </w:pPr>
            <w:r>
              <w:rPr>
                <w:rFonts w:ascii="Times New Roman" w:hAnsi="Times New Roman"/>
                <w:sz w:val="19"/>
              </w:rPr>
              <w:t xml:space="preserve">Limit on daily hospital room charges, often a % of sum insured</w:t>
            </w:r>
          </w:p>
        </w:tc>
      </w:tr>
      <w:tr>
        <w:trPr>
          <w:cantSplit w:val="true"/>
        </w:trPr>
        <w:tc>
          <w:tcPr>
            <w:tcW w:type="dxa" w:w="25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TPA</w:t>
            </w:r>
          </w:p>
        </w:tc>
        <w:tc>
          <w:tcPr>
            <w:tcW w:type="dxa" w:w="6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Third-party administrator that processes health claims</w:t>
            </w:r>
          </w:p>
        </w:tc>
      </w:tr>
      <w:tr>
        <w:trPr>
          <w:cantSplit w:val="true"/>
        </w:trPr>
        <w:tc>
          <w:tcPr>
            <w:tcW w:type="dxa" w:w="2598"/>
            <w:tcMar>
              <w:top w:w="40" w:type="dxa"/>
              <w:bottom w:w="40" w:type="dxa"/>
            </w:tcMar>
          </w:tcPr>
          <w:p>
            <w:pPr>
              <w:pStyle w:val="Compact"/>
              <w:spacing w:line="252" w:lineRule="auto" w:after="20" w:before="20"/>
              <w:jc w:val="left"/>
            </w:pPr>
            <w:r>
              <w:rPr>
                <w:rFonts w:ascii="Times New Roman" w:hAnsi="Times New Roman"/>
                <w:sz w:val="19"/>
              </w:rPr>
              <w:t xml:space="preserve">Zero-login</w:t>
            </w:r>
          </w:p>
        </w:tc>
        <w:tc>
          <w:tcPr>
            <w:tcW w:type="dxa" w:w="6431"/>
            <w:tcMar>
              <w:top w:w="40" w:type="dxa"/>
              <w:bottom w:w="40" w:type="dxa"/>
            </w:tcMar>
          </w:tcPr>
          <w:p>
            <w:pPr>
              <w:pStyle w:val="Compact"/>
              <w:spacing w:line="252" w:lineRule="auto" w:after="20" w:before="20"/>
              <w:jc w:val="left"/>
            </w:pPr>
            <w:r>
              <w:rPr>
                <w:rFonts w:ascii="Times New Roman" w:hAnsi="Times New Roman"/>
                <w:sz w:val="19"/>
              </w:rPr>
              <w:t xml:space="preserve">Engagement through nudges and secure links, without routine portal logins</w:t>
            </w:r>
          </w:p>
        </w:tc>
      </w:tr>
      <w:tr>
        <w:trPr>
          <w:cantSplit w:val="true"/>
        </w:trPr>
        <w:tc>
          <w:tcPr>
            <w:tcW w:type="dxa" w:w="25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Model card</w:t>
            </w:r>
          </w:p>
        </w:tc>
        <w:tc>
          <w:tcPr>
            <w:tcW w:type="dxa" w:w="6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Short summary of a model’s purpose, data, accuracy and limits</w:t>
            </w:r>
          </w:p>
        </w:tc>
      </w:tr>
      <w:tr>
        <w:trPr>
          <w:cantSplit w:val="true"/>
        </w:trPr>
        <w:tc>
          <w:tcPr>
            <w:tcW w:type="dxa" w:w="2598"/>
            <w:tcMar>
              <w:top w:w="40" w:type="dxa"/>
              <w:bottom w:w="40" w:type="dxa"/>
            </w:tcMar>
          </w:tcPr>
          <w:p>
            <w:pPr>
              <w:pStyle w:val="Compact"/>
              <w:spacing w:line="252" w:lineRule="auto" w:after="20" w:before="20"/>
              <w:jc w:val="left"/>
            </w:pPr>
            <w:r>
              <w:rPr>
                <w:rFonts w:ascii="Times New Roman" w:hAnsi="Times New Roman"/>
                <w:sz w:val="19"/>
              </w:rPr>
              <w:t xml:space="preserve">MAE</w:t>
            </w:r>
          </w:p>
        </w:tc>
        <w:tc>
          <w:tcPr>
            <w:tcW w:type="dxa" w:w="6431"/>
            <w:tcMar>
              <w:top w:w="40" w:type="dxa"/>
              <w:bottom w:w="40" w:type="dxa"/>
            </w:tcMar>
          </w:tcPr>
          <w:p>
            <w:pPr>
              <w:pStyle w:val="Compact"/>
              <w:spacing w:line="252" w:lineRule="auto" w:after="20" w:before="20"/>
              <w:jc w:val="left"/>
            </w:pPr>
            <w:r>
              <w:rPr>
                <w:rFonts w:ascii="Times New Roman" w:hAnsi="Times New Roman"/>
                <w:sz w:val="19"/>
              </w:rPr>
              <w:t xml:space="preserve">Mean absolute error: the average size of a forecast miss</w:t>
            </w:r>
          </w:p>
        </w:tc>
      </w:tr>
      <w:tr>
        <w:trPr>
          <w:cantSplit w:val="true"/>
        </w:trPr>
        <w:tc>
          <w:tcPr>
            <w:tcW w:type="dxa" w:w="25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White-label</w:t>
            </w:r>
          </w:p>
        </w:tc>
        <w:tc>
          <w:tcPr>
            <w:tcW w:type="dxa" w:w="6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Product shown under the broker’s own brand</w:t>
            </w:r>
          </w:p>
        </w:tc>
      </w:tr>
      <w:tr>
        <w:trPr>
          <w:cantSplit w:val="true"/>
        </w:trPr>
        <w:tc>
          <w:tcPr>
            <w:tcW w:type="dxa" w:w="2598"/>
            <w:tcMar>
              <w:top w:w="40" w:type="dxa"/>
              <w:bottom w:w="40" w:type="dxa"/>
            </w:tcMar>
          </w:tcPr>
          <w:p>
            <w:pPr>
              <w:pStyle w:val="Compact"/>
              <w:spacing w:line="252" w:lineRule="auto" w:after="20" w:before="20"/>
              <w:jc w:val="left"/>
            </w:pPr>
            <w:r>
              <w:rPr>
                <w:rFonts w:ascii="Times New Roman" w:hAnsi="Times New Roman"/>
                <w:sz w:val="19"/>
              </w:rPr>
              <w:t xml:space="preserve">DPDP</w:t>
            </w:r>
          </w:p>
        </w:tc>
        <w:tc>
          <w:tcPr>
            <w:tcW w:type="dxa" w:w="6431"/>
            <w:tcMar>
              <w:top w:w="40" w:type="dxa"/>
              <w:bottom w:w="40" w:type="dxa"/>
            </w:tcMar>
          </w:tcPr>
          <w:p>
            <w:pPr>
              <w:pStyle w:val="Compact"/>
              <w:spacing w:line="252" w:lineRule="auto" w:after="20" w:before="20"/>
              <w:jc w:val="left"/>
            </w:pPr>
            <w:r>
              <w:rPr>
                <w:rFonts w:ascii="Times New Roman" w:hAnsi="Times New Roman"/>
                <w:sz w:val="19"/>
              </w:rPr>
              <w:t xml:space="preserve">Digital Personal Data Protection Act 2023 and Rules 2025</w:t>
            </w:r>
          </w:p>
        </w:tc>
      </w:tr>
      <w:tr>
        <w:trPr>
          <w:cantSplit w:val="true"/>
        </w:trPr>
        <w:tc>
          <w:tcPr>
            <w:tcW w:type="dxa" w:w="2598"/>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MoSCoW</w:t>
            </w:r>
          </w:p>
        </w:tc>
        <w:tc>
          <w:tcPr>
            <w:tcW w:type="dxa" w:w="6431"/>
            <w:shd w:val="clear" w:color="auto" w:fill="F4F5F9"/>
            <w:tcMar>
              <w:top w:w="40" w:type="dxa"/>
              <w:bottom w:w="40" w:type="dxa"/>
            </w:tcMar>
          </w:tcPr>
          <w:p>
            <w:pPr>
              <w:pStyle w:val="Compact"/>
              <w:spacing w:line="252" w:lineRule="auto" w:after="20" w:before="20"/>
              <w:jc w:val="left"/>
            </w:pPr>
            <w:r>
              <w:rPr>
                <w:rFonts w:ascii="Times New Roman" w:hAnsi="Times New Roman"/>
                <w:sz w:val="19"/>
              </w:rPr>
              <w:t xml:space="preserve">Must / Should / Could / Won’t prioritisation</w:t>
            </w:r>
          </w:p>
        </w:tc>
      </w:tr>
    </w:tbl>
    <w:sectPr>
      <w:headerReference w:type="default" r:id="rId9"/>
      <w:footerReference w:type="default" r:id="rId10"/>
      <w:pgSz w:w="11906" w:h="16838"/>
      <w:pgMar w:left="1440" w:right="1440" w:top="1512" w:bottom="1368" w:header="648" w:footer="576" w:gutter="0"/>
      <w:pgBorders w:offsetFrom="page">
        <w:top w:val="thinThickSmallGap" w:sz="18" w:space="24" w:color="3B3A73"/>
        <w:left w:val="thinThickSmallGap" w:sz="18" w:space="24" w:color="3B3A73"/>
        <w:bottom w:val="thinThickSmallGap" w:sz="18" w:space="24" w:color="3B3A73"/>
        <w:right w:val="thinThickSmallGap" w:sz="18" w:space="24" w:color="3B3A73"/>
      </w:pgBorders>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9" w:val="right"/>
      </w:tabs>
    </w:pPr>
    <w:r/>
    <w:r>
      <w:rPr>
        <w:rFonts w:ascii="Times New Roman" w:hAnsi="Times New Roman"/>
        <w:color w:val="4A4D5E"/>
        <w:sz w:val="17"/>
      </w:rPr>
      <w:t>NivoTime Pvt. Ltd.  ·  WeSchool PGDM (E-Business) 2025–27</w:t>
    </w:r>
    <w:r>
      <w:rPr>
        <w:rFonts w:ascii="Times New Roman" w:hAnsi="Times New Roman"/>
        <w:b/>
        <w:color w:val="3B3A73"/>
        <w:sz w:val="18"/>
      </w:rPr>
      <w:tab/>
      <w:t xml:space="preserve">Page </w:t>
    </w:r>
    <w:r>
      <w:rPr>
        <w:rFonts w:ascii="Times New Roman" w:hAnsi="Times New Roman"/>
        <w:b/>
        <w:color w:val="3B3A73"/>
        <w:sz w:val="18"/>
      </w:rPr>
      <w:fldChar w:fldCharType="begin"/>
    </w:r>
    <w:r>
      <w:rPr>
        <w:rFonts w:ascii="Times New Roman" w:hAnsi="Times New Roman"/>
        <w:b/>
        <w:color w:val="3B3A73"/>
        <w:sz w:val="18"/>
      </w:rPr>
      <w:instrText xml:space="preserve"> PAGE </w:instrText>
    </w:r>
    <w:r>
      <w:rPr>
        <w:rFonts w:ascii="Times New Roman" w:hAnsi="Times New Roman"/>
        <w:b/>
        <w:color w:val="3B3A73"/>
        <w:sz w:val="18"/>
      </w:rPr>
      <w:fldChar w:fldCharType="separate"/>
    </w:r>
    <w:r>
      <w:rPr>
        <w:rFonts w:ascii="Times New Roman" w:hAnsi="Times New Roman"/>
        <w:b/>
        <w:color w:val="3B3A73"/>
        <w:sz w:val="18"/>
      </w:rPr>
      <w:t>1</w:t>
    </w:r>
    <w:r>
      <w:rPr>
        <w:rFonts w:ascii="Times New Roman" w:hAnsi="Times New Roman"/>
        <w:b/>
        <w:color w:val="3B3A73"/>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87B549"/>
      </w:pBdr>
      <w:tabs>
        <w:tab w:pos="9029" w:val="right"/>
      </w:tabs>
    </w:pPr>
    <w:r/>
    <w:r>
      <w:drawing>
        <wp:inline xmlns:a="http://schemas.openxmlformats.org/drawingml/2006/main" xmlns:pic="http://schemas.openxmlformats.org/drawingml/2006/picture">
          <wp:extent cx="824080" cy="274320"/>
          <wp:docPr id="1" name="Picture 1"/>
          <wp:cNvGraphicFramePr>
            <a:graphicFrameLocks noChangeAspect="1"/>
          </wp:cNvGraphicFramePr>
          <a:graphic>
            <a:graphicData uri="http://schemas.openxmlformats.org/drawingml/2006/picture">
              <pic:pic>
                <pic:nvPicPr>
                  <pic:cNvPr id="0" name="logo_new.png"/>
                  <pic:cNvPicPr/>
                </pic:nvPicPr>
                <pic:blipFill>
                  <a:blip r:embed="rId1"/>
                  <a:stretch>
                    <a:fillRect/>
                  </a:stretch>
                </pic:blipFill>
                <pic:spPr>
                  <a:xfrm>
                    <a:off x="0" y="0"/>
                    <a:ext cx="824080" cy="274320"/>
                  </a:xfrm>
                  <a:prstGeom prst="rect"/>
                </pic:spPr>
              </pic:pic>
            </a:graphicData>
          </a:graphic>
        </wp:inline>
      </w:drawing>
    </w:r>
    <w:r>
      <w:rPr>
        <w:rFonts w:ascii="Times New Roman" w:hAnsi="Times New Roman"/>
        <w:i/>
        <w:color w:val="4A4D5E"/>
        <w:sz w:val="18"/>
      </w:rPr>
      <w:tab/>
      <w:t>Benefits Intelligence Suite  |  Product Requirements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60" w:before="0" w:line="360" w:lineRule="auto"/>
      <w:jc w:val="both"/>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0" w:line="276" w:lineRule="auto"/>
      <w:jc w:val="left"/>
      <w:outlineLvl w:val="0"/>
    </w:pPr>
    <w:rPr>
      <w:rFonts w:ascii="Times New Roman" w:cs="Times New Roman" w:eastAsia="Times New Roman" w:hAnsi="Times New Roman"/>
      <w:b/>
      <w:bCs/>
      <w:i w:val="0"/>
      <w:color w:val="3B3A73"/>
      <w:sz w:val="34"/>
      <w:szCs w:val="32"/>
    </w:rPr>
  </w:style>
  <w:style w:styleId="Heading2" w:type="paragraph">
    <w:name w:val="Heading 2"/>
    <w:basedOn w:val="Normal"/>
    <w:next w:val="BodyText"/>
    <w:uiPriority w:val="9"/>
    <w:unhideWhenUsed/>
    <w:qFormat/>
    <w:pPr>
      <w:keepNext/>
      <w:keepLines/>
      <w:spacing w:after="120" w:before="280" w:line="276" w:lineRule="auto"/>
      <w:jc w:val="left"/>
      <w:outlineLvl w:val="1"/>
    </w:pPr>
    <w:rPr>
      <w:rFonts w:ascii="Times New Roman" w:cs="Times New Roman" w:eastAsia="Times New Roman" w:hAnsi="Times New Roman"/>
      <w:b/>
      <w:bCs/>
      <w:i w:val="0"/>
      <w:color w:val="3B3A73"/>
      <w:sz w:val="27"/>
      <w:szCs w:val="28"/>
    </w:rPr>
  </w:style>
  <w:style w:styleId="Heading3" w:type="paragraph">
    <w:name w:val="Heading 3"/>
    <w:basedOn w:val="Normal"/>
    <w:next w:val="BodyText"/>
    <w:uiPriority w:val="9"/>
    <w:unhideWhenUsed/>
    <w:qFormat/>
    <w:pPr>
      <w:keepNext/>
      <w:keepLines/>
      <w:spacing w:after="80" w:before="200" w:line="276" w:lineRule="auto"/>
      <w:jc w:val="left"/>
      <w:outlineLvl w:val="2"/>
    </w:pPr>
    <w:rPr>
      <w:rFonts w:ascii="Times New Roman" w:cs="Times New Roman" w:eastAsia="Times New Roman" w:hAnsi="Times New Roman"/>
      <w:b/>
      <w:bCs/>
      <w:i w:val="0"/>
      <w:color w:val="5E8A2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87B549" w:space="10" w:sz="24" w:val="single"/>
      </w:pBdr>
      <w:shd w:color="auto" w:fill="F3F7EC" w:val="clear"/>
      <w:spacing w:after="160" w:before="120" w:line="312" w:lineRule="auto"/>
      <w:ind w:firstLine="0" w:left="504" w:right="432"/>
    </w:pPr>
    <w:rPr>
      <w:rFonts w:ascii="Times New Roman" w:cs="Times New Roman" w:eastAsia="Times New Roman" w:hAnsi="Times New Roman"/>
      <w:i w:val="0"/>
      <w:color w:val="3B3A73"/>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line="240" w:lineRule="auto"/>
      <w:jc w:val="center"/>
    </w:pPr>
    <w:rPr>
      <w:rFonts w:ascii="Times New Roman" w:cs="Times New Roman" w:eastAsia="Times New Roman" w:hAnsi="Times New Roman"/>
      <w:i/>
      <w:color w:val="4A4D5E"/>
      <w:sz w:val="20"/>
    </w:rPr>
  </w:style>
  <w:style w:customStyle="1" w:styleId="TableCaption" w:type="paragraph">
    <w:name w:val="Table Caption"/>
    <w:basedOn w:val="Caption"/>
    <w:pPr>
      <w:keepNext/>
      <w:spacing w:after="200" w:line="240" w:lineRule="auto"/>
      <w:jc w:val="center"/>
    </w:pPr>
    <w:rPr>
      <w:rFonts w:ascii="Times New Roman" w:cs="Times New Roman" w:eastAsia="Times New Roman" w:hAnsi="Times New Roman"/>
      <w:i/>
      <w:color w:val="4A4D5E"/>
      <w:sz w:val="20"/>
    </w:rPr>
  </w:style>
  <w:style w:customStyle="1" w:styleId="ImageCaption" w:type="paragraph">
    <w:name w:val="Image Caption"/>
    <w:basedOn w:val="Caption"/>
    <w:pPr>
      <w:spacing w:after="200" w:line="240" w:lineRule="auto"/>
      <w:jc w:val="center"/>
    </w:pPr>
    <w:rPr>
      <w:rFonts w:ascii="Times New Roman" w:cs="Times New Roman" w:eastAsia="Times New Roman" w:hAnsi="Times New Roman"/>
      <w:i/>
      <w:color w:val="4A4D5E"/>
      <w:sz w:val="20"/>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44" Type="http://schemas.openxmlformats.org/officeDocument/2006/relationships/image" Target="media/rId44.png"/><Relationship Id="rId32" Type="http://schemas.openxmlformats.org/officeDocument/2006/relationships/image" Target="media/rId32.png"/><Relationship Id="rId74" Type="http://schemas.openxmlformats.org/officeDocument/2006/relationships/image" Target="media/rId74.png"/><Relationship Id="rId77" Type="http://schemas.openxmlformats.org/officeDocument/2006/relationships/image" Target="media/rId77.png"/><Relationship Id="rId59" Type="http://schemas.openxmlformats.org/officeDocument/2006/relationships/image" Target="media/rId59.png"/><Relationship Id="rId29" Type="http://schemas.openxmlformats.org/officeDocument/2006/relationships/image" Target="media/rId29.png"/><Relationship Id="rId62" Type="http://schemas.openxmlformats.org/officeDocument/2006/relationships/image" Target="media/rId62.png"/><Relationship Id="rId20" Type="http://schemas.openxmlformats.org/officeDocument/2006/relationships/image" Target="media/rId20.png"/><Relationship Id="rId41" Type="http://schemas.openxmlformats.org/officeDocument/2006/relationships/image" Target="media/rId41.png"/><Relationship Id="rId68" Type="http://schemas.openxmlformats.org/officeDocument/2006/relationships/image" Target="media/rId68.png"/><Relationship Id="rId35" Type="http://schemas.openxmlformats.org/officeDocument/2006/relationships/image" Target="media/rId35.png"/><Relationship Id="rId38" Type="http://schemas.openxmlformats.org/officeDocument/2006/relationships/image" Target="media/rId38.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65" Type="http://schemas.openxmlformats.org/officeDocument/2006/relationships/image" Target="media/rId65.png"/><Relationship Id="rId71" Type="http://schemas.openxmlformats.org/officeDocument/2006/relationships/image" Target="media/rId7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2026-09-28T05:06:29Z</dcterms:created>
  <dcterms:modified xsi:type="dcterms:W3CDTF">2026-09-28T05:06:29Z</dcterms:modified>
</cp:coreProperties>
</file>

<file path=docProps/custom.xml><?xml version="1.0" encoding="utf-8"?>
<Properties xmlns="http://schemas.openxmlformats.org/officeDocument/2006/custom-properties" xmlns:vt="http://schemas.openxmlformats.org/officeDocument/2006/docPropsVTypes"/>
</file>