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720" w:after="0" w:line="240" w:lineRule="auto"/>
        <w:jc w:val="center"/>
      </w:pPr>
    </w:p>
    <w:p>
      <w:pPr>
        <w:spacing w:before="0" w:after="0" w:line="240" w:lineRule="auto"/>
        <w:jc w:val="center"/>
      </w:pPr>
      <w:r>
        <w:drawing>
          <wp:inline>
            <wp:extent cx="2651760" cy="88271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82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 w:after="0" w:line="240" w:lineRule="auto"/>
        <w:jc w:val="center"/>
      </w:pPr>
    </w:p>
    <w:p>
      <w:pPr>
        <w:spacing w:before="0" w:after="200" w:line="240" w:lineRule="auto"/>
        <w:jc w:val="center"/>
      </w:pPr>
      <w:r>
        <w:rPr>
          <w:rFonts w:ascii="Times New Roman" w:hAnsi="Times New Roman"/>
          <w:b/>
          <w:i w:val="0"/>
          <w:color w:val="5E8A2E"/>
          <w:spacing w:val="60"/>
          <w:sz w:val="22"/>
        </w:rPr>
        <w:t>LIVE COMPANY PROJECT REPORT</w:t>
      </w:r>
    </w:p>
    <w:p>
      <w:pPr>
        <w:spacing w:before="0" w:after="0" w:line="252" w:lineRule="auto"/>
        <w:jc w:val="center"/>
      </w:pPr>
      <w:r>
        <w:rPr>
          <w:rFonts w:ascii="Times New Roman" w:hAnsi="Times New Roman"/>
          <w:b/>
          <w:i w:val="0"/>
          <w:color w:val="3B3A73"/>
          <w:sz w:val="52"/>
        </w:rPr>
        <w:t>From Services Breadth to</w:t>
      </w:r>
    </w:p>
    <w:p>
      <w:pPr>
        <w:spacing w:before="0" w:after="200" w:line="252" w:lineRule="auto"/>
        <w:jc w:val="center"/>
      </w:pPr>
      <w:r>
        <w:rPr>
          <w:rFonts w:ascii="Times New Roman" w:hAnsi="Times New Roman"/>
          <w:b/>
          <w:i w:val="0"/>
          <w:color w:val="3B3A73"/>
          <w:sz w:val="52"/>
        </w:rPr>
        <w:t>Benefits Intelligence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i/>
          <w:color w:val="4A4D5E"/>
          <w:sz w:val="28"/>
        </w:rPr>
        <w:t>An AI-led product, customer-targeting and go-to-market strategy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color w:val="4A4D5E"/>
          <w:sz w:val="28"/>
        </w:rPr>
        <w:t>for NivoTime Private Limited</w:t>
      </w:r>
    </w:p>
    <w:p>
      <w:pPr>
        <w:pBdr>
          <w:bottom w:val="single" w:sz="18" w:space="1" w:color="87B549"/>
        </w:pBdr>
        <w:spacing w:before="80" w:after="200" w:line="240" w:lineRule="auto"/>
        <w:jc w:val="center"/>
      </w:pPr>
    </w:p>
    <w:p>
      <w:pPr>
        <w:spacing w:before="0" w:after="1200" w:line="240" w:lineRule="auto"/>
        <w:jc w:val="center"/>
      </w:pPr>
      <w:r>
        <w:rPr>
          <w:rFonts w:ascii="Times New Roman" w:hAnsi="Times New Roman"/>
          <w:b w:val="0"/>
          <w:i w:val="0"/>
          <w:color w:val="3B3A73"/>
          <w:sz w:val="21"/>
        </w:rPr>
        <w:t>Strategy  ·  Product &amp; AI  ·  Customer Targeting  ·  Go-to-Market  ·  Sales Engine  ·  Financials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4A4D5E"/>
          <w:sz w:val="20"/>
        </w:rPr>
        <w:t>Prepared by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color w:val="3B3A73"/>
          <w:sz w:val="30"/>
        </w:rPr>
        <w:t>Anvesha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sz w:val="23"/>
        </w:rPr>
        <w:t>PGDM (E-Business), Batch 2025–27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sz w:val="23"/>
        </w:rPr>
        <w:t>Prin. L.N. Welingkar Institute of Management Development &amp; Research (WeSchool), Mumbai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4A4D5E"/>
          <w:sz w:val="20"/>
        </w:rPr>
        <w:t>Industry partner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sz w:val="23"/>
        </w:rPr>
        <w:t>NivoTime Private Limited, Mumbai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i w:val="0"/>
          <w:color w:val="4A4D5E"/>
          <w:sz w:val="23"/>
        </w:rPr>
        <w:t>September 2026</w:t>
      </w:r>
    </w:p>
    <w:p>
      <w:r>
        <w:br w:type="page"/>
      </w:r>
    </w:p>
    <w:p>
      <w:pPr>
        <w:spacing w:before="0" w:after="160" w:line="240" w:lineRule="auto"/>
        <w:jc w:val="left"/>
      </w:pPr>
      <w:r>
        <w:rPr>
          <w:rFonts w:ascii="Times New Roman" w:hAnsi="Times New Roman"/>
          <w:b/>
          <w:i w:val="0"/>
          <w:color w:val="3B3A73"/>
          <w:sz w:val="36"/>
        </w:rPr>
        <w:t>Table of Contents</w:t>
      </w:r>
    </w:p>
    <w:p>
      <w:pPr>
        <w:pBdr>
          <w:bottom w:val="single" w:sz="8" w:space="1" w:color="3B3A73"/>
        </w:pBdr>
        <w:spacing w:before="80" w:after="200" w:line="240" w:lineRule="auto"/>
        <w:jc w:val="center"/>
      </w:pPr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CEO One-Page Summary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4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Executive Summary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5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1. Introduction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7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1.1 Background</w:t>
        </w:r>
        <w:r>
          <w:rPr>
            <w:rFonts w:ascii="Times New Roman" w:hAnsi="Times New Roman" w:cs="Times New Roman"/>
            <w:color w:val="000000"/>
            <w:sz w:val="21"/>
          </w:rPr>
          <w:t xml:space="preserve">	7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1.2 Objectives</w:t>
        </w:r>
        <w:r>
          <w:rPr>
            <w:rFonts w:ascii="Times New Roman" w:hAnsi="Times New Roman" w:cs="Times New Roman"/>
            <w:color w:val="000000"/>
            <w:sz w:val="21"/>
          </w:rPr>
          <w:t xml:space="preserve">	7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1.3 Scope</w:t>
        </w:r>
        <w:r>
          <w:rPr>
            <w:rFonts w:ascii="Times New Roman" w:hAnsi="Times New Roman" w:cs="Times New Roman"/>
            <w:color w:val="000000"/>
            <w:sz w:val="21"/>
          </w:rPr>
          <w:t xml:space="preserve">	8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1.4 Methodology and evidence discipline</w:t>
        </w:r>
        <w:r>
          <w:rPr>
            <w:rFonts w:ascii="Times New Roman" w:hAnsi="Times New Roman" w:cs="Times New Roman"/>
            <w:color w:val="000000"/>
            <w:sz w:val="21"/>
          </w:rPr>
          <w:t xml:space="preserve">	8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5E8A2E"/>
            <w:sz w:val="20"/>
          </w:rPr>
          <w:t xml:space="preserve">SECTION A — BUSINESS AND INDUSTRY UNDERSTANDING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2. NivoTime: Company Snapshot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9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3. Industry and Market Analysis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10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3.1 Market size and growth</w:t>
        </w:r>
        <w:r>
          <w:rPr>
            <w:rFonts w:ascii="Times New Roman" w:hAnsi="Times New Roman" w:cs="Times New Roman"/>
            <w:color w:val="000000"/>
            <w:sz w:val="21"/>
          </w:rPr>
          <w:t xml:space="preserve">	10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3.2 PESTEL — only the factors that change NivoTime’s decisions</w:t>
        </w:r>
        <w:r>
          <w:rPr>
            <w:rFonts w:ascii="Times New Roman" w:hAnsi="Times New Roman" w:cs="Times New Roman"/>
            <w:color w:val="000000"/>
            <w:sz w:val="21"/>
          </w:rPr>
          <w:t xml:space="preserve">	11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3.3 Porter’s Five Forces (benefits technology for brokers and employers)</w:t>
        </w:r>
        <w:r>
          <w:rPr>
            <w:rFonts w:ascii="Times New Roman" w:hAnsi="Times New Roman" w:cs="Times New Roman"/>
            <w:color w:val="000000"/>
            <w:sz w:val="21"/>
          </w:rPr>
          <w:t xml:space="preserve">	11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3.4 Value chain — where NivoTime adds value and where it leaks</w:t>
        </w:r>
        <w:r>
          <w:rPr>
            <w:rFonts w:ascii="Times New Roman" w:hAnsi="Times New Roman" w:cs="Times New Roman"/>
            <w:color w:val="000000"/>
            <w:sz w:val="21"/>
          </w:rPr>
          <w:t xml:space="preserve">	12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4. Business Model and Unit Economics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12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4.1 Business Model Canvas (proposed, both paths)</w:t>
        </w:r>
        <w:r>
          <w:rPr>
            <w:rFonts w:ascii="Times New Roman" w:hAnsi="Times New Roman" w:cs="Times New Roman"/>
            <w:color w:val="000000"/>
            <w:sz w:val="21"/>
          </w:rPr>
          <w:t xml:space="preserve">	12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4.2 Unit economics (outside-in, illustrative)</w:t>
        </w:r>
        <w:r>
          <w:rPr>
            <w:rFonts w:ascii="Times New Roman" w:hAnsi="Times New Roman" w:cs="Times New Roman"/>
            <w:color w:val="000000"/>
            <w:sz w:val="21"/>
          </w:rPr>
          <w:t xml:space="preserve">	13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5E8A2E"/>
            <w:sz w:val="20"/>
          </w:rPr>
          <w:t xml:space="preserve">SECTION B — DIAGNOSIS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5. Competitive Landscape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15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5.1 Who NivoTime is really up against</w:t>
        </w:r>
        <w:r>
          <w:rPr>
            <w:rFonts w:ascii="Times New Roman" w:hAnsi="Times New Roman" w:cs="Times New Roman"/>
            <w:color w:val="000000"/>
            <w:sz w:val="21"/>
          </w:rPr>
          <w:t xml:space="preserve">	15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5.2 Capability comparison</w:t>
        </w:r>
        <w:r>
          <w:rPr>
            <w:rFonts w:ascii="Times New Roman" w:hAnsi="Times New Roman" w:cs="Times New Roman"/>
            <w:color w:val="000000"/>
            <w:sz w:val="21"/>
          </w:rPr>
          <w:t xml:space="preserve">	16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5.3 Strategic group map</w:t>
        </w:r>
        <w:r>
          <w:rPr>
            <w:rFonts w:ascii="Times New Roman" w:hAnsi="Times New Roman" w:cs="Times New Roman"/>
            <w:color w:val="000000"/>
            <w:sz w:val="21"/>
          </w:rPr>
          <w:t xml:space="preserve">	17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5.4 Win/loss view (outside-in proxy)</w:t>
        </w:r>
        <w:r>
          <w:rPr>
            <w:rFonts w:ascii="Times New Roman" w:hAnsi="Times New Roman" w:cs="Times New Roman"/>
            <w:color w:val="000000"/>
            <w:sz w:val="21"/>
          </w:rPr>
          <w:t xml:space="preserve">	17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6. Internal Diagnosis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18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6.1 VRIO — which resources can create an advantage</w:t>
        </w:r>
        <w:r>
          <w:rPr>
            <w:rFonts w:ascii="Times New Roman" w:hAnsi="Times New Roman" w:cs="Times New Roman"/>
            <w:color w:val="000000"/>
            <w:sz w:val="21"/>
          </w:rPr>
          <w:t xml:space="preserve">	18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6.2 SWOT to TOWS</w:t>
        </w:r>
        <w:r>
          <w:rPr>
            <w:rFonts w:ascii="Times New Roman" w:hAnsi="Times New Roman" w:cs="Times New Roman"/>
            <w:color w:val="000000"/>
            <w:sz w:val="21"/>
          </w:rPr>
          <w:t xml:space="preserve">	18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6.3 The problem statement</w:t>
        </w:r>
        <w:r>
          <w:rPr>
            <w:rFonts w:ascii="Times New Roman" w:hAnsi="Times New Roman" w:cs="Times New Roman"/>
            <w:color w:val="000000"/>
            <w:sz w:val="21"/>
          </w:rPr>
          <w:t xml:space="preserve">	18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5E8A2E"/>
            <w:sz w:val="20"/>
          </w:rPr>
          <w:t xml:space="preserve">SECTION C — THE FLAGSHIP RECOMMENDATION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7. The NivoTime Benefits Intelligence Suite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19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7.1 The customer problem</w:t>
        </w:r>
        <w:r>
          <w:rPr>
            <w:rFonts w:ascii="Times New Roman" w:hAnsi="Times New Roman" w:cs="Times New Roman"/>
            <w:color w:val="000000"/>
            <w:sz w:val="21"/>
          </w:rPr>
          <w:t xml:space="preserve">	19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7.2 The product: five modules, one data layer</w:t>
        </w:r>
        <w:r>
          <w:rPr>
            <w:rFonts w:ascii="Times New Roman" w:hAnsi="Times New Roman" w:cs="Times New Roman"/>
            <w:color w:val="000000"/>
            <w:sz w:val="21"/>
          </w:rPr>
          <w:t xml:space="preserve">	20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7.3 The AI/ML layer — practical models, not an “AI” label</w:t>
        </w:r>
        <w:r>
          <w:rPr>
            <w:rFonts w:ascii="Times New Roman" w:hAnsi="Times New Roman" w:cs="Times New Roman"/>
            <w:color w:val="000000"/>
            <w:sz w:val="21"/>
          </w:rPr>
          <w:t xml:space="preserve">	21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7.4 What the user sees</w:t>
        </w:r>
        <w:r>
          <w:rPr>
            <w:rFonts w:ascii="Times New Roman" w:hAnsi="Times New Roman" w:cs="Times New Roman"/>
            <w:color w:val="000000"/>
            <w:sz w:val="21"/>
          </w:rPr>
          <w:t xml:space="preserve">	22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7.5 Solving the data “cold start”</w:t>
        </w:r>
        <w:r>
          <w:rPr>
            <w:rFonts w:ascii="Times New Roman" w:hAnsi="Times New Roman" w:cs="Times New Roman"/>
            <w:color w:val="000000"/>
            <w:sz w:val="21"/>
          </w:rPr>
          <w:t xml:space="preserve">	22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7.6 Where the suite differs from competitors</w:t>
        </w:r>
        <w:r>
          <w:rPr>
            <w:rFonts w:ascii="Times New Roman" w:hAnsi="Times New Roman" w:cs="Times New Roman"/>
            <w:color w:val="000000"/>
            <w:sz w:val="21"/>
          </w:rPr>
          <w:t xml:space="preserve">	23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7.7 Build, partner or buy — and regulatory guardrails</w:t>
        </w:r>
        <w:r>
          <w:rPr>
            <w:rFonts w:ascii="Times New Roman" w:hAnsi="Times New Roman" w:cs="Times New Roman"/>
            <w:color w:val="000000"/>
            <w:sz w:val="21"/>
          </w:rPr>
          <w:t xml:space="preserve">	23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7.8 Why this is defensible: the data flywheel</w:t>
        </w:r>
        <w:r>
          <w:rPr>
            <w:rFonts w:ascii="Times New Roman" w:hAnsi="Times New Roman" w:cs="Times New Roman"/>
            <w:color w:val="000000"/>
            <w:sz w:val="21"/>
          </w:rPr>
          <w:t xml:space="preserve">	24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7.9 Options screened</w:t>
        </w:r>
        <w:r>
          <w:rPr>
            <w:rFonts w:ascii="Times New Roman" w:hAnsi="Times New Roman" w:cs="Times New Roman"/>
            <w:color w:val="000000"/>
            <w:sz w:val="21"/>
          </w:rPr>
          <w:t xml:space="preserve">	25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5E8A2E"/>
            <w:sz w:val="20"/>
          </w:rPr>
          <w:t xml:space="preserve">SECTION D — CUSTOMER TARGETING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8. Segmentation, Market Size and Ideal Customer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26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8.1 Decision on the customer framing</w:t>
        </w:r>
        <w:r>
          <w:rPr>
            <w:rFonts w:ascii="Times New Roman" w:hAnsi="Times New Roman" w:cs="Times New Roman"/>
            <w:color w:val="000000"/>
            <w:sz w:val="21"/>
          </w:rPr>
          <w:t xml:space="preserve">	26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8.2 Segmentation</w:t>
        </w:r>
        <w:r>
          <w:rPr>
            <w:rFonts w:ascii="Times New Roman" w:hAnsi="Times New Roman" w:cs="Times New Roman"/>
            <w:color w:val="000000"/>
            <w:sz w:val="21"/>
          </w:rPr>
          <w:t xml:space="preserve">	26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8.3 Market sizing (TAM, SAM, SOM)</w:t>
        </w:r>
        <w:r>
          <w:rPr>
            <w:rFonts w:ascii="Times New Roman" w:hAnsi="Times New Roman" w:cs="Times New Roman"/>
            <w:color w:val="000000"/>
            <w:sz w:val="21"/>
          </w:rPr>
          <w:t xml:space="preserve">	26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8.4 Ideal customer profiles</w:t>
        </w:r>
        <w:r>
          <w:rPr>
            <w:rFonts w:ascii="Times New Roman" w:hAnsi="Times New Roman" w:cs="Times New Roman"/>
            <w:color w:val="000000"/>
            <w:sz w:val="21"/>
          </w:rPr>
          <w:t xml:space="preserve">	27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8.5 Buying committee</w:t>
        </w:r>
        <w:r>
          <w:rPr>
            <w:rFonts w:ascii="Times New Roman" w:hAnsi="Times New Roman" w:cs="Times New Roman"/>
            <w:color w:val="000000"/>
            <w:sz w:val="21"/>
          </w:rPr>
          <w:t xml:space="preserve">	28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8.6 Industry playbooks (second-phase differentiation)</w:t>
        </w:r>
        <w:r>
          <w:rPr>
            <w:rFonts w:ascii="Times New Roman" w:hAnsi="Times New Roman" w:cs="Times New Roman"/>
            <w:color w:val="000000"/>
            <w:sz w:val="21"/>
          </w:rPr>
          <w:t xml:space="preserve">	28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5E8A2E"/>
            <w:sz w:val="20"/>
          </w:rPr>
          <w:t xml:space="preserve">SECTION E — GO-TO-MARKET AND SALES ENGINE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9. Go-to-Market Strategy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29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9.1 Positioning</w:t>
        </w:r>
        <w:r>
          <w:rPr>
            <w:rFonts w:ascii="Times New Roman" w:hAnsi="Times New Roman" w:cs="Times New Roman"/>
            <w:color w:val="000000"/>
            <w:sz w:val="21"/>
          </w:rPr>
          <w:t xml:space="preserve">	29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9.2 Messaging pyramid</w:t>
        </w:r>
        <w:r>
          <w:rPr>
            <w:rFonts w:ascii="Times New Roman" w:hAnsi="Times New Roman" w:cs="Times New Roman"/>
            <w:color w:val="000000"/>
            <w:sz w:val="21"/>
          </w:rPr>
          <w:t xml:space="preserve">	29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9.3 Go-to-market motion</w:t>
        </w:r>
        <w:r>
          <w:rPr>
            <w:rFonts w:ascii="Times New Roman" w:hAnsi="Times New Roman" w:cs="Times New Roman"/>
            <w:color w:val="000000"/>
            <w:sz w:val="21"/>
          </w:rPr>
          <w:t xml:space="preserve">	29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9.4 Three acquisition engines</w:t>
        </w:r>
        <w:r>
          <w:rPr>
            <w:rFonts w:ascii="Times New Roman" w:hAnsi="Times New Roman" w:cs="Times New Roman"/>
            <w:color w:val="000000"/>
            <w:sz w:val="21"/>
          </w:rPr>
          <w:t xml:space="preserve">	29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9.5 Packaging and pricing (proposed)</w:t>
        </w:r>
        <w:r>
          <w:rPr>
            <w:rFonts w:ascii="Times New Roman" w:hAnsi="Times New Roman" w:cs="Times New Roman"/>
            <w:color w:val="000000"/>
            <w:sz w:val="21"/>
          </w:rPr>
          <w:t xml:space="preserve">	30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9.6 Launch sequence</w:t>
        </w:r>
        <w:r>
          <w:rPr>
            <w:rFonts w:ascii="Times New Roman" w:hAnsi="Times New Roman" w:cs="Times New Roman"/>
            <w:color w:val="000000"/>
            <w:sz w:val="21"/>
          </w:rPr>
          <w:t xml:space="preserve">	30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10. Sales Engine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30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10.1 Two sales processes</w:t>
        </w:r>
        <w:r>
          <w:rPr>
            <w:rFonts w:ascii="Times New Roman" w:hAnsi="Times New Roman" w:cs="Times New Roman"/>
            <w:color w:val="000000"/>
            <w:sz w:val="21"/>
          </w:rPr>
          <w:t xml:space="preserve">	30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10.2 Qualification</w:t>
        </w:r>
        <w:r>
          <w:rPr>
            <w:rFonts w:ascii="Times New Roman" w:hAnsi="Times New Roman" w:cs="Times New Roman"/>
            <w:color w:val="000000"/>
            <w:sz w:val="21"/>
          </w:rPr>
          <w:t xml:space="preserve">	31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10.3 Objection handling</w:t>
        </w:r>
        <w:r>
          <w:rPr>
            <w:rFonts w:ascii="Times New Roman" w:hAnsi="Times New Roman" w:cs="Times New Roman"/>
            <w:color w:val="000000"/>
            <w:sz w:val="21"/>
          </w:rPr>
          <w:t xml:space="preserve">	31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10.4 Funnel and pipeline arithmetic</w:t>
        </w:r>
        <w:r>
          <w:rPr>
            <w:rFonts w:ascii="Times New Roman" w:hAnsi="Times New Roman" w:cs="Times New Roman"/>
            <w:color w:val="000000"/>
            <w:sz w:val="21"/>
          </w:rPr>
          <w:t xml:space="preserve">	32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5E8A2E"/>
            <w:sz w:val="20"/>
          </w:rPr>
          <w:t xml:space="preserve">SECTION F — ONBOARDING AND CUSTOMER EXPERIENCE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11. Onboarding, Engagement and Experience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33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11.1 Broker onboarding journey</w:t>
        </w:r>
        <w:r>
          <w:rPr>
            <w:rFonts w:ascii="Times New Roman" w:hAnsi="Times New Roman" w:cs="Times New Roman"/>
            <w:color w:val="000000"/>
            <w:sz w:val="21"/>
          </w:rPr>
          <w:t xml:space="preserve">	33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11.2 Zero-login employee engagement</w:t>
        </w:r>
        <w:r>
          <w:rPr>
            <w:rFonts w:ascii="Times New Roman" w:hAnsi="Times New Roman" w:cs="Times New Roman"/>
            <w:color w:val="000000"/>
            <w:sz w:val="21"/>
          </w:rPr>
          <w:t xml:space="preserve">	33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11.3 Customer journey pain points (employer via broker)</w:t>
        </w:r>
        <w:r>
          <w:rPr>
            <w:rFonts w:ascii="Times New Roman" w:hAnsi="Times New Roman" w:cs="Times New Roman"/>
            <w:color w:val="000000"/>
            <w:sz w:val="21"/>
          </w:rPr>
          <w:t xml:space="preserve">	33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5E8A2E"/>
            <w:sz w:val="20"/>
          </w:rPr>
          <w:t xml:space="preserve">SECTION G — DATA, TECHNOLOGY AND AI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12. Data, Technology and AI Architecture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35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12.1 Go-to-market data flow</w:t>
        </w:r>
        <w:r>
          <w:rPr>
            <w:rFonts w:ascii="Times New Roman" w:hAnsi="Times New Roman" w:cs="Times New Roman"/>
            <w:color w:val="000000"/>
            <w:sz w:val="21"/>
          </w:rPr>
          <w:t xml:space="preserve">	35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12.2 Management dashboards</w:t>
        </w:r>
        <w:r>
          <w:rPr>
            <w:rFonts w:ascii="Times New Roman" w:hAnsi="Times New Roman" w:cs="Times New Roman"/>
            <w:color w:val="000000"/>
            <w:sz w:val="21"/>
          </w:rPr>
          <w:t xml:space="preserve">	35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12.3 AI opportunity matrix for NivoTime’s own growth engine</w:t>
        </w:r>
        <w:r>
          <w:rPr>
            <w:rFonts w:ascii="Times New Roman" w:hAnsi="Times New Roman" w:cs="Times New Roman"/>
            <w:color w:val="000000"/>
            <w:sz w:val="21"/>
          </w:rPr>
          <w:t xml:space="preserve">	36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12.4 Security, privacy and governance</w:t>
        </w:r>
        <w:r>
          <w:rPr>
            <w:rFonts w:ascii="Times New Roman" w:hAnsi="Times New Roman" w:cs="Times New Roman"/>
            <w:color w:val="000000"/>
            <w:sz w:val="21"/>
          </w:rPr>
          <w:t xml:space="preserve">	36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5E8A2E"/>
            <w:sz w:val="20"/>
          </w:rPr>
          <w:t xml:space="preserve">SECTION H — IMPLEMENTATION, FINANCIALS AND RISK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13. Implementation, Financials and Risk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37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13.1 Gap analysis: current state vs. target state</w:t>
        </w:r>
        <w:r>
          <w:rPr>
            <w:rFonts w:ascii="Times New Roman" w:hAnsi="Times New Roman" w:cs="Times New Roman"/>
            <w:color w:val="000000"/>
            <w:sz w:val="21"/>
          </w:rPr>
          <w:t xml:space="preserve">	37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13.2 Roadmap</w:t>
        </w:r>
        <w:r>
          <w:rPr>
            <w:rFonts w:ascii="Times New Roman" w:hAnsi="Times New Roman" w:cs="Times New Roman"/>
            <w:color w:val="000000"/>
            <w:sz w:val="21"/>
          </w:rPr>
          <w:t xml:space="preserve">	37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13.3 Financial case (illustrative)</w:t>
        </w:r>
        <w:r>
          <w:rPr>
            <w:rFonts w:ascii="Times New Roman" w:hAnsi="Times New Roman" w:cs="Times New Roman"/>
            <w:color w:val="000000"/>
            <w:sz w:val="21"/>
          </w:rPr>
          <w:t xml:space="preserve">	38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13.4 KPI scorecard</w:t>
        </w:r>
        <w:r>
          <w:rPr>
            <w:rFonts w:ascii="Times New Roman" w:hAnsi="Times New Roman" w:cs="Times New Roman"/>
            <w:color w:val="000000"/>
            <w:sz w:val="21"/>
          </w:rPr>
          <w:t xml:space="preserve">	39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13.5 Risk register</w:t>
        </w:r>
        <w:r>
          <w:rPr>
            <w:rFonts w:ascii="Times New Roman" w:hAnsi="Times New Roman" w:cs="Times New Roman"/>
            <w:color w:val="000000"/>
            <w:sz w:val="21"/>
          </w:rPr>
          <w:t xml:space="preserve">	40</w:t>
        </w:r>
      </w:hyperlink>
    </w:p>
    <w:p>
      <w:pPr>
        <w:tabs>
          <w:tab w:pos="9029" w:val="right" w:leader="dot"/>
        </w:tabs>
        <w:spacing w:line="240" w:lineRule="auto" w:before="0" w:after="30"/>
        <w:ind w:left="432"/>
      </w:pPr>
      <w:hyperlink>
        <w:r>
          <w:rPr>
            <w:rFonts w:ascii="Times New Roman" w:hAnsi="Times New Roman" w:cs="Times New Roman"/>
            <w:color w:val="000000"/>
            <w:sz w:val="21"/>
          </w:rPr>
          <w:t xml:space="preserve">13.6 Governance</w:t>
        </w:r>
        <w:r>
          <w:rPr>
            <w:rFonts w:ascii="Times New Roman" w:hAnsi="Times New Roman" w:cs="Times New Roman"/>
            <w:color w:val="000000"/>
            <w:sz w:val="21"/>
          </w:rPr>
          <w:t xml:space="preserve">	41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14. Conclusion and Recommendations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42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15. Limitations and Validation Plan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42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Appendix A: Assumptions Register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44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Appendix B: Management Validation Checklist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44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Appendix C: Pilot Scorecard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45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Appendix D: Broker Pitch (60 seconds)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45</w:t>
        </w:r>
      </w:hyperlink>
    </w:p>
    <w:p>
      <w:pPr>
        <w:tabs>
          <w:tab w:pos="9029" w:val="right" w:leader="dot"/>
        </w:tabs>
        <w:spacing w:line="240" w:lineRule="auto" w:before="140" w:after="30"/>
        <w:ind w:left="0"/>
      </w:pPr>
      <w:hyperlink>
        <w:r>
          <w:rPr>
            <w:rFonts w:ascii="Times New Roman" w:hAnsi="Times New Roman" w:cs="Times New Roman"/>
            <w:b/>
            <w:color w:val="3B3A73"/>
            <w:sz w:val="22"/>
          </w:rPr>
          <w:t xml:space="preserve">References</w:t>
        </w:r>
        <w:r>
          <w:rPr>
            <w:rFonts w:ascii="Times New Roman" w:hAnsi="Times New Roman" w:cs="Times New Roman"/>
            <w:b/>
            <w:color w:val="3B3A73"/>
            <w:sz w:val="22"/>
          </w:rPr>
          <w:t xml:space="preserve">	46</w:t>
        </w:r>
      </w:hyperlink>
    </w:p>
    <w:p>
      <w:pPr>
        <w:pStyle w:val="Heading1"/>
        <w:pageBreakBefore/>
      </w:pPr>
      <w:r>
        <w:t xml:space="preserve">CEO One-Page Summary</w:t>
      </w:r>
    </w:p>
    <w:p>
      <w:pPr>
        <w:pStyle w:val="FirstParagraph"/>
      </w:pPr>
      <w:r>
        <w:rPr>
          <w:b/>
          <w:bCs/>
        </w:rPr>
        <w:t xml:space="preserve">The one-line answer:</w:t>
      </w:r>
      <w:r>
        <w:t xml:space="preserve"> </w:t>
      </w:r>
      <w:r>
        <w:t xml:space="preserve">NivoTime should turn its benefits know-how into an</w:t>
      </w:r>
      <w:r>
        <w:t xml:space="preserve"> </w:t>
      </w:r>
      <w:r>
        <w:rPr>
          <w:b/>
          <w:bCs/>
        </w:rPr>
        <w:t xml:space="preserve">AI-powered Benefits Intelligence Suite</w:t>
      </w:r>
      <w:r>
        <w:t xml:space="preserve"> </w:t>
      </w:r>
      <w:r>
        <w:t xml:space="preserve">(benchmarking, quote comparison, renewal intelligence, vendor/TPA management and advisory) and sell it mainly</w:t>
      </w:r>
      <w:r>
        <w:t xml:space="preserve"> </w:t>
      </w:r>
      <w:r>
        <w:rPr>
          <w:b/>
          <w:bCs/>
        </w:rPr>
        <w:t xml:space="preserve">through mid-size insurance brokers</w:t>
      </w:r>
      <w:r>
        <w:t xml:space="preserve">, who cannot afford to build this themselves. Direct employer sales should be used to prove the product and create reference clients.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3169"/>
        <w:gridCol w:w="5859"/>
      </w:tblGrid>
      <w:tr>
        <w:trPr>
          <w:cantSplit w:val="true"/>
          <w:tblHeader w:val="true"/>
        </w:trPr>
        <w:tc>
          <w:tcPr>
            <w:tcW w:type="dxa" w:w="317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Area</w:t>
            </w:r>
          </w:p>
        </w:tc>
        <w:tc>
          <w:tcPr>
            <w:tcW w:type="dxa" w:w="585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Summary</w:t>
            </w:r>
          </w:p>
        </w:tc>
      </w:tr>
      <w:tr>
        <w:trPr>
          <w:cantSplit w:val="true"/>
        </w:trPr>
        <w:tc>
          <w:tcPr>
            <w:tcW w:type="dxa" w:w="317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Where NivoTime is today</w:t>
            </w:r>
          </w:p>
        </w:tc>
        <w:tc>
          <w:tcPr>
            <w:tcW w:type="dxa" w:w="585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~17-person, founder-led, bootstrapped Mumbai company (est. 2018) selling IT services, digital marketing, InsurTech and HealthTech together [2][3][4]. Strong product ideas, but no public client names, pricing or case studies.</w:t>
            </w:r>
          </w:p>
        </w:tc>
      </w:tr>
      <w:tr>
        <w:trPr>
          <w:cantSplit w:val="true"/>
        </w:trPr>
        <w:tc>
          <w:tcPr>
            <w:tcW w:type="dxa" w:w="317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The market</w:t>
            </w:r>
          </w:p>
        </w:tc>
        <w:tc>
          <w:tcPr>
            <w:tcW w:type="dxa" w:w="585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Group health premium ₹68,641 cr in FY26, growing 12.9% [6]; 27.51 crore lives covered by group health [5]; medical costs rising 11.5–12.9% a year [8][9]. Every renewal is a price fight.</w:t>
            </w:r>
          </w:p>
        </w:tc>
      </w:tr>
      <w:tr>
        <w:trPr>
          <w:cantSplit w:val="true"/>
        </w:trPr>
        <w:tc>
          <w:tcPr>
            <w:tcW w:type="dxa" w:w="317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The gap</w:t>
            </w:r>
          </w:p>
        </w:tc>
        <w:tc>
          <w:tcPr>
            <w:tcW w:type="dxa" w:w="585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Large brokers build their own benchmarking (Prudent’s BenchmarkPro covers 3,900 organisations [22]). Funded players became brokers themselves (Plum, Pazcare) [42]. The ~600+ mid-size brokers have neither. No Indian vendor was found selling them benchmarking + quote comparison + renewal workflow as one white-label product.</w:t>
            </w:r>
          </w:p>
        </w:tc>
      </w:tr>
      <w:tr>
        <w:trPr>
          <w:cantSplit w:val="true"/>
        </w:trPr>
        <w:tc>
          <w:tcPr>
            <w:tcW w:type="dxa" w:w="317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The proposal</w:t>
            </w:r>
          </w:p>
        </w:tc>
        <w:tc>
          <w:tcPr>
            <w:tcW w:type="dxa" w:w="585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Five modules on one data layer, with six practical AI/ML models (peer matching, renewal-cost forecast, plan simulator, quote-document AI, claims anomaly flags, policy Q&amp;A).</w:t>
            </w:r>
          </w:p>
        </w:tc>
      </w:tr>
      <w:tr>
        <w:trPr>
          <w:cantSplit w:val="true"/>
        </w:trPr>
        <w:tc>
          <w:tcPr>
            <w:tcW w:type="dxa" w:w="317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Why it can win</w:t>
            </w:r>
          </w:p>
        </w:tc>
        <w:tc>
          <w:tcPr>
            <w:tcW w:type="dxa" w:w="585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Every broker added makes the anonymised benchmark pool bigger, so the insights get better — a data network effect a single broker cannot copy. Proven abroad: Employee Navigator serves 7,000+ brokers and 195,000 employers through the broker channel [24].</w:t>
            </w:r>
          </w:p>
        </w:tc>
      </w:tr>
      <w:tr>
        <w:trPr>
          <w:cantSplit w:val="true"/>
        </w:trPr>
        <w:tc>
          <w:tcPr>
            <w:tcW w:type="dxa" w:w="317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Economics (illustrative)</w:t>
            </w:r>
          </w:p>
        </w:tc>
        <w:tc>
          <w:tcPr>
            <w:tcW w:type="dxa" w:w="585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Base case: 15 brokers and 18 direct employers by Year 3 → ~₹1.05 cr revenue, break-even in Year 3 on an incremental cost base of ~₹1 cr (A1–A12). For a 40-client broker, estimated value ~₹10 lakh a year against a ~₹6.6 lakh fee.</w:t>
            </w:r>
          </w:p>
        </w:tc>
      </w:tr>
      <w:tr>
        <w:trPr>
          <w:cantSplit w:val="true"/>
        </w:trPr>
        <w:tc>
          <w:tcPr>
            <w:tcW w:type="dxa" w:w="317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First 90 days</w:t>
            </w:r>
          </w:p>
        </w:tc>
        <w:tc>
          <w:tcPr>
            <w:tcW w:type="dxa" w:w="585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Fix login security, audit what is live, set up a CRM, build a 100-broker target list, launch a benchmarking MVP, sign 2 broker pilots and 3 employer pilots.</w:t>
            </w:r>
          </w:p>
        </w:tc>
      </w:tr>
      <w:tr>
        <w:trPr>
          <w:cantSplit w:val="true"/>
        </w:trPr>
        <w:tc>
          <w:tcPr>
            <w:tcW w:type="dxa" w:w="317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Biggest risks</w:t>
            </w:r>
          </w:p>
        </w:tc>
        <w:tc>
          <w:tcPr>
            <w:tcW w:type="dxa" w:w="585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Benchmark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cold start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(not enough data at launch), no proof points yet, and staying inside IRDAI rules on quote comparison. Each has a named mitigation (Section 13.5).</w:t>
            </w:r>
          </w:p>
        </w:tc>
      </w:tr>
    </w:tbl>
    <w:p>
      <w:pPr>
        <w:spacing w:before="160"/>
      </w:pPr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FirstParagraph"/>
        <w:keepNext/>
      </w:pPr>
      <w:r>
        <w:rPr>
          <w:b/>
          <w:bCs/>
        </w:rPr>
        <w:t xml:space="preserve">Situation</w:t>
      </w:r>
    </w:p>
    <w:p>
      <w:pPr>
        <w:pStyle w:val="Compact"/>
        <w:numPr>
          <w:ilvl w:val="0"/>
          <w:numId w:val="1001"/>
        </w:numPr>
        <w:spacing w:after="60" w:line="324" w:lineRule="auto"/>
      </w:pPr>
      <w:r>
        <w:t xml:space="preserve">NivoTime Private Limited (Mumbai, founded 2018) is a director-owned technology company. It sells custom IT, digital marketing, InsurTech (Flex benefits, H&amp;B, TPA integration, analytics) and HealthTech services [1][2][3].</w:t>
      </w:r>
    </w:p>
    <w:p>
      <w:pPr>
        <w:pStyle w:val="Compact"/>
        <w:numPr>
          <w:ilvl w:val="0"/>
          <w:numId w:val="1001"/>
        </w:numPr>
        <w:spacing w:after="60" w:line="324" w:lineRule="auto"/>
      </w:pPr>
      <w:r>
        <w:t xml:space="preserve">Its strongest and most specific capability is in</w:t>
      </w:r>
      <w:r>
        <w:t xml:space="preserve"> </w:t>
      </w:r>
      <w:r>
        <w:rPr>
          <w:b/>
          <w:bCs/>
        </w:rPr>
        <w:t xml:space="preserve">employee benefits</w:t>
      </w:r>
      <w:r>
        <w:t xml:space="preserve">: flexible benefits, claims analytics and benchmarking. The founder has over two decades in insurance and broking [1][43].</w:t>
      </w:r>
    </w:p>
    <w:p>
      <w:pPr>
        <w:pStyle w:val="FirstParagraph"/>
        <w:keepNext/>
      </w:pPr>
      <w:r>
        <w:rPr>
          <w:b/>
          <w:bCs/>
        </w:rPr>
        <w:t xml:space="preserve">Complication</w:t>
      </w:r>
    </w:p>
    <w:p>
      <w:pPr>
        <w:pStyle w:val="Compact"/>
        <w:numPr>
          <w:ilvl w:val="0"/>
          <w:numId w:val="1002"/>
        </w:numPr>
        <w:spacing w:after="60" w:line="324" w:lineRule="auto"/>
      </w:pPr>
      <w:r>
        <w:t xml:space="preserve">The company tells too many stories at once. The pitch deck leads with generic IT services; the website leads with InsurTech [1][2]. A buyer cannot tell what NivoTime is best at.</w:t>
      </w:r>
    </w:p>
    <w:p>
      <w:pPr>
        <w:pStyle w:val="Compact"/>
        <w:numPr>
          <w:ilvl w:val="0"/>
          <w:numId w:val="1002"/>
        </w:numPr>
        <w:spacing w:after="60" w:line="324" w:lineRule="auto"/>
      </w:pPr>
      <w:r>
        <w:t xml:space="preserve">There are no public proof points: no named clients, no pricing, no case studies, no published funding. Every competitor studied has at least one of these [14]–[19].</w:t>
      </w:r>
    </w:p>
    <w:p>
      <w:pPr>
        <w:pStyle w:val="Compact"/>
        <w:numPr>
          <w:ilvl w:val="0"/>
          <w:numId w:val="1002"/>
        </w:numPr>
        <w:spacing w:after="60" w:line="324" w:lineRule="auto"/>
      </w:pPr>
      <w:r>
        <w:t xml:space="preserve">The market has split in two: tech vendors that serve intermediaries (Bharatsure, Turtlefin) and tech-first companies that became brokers themselves (Plum, Pazcare, Loop Health) [18][19][42]. NivoTime sits between the two without choosing.</w:t>
      </w:r>
    </w:p>
    <w:p>
      <w:pPr>
        <w:pStyle w:val="Compact"/>
        <w:numPr>
          <w:ilvl w:val="0"/>
          <w:numId w:val="1002"/>
        </w:numPr>
        <w:spacing w:after="60" w:line="324" w:lineRule="auto"/>
      </w:pPr>
      <w:r>
        <w:t xml:space="preserve">Medical costs are rising 11.5–12.9% a year [8][9] and the health claims ratio is 85% [7], so employers and brokers face hard renewals every year. Yet brokers still compare quotes and benchmark plans largely by hand.</w:t>
      </w:r>
    </w:p>
    <w:p>
      <w:pPr>
        <w:pStyle w:val="FirstParagraph"/>
        <w:keepNext/>
      </w:pPr>
      <w:r>
        <w:rPr>
          <w:b/>
          <w:bCs/>
        </w:rPr>
        <w:t xml:space="preserve">Key question</w:t>
      </w:r>
    </w:p>
    <w:p>
      <w:pPr>
        <w:pStyle w:val="BlockText"/>
      </w:pPr>
      <w:r>
        <w:rPr>
          <w:i/>
          <w:iCs/>
        </w:rPr>
        <w:t xml:space="preserve">What single, focused product and go-to-market strategy can turn NivoTime’s scattered capabilities into a repeatable, scalable InsurTech business?</w:t>
      </w:r>
    </w:p>
    <w:p>
      <w:pPr>
        <w:pStyle w:val="FirstParagraph"/>
        <w:keepNext/>
      </w:pPr>
      <w:r>
        <w:rPr>
          <w:b/>
          <w:bCs/>
        </w:rPr>
        <w:t xml:space="preserve">Answer (recommendation)</w:t>
      </w:r>
    </w:p>
    <w:p>
      <w:pPr>
        <w:pStyle w:val="Compact"/>
        <w:numPr>
          <w:ilvl w:val="0"/>
          <w:numId w:val="1003"/>
        </w:numPr>
        <w:spacing w:after="60" w:line="324" w:lineRule="auto"/>
      </w:pPr>
      <w:r>
        <w:rPr>
          <w:b/>
          <w:bCs/>
        </w:rPr>
        <w:t xml:space="preserve">Focus:</w:t>
      </w:r>
      <w:r>
        <w:t xml:space="preserve"> </w:t>
      </w:r>
      <w:r>
        <w:t xml:space="preserve">make Employee Benefits / InsurTech the core business. Keep IT services only as a controlled cash and implementation layer.</w:t>
      </w:r>
    </w:p>
    <w:p>
      <w:pPr>
        <w:pStyle w:val="Compact"/>
        <w:numPr>
          <w:ilvl w:val="0"/>
          <w:numId w:val="1003"/>
        </w:numPr>
        <w:spacing w:after="60" w:line="324" w:lineRule="auto"/>
      </w:pPr>
      <w:r>
        <w:rPr>
          <w:b/>
          <w:bCs/>
        </w:rPr>
        <w:t xml:space="preserve">Product:</w:t>
      </w:r>
      <w:r>
        <w:t xml:space="preserve"> </w:t>
      </w:r>
      <w:r>
        <w:t xml:space="preserve">build the</w:t>
      </w:r>
      <w:r>
        <w:t xml:space="preserve"> </w:t>
      </w:r>
      <w:r>
        <w:rPr>
          <w:b/>
          <w:bCs/>
        </w:rPr>
        <w:t xml:space="preserve">NivoTime Benefits Intelligence Suite</w:t>
      </w:r>
      <w:r>
        <w:t xml:space="preserve">: Benchmarking Cockpit (filters for co-pay, company size, family cover, sum insured), Quote &amp; Renewal Desk, Vendor/TPA Management, Engagement Engine (zero-login nudges), and an Advisory layer, all powered by six practical AI/ML models.</w:t>
      </w:r>
    </w:p>
    <w:p>
      <w:pPr>
        <w:pStyle w:val="Compact"/>
        <w:numPr>
          <w:ilvl w:val="0"/>
          <w:numId w:val="1003"/>
        </w:numPr>
        <w:spacing w:after="60" w:line="324" w:lineRule="auto"/>
      </w:pPr>
      <w:r>
        <w:rPr>
          <w:b/>
          <w:bCs/>
        </w:rPr>
        <w:t xml:space="preserve">Customer:</w:t>
      </w:r>
      <w:r>
        <w:t xml:space="preserve"> </w:t>
      </w:r>
      <w:r>
        <w:t xml:space="preserve">lead with</w:t>
      </w:r>
      <w:r>
        <w:t xml:space="preserve"> </w:t>
      </w:r>
      <w:r>
        <w:rPr>
          <w:b/>
          <w:bCs/>
        </w:rPr>
        <w:t xml:space="preserve">mid-size IRDAI-licensed brokers</w:t>
      </w:r>
      <w:r>
        <w:t xml:space="preserve"> </w:t>
      </w:r>
      <w:r>
        <w:t xml:space="preserve">(the broker channel as the multiplier). Use</w:t>
      </w:r>
      <w:r>
        <w:t xml:space="preserve"> </w:t>
      </w:r>
      <w:r>
        <w:rPr>
          <w:b/>
          <w:bCs/>
        </w:rPr>
        <w:t xml:space="preserve">mid-market employers (250–2,000 employees)</w:t>
      </w:r>
      <w:r>
        <w:t xml:space="preserve"> </w:t>
      </w:r>
      <w:r>
        <w:t xml:space="preserve">directly to validate the product and build references.</w:t>
      </w:r>
    </w:p>
    <w:p>
      <w:pPr>
        <w:pStyle w:val="Compact"/>
        <w:numPr>
          <w:ilvl w:val="0"/>
          <w:numId w:val="1003"/>
        </w:numPr>
        <w:spacing w:after="60" w:line="324" w:lineRule="auto"/>
      </w:pPr>
      <w:r>
        <w:rPr>
          <w:b/>
          <w:bCs/>
        </w:rPr>
        <w:t xml:space="preserve">Go-to-market:</w:t>
      </w:r>
      <w:r>
        <w:t xml:space="preserve"> </w:t>
      </w:r>
      <w:r>
        <w:t xml:space="preserve">account-based marketing to a named list of 100 brokers, a</w:t>
      </w:r>
      <w:r>
        <w:t xml:space="preserve"> </w:t>
      </w:r>
      <w:r>
        <w:t xml:space="preserve">“</w:t>
      </w:r>
      <w:r>
        <w:t xml:space="preserve">free benefits health check</w:t>
      </w:r>
      <w:r>
        <w:t xml:space="preserve">”</w:t>
      </w:r>
      <w:r>
        <w:t xml:space="preserve"> </w:t>
      </w:r>
      <w:r>
        <w:t xml:space="preserve">offer, 90-day pilots, and an annual India benefits benchmark report for thought leadership.</w:t>
      </w:r>
    </w:p>
    <w:p>
      <w:pPr>
        <w:pStyle w:val="Compact"/>
        <w:numPr>
          <w:ilvl w:val="0"/>
          <w:numId w:val="1003"/>
        </w:numPr>
        <w:spacing w:after="60" w:line="324" w:lineRule="auto"/>
      </w:pPr>
      <w:r>
        <w:rPr>
          <w:b/>
          <w:bCs/>
        </w:rPr>
        <w:t xml:space="preserve">Sales engine:</w:t>
      </w:r>
      <w:r>
        <w:t xml:space="preserve"> </w:t>
      </w:r>
      <w:r>
        <w:t xml:space="preserve">two separate sales processes (MEDDIC for brokers, BANT for employers), a CRM from day one, and a pilot-to-contract conversion playbook.</w:t>
      </w:r>
    </w:p>
    <w:p>
      <w:pPr>
        <w:pStyle w:val="FirstParagraph"/>
        <w:keepNext/>
      </w:pPr>
      <w:r>
        <w:rPr>
          <w:b/>
          <w:bCs/>
        </w:rPr>
        <w:t xml:space="preserve">Expected impact (illustrative, to be validated with company data)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3880"/>
        <w:gridCol w:w="1674"/>
        <w:gridCol w:w="3474"/>
      </w:tblGrid>
      <w:tr>
        <w:trPr>
          <w:cantSplit w:val="true"/>
          <w:tblHeader w:val="true"/>
        </w:trPr>
        <w:tc>
          <w:tcPr>
            <w:tcW w:type="dxa" w:w="388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Metric</w:t>
            </w:r>
          </w:p>
        </w:tc>
        <w:tc>
          <w:tcPr>
            <w:tcW w:type="dxa" w:w="167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Year 1</w:t>
            </w:r>
          </w:p>
        </w:tc>
        <w:tc>
          <w:tcPr>
            <w:tcW w:type="dxa" w:w="347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Year 3 (base case)</w:t>
            </w:r>
          </w:p>
        </w:tc>
      </w:tr>
      <w:tr>
        <w:trPr>
          <w:cantSplit w:val="true"/>
        </w:trPr>
        <w:tc>
          <w:tcPr>
            <w:tcW w:type="dxa" w:w="388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Brokers on platform</w:t>
            </w:r>
          </w:p>
        </w:tc>
        <w:tc>
          <w:tcPr>
            <w:tcW w:type="dxa" w:w="167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34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15</w:t>
            </w:r>
          </w:p>
        </w:tc>
      </w:tr>
      <w:tr>
        <w:trPr>
          <w:cantSplit w:val="true"/>
        </w:trPr>
        <w:tc>
          <w:tcPr>
            <w:tcW w:type="dxa" w:w="388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Direct employer clients</w:t>
            </w:r>
          </w:p>
        </w:tc>
        <w:tc>
          <w:tcPr>
            <w:tcW w:type="dxa" w:w="167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W w:type="dxa" w:w="34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18</w:t>
            </w:r>
          </w:p>
        </w:tc>
      </w:tr>
      <w:tr>
        <w:trPr>
          <w:cantSplit w:val="true"/>
        </w:trPr>
        <w:tc>
          <w:tcPr>
            <w:tcW w:type="dxa" w:w="388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Covered lives on platform</w:t>
            </w:r>
          </w:p>
        </w:tc>
        <w:tc>
          <w:tcPr>
            <w:tcW w:type="dxa" w:w="167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~18,500</w:t>
            </w:r>
          </w:p>
        </w:tc>
        <w:tc>
          <w:tcPr>
            <w:tcW w:type="dxa" w:w="34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~1.6 lakh</w:t>
            </w:r>
          </w:p>
        </w:tc>
      </w:tr>
      <w:tr>
        <w:trPr>
          <w:cantSplit w:val="true"/>
        </w:trPr>
        <w:tc>
          <w:tcPr>
            <w:tcW w:type="dxa" w:w="388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Revenue from the suite</w:t>
            </w:r>
          </w:p>
        </w:tc>
        <w:tc>
          <w:tcPr>
            <w:tcW w:type="dxa" w:w="167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~₹23 lakh</w:t>
            </w:r>
          </w:p>
        </w:tc>
        <w:tc>
          <w:tcPr>
            <w:tcW w:type="dxa" w:w="34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~₹1.05 crore</w:t>
            </w:r>
          </w:p>
        </w:tc>
      </w:tr>
      <w:tr>
        <w:trPr>
          <w:cantSplit w:val="true"/>
        </w:trPr>
        <w:tc>
          <w:tcPr>
            <w:tcW w:type="dxa" w:w="388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Operating result of the suite</w:t>
            </w:r>
          </w:p>
        </w:tc>
        <w:tc>
          <w:tcPr>
            <w:tcW w:type="dxa" w:w="167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−₹39 lakh</w:t>
            </w:r>
          </w:p>
        </w:tc>
        <w:tc>
          <w:tcPr>
            <w:tcW w:type="dxa" w:w="34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+₹6 lakh (break-even)</w:t>
            </w:r>
          </w:p>
        </w:tc>
      </w:tr>
    </w:tbl>
    <w:p>
      <w:pPr>
        <w:pStyle w:val="BodyText"/>
        <w:spacing w:before="160"/>
      </w:pPr>
      <w:r>
        <w:rPr>
          <w:i/>
          <w:iCs/>
        </w:rPr>
        <w:t xml:space="preserve">All financial figures are outside-in estimates built from public market data and labelled assumptions (Appendix A). NivoTime’s internal pricing, cost and pipeline data were not available for this project.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Background</w:t>
      </w:r>
    </w:p>
    <w:p>
      <w:pPr>
        <w:pStyle w:val="Compact"/>
        <w:numPr>
          <w:ilvl w:val="0"/>
          <w:numId w:val="1004"/>
        </w:numPr>
        <w:spacing w:after="60" w:line="324" w:lineRule="auto"/>
      </w:pPr>
      <w:r>
        <w:t xml:space="preserve">NivoTime approached this project to understand how to sharpen its market position and grow its InsurTech business.</w:t>
      </w:r>
    </w:p>
    <w:p>
      <w:pPr>
        <w:pStyle w:val="Compact"/>
        <w:numPr>
          <w:ilvl w:val="0"/>
          <w:numId w:val="1004"/>
        </w:numPr>
        <w:spacing w:after="60" w:line="324" w:lineRule="auto"/>
      </w:pPr>
      <w:r>
        <w:t xml:space="preserve">The initial project scope, agreed with the industry mentor, covered three stages of the funnel:</w:t>
      </w:r>
      <w:r>
        <w:t xml:space="preserve"> </w:t>
      </w:r>
      <w:r>
        <w:rPr>
          <w:b/>
          <w:bCs/>
        </w:rPr>
        <w:t xml:space="preserve">market positioning, customer segmentation and competitive sales intelligence</w:t>
      </w:r>
      <w:r>
        <w:t xml:space="preserve">, each looked at through a</w:t>
      </w:r>
      <w:r>
        <w:t xml:space="preserve"> </w:t>
      </w:r>
      <w:r>
        <w:rPr>
          <w:b/>
          <w:bCs/>
        </w:rPr>
        <w:t xml:space="preserve">broker path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company (employer) path</w:t>
      </w:r>
      <w:r>
        <w:t xml:space="preserve">.</w:t>
      </w:r>
    </w:p>
    <w:p>
      <w:pPr>
        <w:pStyle w:val="Compact"/>
        <w:numPr>
          <w:ilvl w:val="0"/>
          <w:numId w:val="1004"/>
        </w:numPr>
        <w:spacing w:after="60" w:line="324" w:lineRule="auto"/>
      </w:pPr>
      <w:r>
        <w:t xml:space="preserve">This report builds on that scope and adds a product strategy (the Benefits Intelligence Suite), because the research showed that positioning alone will not fix the core issue: NivoTime needs one clear, differentiated product to position.</w:t>
      </w:r>
    </w:p>
    <w:p>
      <w:pPr>
        <w:pStyle w:val="Heading2"/>
      </w:pPr>
      <w:r>
        <w:t xml:space="preserve">1.2 Objectives</w:t>
      </w:r>
    </w:p>
    <w:p>
      <w:pPr>
        <w:pStyle w:val="FirstParagraph"/>
      </w:pPr>
      <w:r>
        <w:t xml:space="preserve">Following good research practice, the objectives are split into what the project sets out to find (substantive) and how the answers will be checked (measurement and validation).</w:t>
      </w:r>
    </w:p>
    <w:p>
      <w:pPr>
        <w:pStyle w:val="BodyText"/>
        <w:keepNext/>
      </w:pPr>
      <w:r>
        <w:rPr>
          <w:b/>
          <w:bCs/>
        </w:rPr>
        <w:t xml:space="preserve">Substantive research objectives</w:t>
      </w:r>
    </w:p>
    <w:p>
      <w:pPr>
        <w:pStyle w:val="Compact"/>
        <w:numPr>
          <w:ilvl w:val="0"/>
          <w:numId w:val="1005"/>
        </w:numPr>
        <w:spacing w:after="60" w:line="324" w:lineRule="auto"/>
      </w:pPr>
      <w:r>
        <w:t xml:space="preserve">Map NivoTime’s current business model, product portfolio and positioning.</w:t>
      </w:r>
    </w:p>
    <w:p>
      <w:pPr>
        <w:pStyle w:val="Compact"/>
        <w:numPr>
          <w:ilvl w:val="0"/>
          <w:numId w:val="1005"/>
        </w:numPr>
        <w:spacing w:after="60" w:line="324" w:lineRule="auto"/>
      </w:pPr>
      <w:r>
        <w:t xml:space="preserve">Diagnose its competitive position against Indian and global benefits-tech players.</w:t>
      </w:r>
    </w:p>
    <w:p>
      <w:pPr>
        <w:pStyle w:val="Compact"/>
        <w:numPr>
          <w:ilvl w:val="0"/>
          <w:numId w:val="1005"/>
        </w:numPr>
        <w:spacing w:after="60" w:line="324" w:lineRule="auto"/>
      </w:pPr>
      <w:r>
        <w:t xml:space="preserve">Design a differentiated, AI-enabled product that solves a real broker and employer problem.</w:t>
      </w:r>
    </w:p>
    <w:p>
      <w:pPr>
        <w:pStyle w:val="Compact"/>
        <w:numPr>
          <w:ilvl w:val="0"/>
          <w:numId w:val="1005"/>
        </w:numPr>
        <w:spacing w:after="60" w:line="324" w:lineRule="auto"/>
      </w:pPr>
      <w:r>
        <w:t xml:space="preserve">Define the target customers (segments, market size, ideal customer profile).</w:t>
      </w:r>
    </w:p>
    <w:p>
      <w:pPr>
        <w:pStyle w:val="Compact"/>
        <w:numPr>
          <w:ilvl w:val="0"/>
          <w:numId w:val="1005"/>
        </w:numPr>
        <w:spacing w:after="60" w:line="324" w:lineRule="auto"/>
      </w:pPr>
      <w:r>
        <w:t xml:space="preserve">Build a go-to-market plan and a sales process for both the broker and the employer path.</w:t>
      </w:r>
    </w:p>
    <w:p>
      <w:pPr>
        <w:pStyle w:val="Compact"/>
        <w:numPr>
          <w:ilvl w:val="0"/>
          <w:numId w:val="1005"/>
        </w:numPr>
        <w:spacing w:after="60" w:line="324" w:lineRule="auto"/>
      </w:pPr>
      <w:r>
        <w:t xml:space="preserve">Lay out the implementation roadmap, economics and risks.</w:t>
      </w:r>
    </w:p>
    <w:p>
      <w:pPr>
        <w:pStyle w:val="FirstParagraph"/>
        <w:keepNext/>
      </w:pPr>
      <w:r>
        <w:rPr>
          <w:b/>
          <w:bCs/>
        </w:rPr>
        <w:t xml:space="preserve">Measurement and validation objectives</w:t>
      </w:r>
    </w:p>
    <w:p>
      <w:pPr>
        <w:pStyle w:val="Compact"/>
        <w:numPr>
          <w:ilvl w:val="0"/>
          <w:numId w:val="1006"/>
        </w:numPr>
        <w:spacing w:after="60" w:line="324" w:lineRule="auto"/>
      </w:pPr>
      <w:r>
        <w:t xml:space="preserve">Tag every claim by evidence type (sourced fact, estimate, or assumption) so a reader can see what is proven and what is not.</w:t>
      </w:r>
    </w:p>
    <w:p>
      <w:pPr>
        <w:pStyle w:val="Compact"/>
        <w:numPr>
          <w:ilvl w:val="0"/>
          <w:numId w:val="1006"/>
        </w:numPr>
        <w:spacing w:after="60" w:line="324" w:lineRule="auto"/>
      </w:pPr>
      <w:r>
        <w:t xml:space="preserve">Build the financial case from explicit, adjustable assumptions (Appendix A), with downside and upside scenarios.</w:t>
      </w:r>
    </w:p>
    <w:p>
      <w:pPr>
        <w:pStyle w:val="Compact"/>
        <w:numPr>
          <w:ilvl w:val="0"/>
          <w:numId w:val="1006"/>
        </w:numPr>
        <w:spacing w:after="60" w:line="324" w:lineRule="auto"/>
      </w:pPr>
      <w:r>
        <w:t xml:space="preserve">Define the pilot metrics and success thresholds that would confirm or reject the strategy (Section 15 and Appendix C).</w:t>
      </w:r>
    </w:p>
    <w:p>
      <w:pPr>
        <w:pStyle w:val="Heading2"/>
      </w:pPr>
      <w:r>
        <w:t xml:space="preserve">1.3 Scope</w:t>
      </w:r>
    </w:p>
    <w:p>
      <w:pPr>
        <w:pStyle w:val="Compact"/>
        <w:numPr>
          <w:ilvl w:val="0"/>
          <w:numId w:val="1007"/>
        </w:numPr>
        <w:spacing w:after="60" w:line="324" w:lineRule="auto"/>
      </w:pPr>
      <w:r>
        <w:rPr>
          <w:b/>
          <w:bCs/>
        </w:rPr>
        <w:t xml:space="preserve">In scope:</w:t>
      </w:r>
      <w:r>
        <w:t xml:space="preserve"> </w:t>
      </w:r>
      <w:r>
        <w:t xml:space="preserve">the InsurTech / employee-benefits business in India; broker and employer customers; product, targeting, go-to-market, sales, onboarding, technology and economics.</w:t>
      </w:r>
    </w:p>
    <w:p>
      <w:pPr>
        <w:pStyle w:val="Compact"/>
        <w:numPr>
          <w:ilvl w:val="0"/>
          <w:numId w:val="1007"/>
        </w:numPr>
        <w:spacing w:after="60" w:line="324" w:lineRule="auto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detailed plans for the IT-services and digital-marketing lines, HealthTech as a standalone business, and the ZOYAME (Dubai/GCC) venture. These are covered only as they affect focus.</w:t>
      </w:r>
    </w:p>
    <w:p>
      <w:pPr>
        <w:pStyle w:val="Heading2"/>
      </w:pPr>
      <w:r>
        <w:t xml:space="preserve">1.4 Methodology and evidence discipline</w:t>
      </w:r>
    </w:p>
    <w:p>
      <w:pPr>
        <w:pStyle w:val="Compact"/>
        <w:numPr>
          <w:ilvl w:val="0"/>
          <w:numId w:val="1008"/>
        </w:numPr>
        <w:spacing w:after="60" w:line="324" w:lineRule="auto"/>
      </w:pPr>
      <w:r>
        <w:rPr>
          <w:b/>
          <w:bCs/>
        </w:rPr>
        <w:t xml:space="preserve">Secondary research:</w:t>
      </w:r>
      <w:r>
        <w:t xml:space="preserve"> </w:t>
      </w:r>
      <w:r>
        <w:t xml:space="preserve">NivoTime’s website and pitch deck; company registries; IRDAI, General Insurance Council and CareEdge data; broker and competitor websites (each searched separately); consulting reports (Aon, WTW, Mercer Marsh Benefits, McKinsey, BCG); regulatory and legal summaries. All accessed in September 2026.</w:t>
      </w:r>
    </w:p>
    <w:p>
      <w:pPr>
        <w:pStyle w:val="Compact"/>
        <w:numPr>
          <w:ilvl w:val="0"/>
          <w:numId w:val="1008"/>
        </w:numPr>
        <w:spacing w:after="60" w:line="324" w:lineRule="auto"/>
      </w:pPr>
      <w:r>
        <w:rPr>
          <w:b/>
          <w:bCs/>
        </w:rPr>
        <w:t xml:space="preserve">Company inputs:</w:t>
      </w:r>
      <w:r>
        <w:t xml:space="preserve"> </w:t>
      </w:r>
      <w:r>
        <w:t xml:space="preserve">the project brief and mentor discussions (scope, the broker/company framing, and feature descriptions such as the benchmarking dashboard filters, vendor management and quote comparison).</w:t>
      </w:r>
    </w:p>
    <w:p>
      <w:pPr>
        <w:pStyle w:val="Compact"/>
        <w:numPr>
          <w:ilvl w:val="0"/>
          <w:numId w:val="1008"/>
        </w:numPr>
        <w:spacing w:after="60" w:line="324" w:lineRule="auto"/>
      </w:pPr>
      <w:r>
        <w:rPr>
          <w:b/>
          <w:bCs/>
        </w:rPr>
        <w:t xml:space="preserve">Analysis frameworks:</w:t>
      </w:r>
      <w:r>
        <w:t xml:space="preserve"> </w:t>
      </w:r>
      <w:r>
        <w:t xml:space="preserve">used only where they answer a real question, each ending with a</w:t>
      </w:r>
      <w:r>
        <w:t xml:space="preserve"> </w:t>
      </w:r>
      <w:r>
        <w:t xml:space="preserve">“</w:t>
      </w:r>
      <w:r>
        <w:t xml:space="preserve">so what</w:t>
      </w:r>
      <w:r>
        <w:t xml:space="preserve">”</w:t>
      </w:r>
      <w:r>
        <w:t xml:space="preserve">. Frameworks skipped, and why, are noted where relevant.</w:t>
      </w:r>
    </w:p>
    <w:p>
      <w:pPr>
        <w:pStyle w:val="Compact"/>
        <w:numPr>
          <w:ilvl w:val="0"/>
          <w:numId w:val="1008"/>
        </w:numPr>
        <w:spacing w:after="60" w:line="324" w:lineRule="auto"/>
      </w:pPr>
      <w:r>
        <w:rPr>
          <w:b/>
          <w:bCs/>
        </w:rPr>
        <w:t xml:space="preserve">Limitation:</w:t>
      </w:r>
      <w:r>
        <w:t xml:space="preserve"> </w:t>
      </w:r>
      <w:r>
        <w:t xml:space="preserve">internal data (pricing, costs, pipeline, win/loss, live feature status) was not available. The report fills these gaps with transparent outside-in estimates and a validation plan, and never presents an assumption as a fact.</w:t>
      </w:r>
    </w:p>
    <w:p>
      <w:pPr>
        <w:pStyle w:val="FirstParagraph"/>
        <w:keepNext/>
      </w:pPr>
      <w:r>
        <w:rPr>
          <w:b/>
          <w:bCs/>
        </w:rPr>
        <w:t xml:space="preserve">How to read the evidence tags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502"/>
        <w:gridCol w:w="6526"/>
      </w:tblGrid>
      <w:tr>
        <w:trPr>
          <w:cantSplit w:val="true"/>
          <w:tblHeader w:val="true"/>
        </w:trPr>
        <w:tc>
          <w:tcPr>
            <w:tcW w:type="dxa" w:w="250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Tag</w:t>
            </w:r>
          </w:p>
        </w:tc>
        <w:tc>
          <w:tcPr>
            <w:tcW w:type="dxa" w:w="652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Meaning</w:t>
            </w:r>
          </w:p>
        </w:tc>
      </w:tr>
      <w:tr>
        <w:trPr>
          <w:cantSplit w:val="true"/>
        </w:trPr>
        <w:tc>
          <w:tcPr>
            <w:tcW w:type="dxa" w:w="250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[n]</w:t>
            </w:r>
          </w:p>
        </w:tc>
        <w:tc>
          <w:tcPr>
            <w:tcW w:type="dxa" w:w="652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Sourced fact; see the numbered reference list</w:t>
            </w:r>
          </w:p>
        </w:tc>
      </w:tr>
      <w:tr>
        <w:trPr>
          <w:cantSplit w:val="true"/>
        </w:trPr>
        <w:tc>
          <w:tcPr>
            <w:tcW w:type="dxa" w:w="250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(Est.)</w:t>
            </w:r>
          </w:p>
        </w:tc>
        <w:tc>
          <w:tcPr>
            <w:tcW w:type="dxa" w:w="652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Our own calculation from named inputs</w:t>
            </w:r>
          </w:p>
        </w:tc>
      </w:tr>
      <w:tr>
        <w:trPr>
          <w:cantSplit w:val="true"/>
        </w:trPr>
        <w:tc>
          <w:tcPr>
            <w:tcW w:type="dxa" w:w="250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(A#)</w:t>
            </w:r>
          </w:p>
        </w:tc>
        <w:tc>
          <w:tcPr>
            <w:tcW w:type="dxa" w:w="652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An assumption, listed with its reasoning in Appendix A</w:t>
            </w:r>
          </w:p>
        </w:tc>
      </w:tr>
      <w:tr>
        <w:trPr>
          <w:cantSplit w:val="true"/>
        </w:trPr>
        <w:tc>
          <w:tcPr>
            <w:tcW w:type="dxa" w:w="250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Company input</w:t>
            </w:r>
          </w:p>
        </w:tc>
        <w:tc>
          <w:tcPr>
            <w:tcW w:type="dxa" w:w="652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Stated by NivoTime or the mentor, not publicly verifiable</w:t>
            </w:r>
          </w:p>
        </w:tc>
      </w:tr>
    </w:tbl>
    <w:p>
      <w:pPr>
        <w:spacing w:before="160"/>
      </w:pPr>
      <w:r>
        <w:br w:type="page"/>
      </w:r>
    </w:p>
    <w:p>
      <w:pPr>
        <w:pStyle w:val="Heading1"/>
        <w:shd w:val="clear" w:color="auto" w:fill="3B3A73"/>
        <w:jc w:val="left"/>
      </w:pPr>
      <w:r>
        <w:rPr>
          <w:color w:val="FFFFFF"/>
          <w:sz w:val="28"/>
        </w:rPr>
        <w:t xml:space="preserve">SECTION A — BUSINESS AND INDUSTRY UNDERSTANDING</w:t>
      </w:r>
    </w:p>
    <w:p>
      <w:pPr>
        <w:pStyle w:val="Heading1"/>
      </w:pPr>
      <w:r>
        <w:t xml:space="preserve">2. NivoTime: Company Snapshot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873"/>
        <w:gridCol w:w="5794"/>
        <w:gridCol w:w="1361"/>
      </w:tblGrid>
      <w:tr>
        <w:trPr>
          <w:cantSplit w:val="true"/>
          <w:tblHeader w:val="true"/>
        </w:trPr>
        <w:tc>
          <w:tcPr>
            <w:tcW w:type="dxa" w:w="187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Item</w:t>
            </w:r>
          </w:p>
        </w:tc>
        <w:tc>
          <w:tcPr>
            <w:tcW w:type="dxa" w:w="579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Detail</w:t>
            </w:r>
          </w:p>
        </w:tc>
        <w:tc>
          <w:tcPr>
            <w:tcW w:type="dxa" w:w="136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Source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Legal entity</w:t>
            </w:r>
          </w:p>
        </w:tc>
        <w:tc>
          <w:tcPr>
            <w:tcW w:type="dxa" w:w="57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NivoTime Private Limited, CIN U72900MH2018PTC314348</w:t>
            </w:r>
          </w:p>
        </w:tc>
        <w:tc>
          <w:tcPr>
            <w:tcW w:type="dxa" w:w="136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[3]</w:t>
            </w:r>
          </w:p>
        </w:tc>
      </w:tr>
      <w:tr>
        <w:trPr>
          <w:cantSplit w:val="true"/>
        </w:trPr>
        <w:tc>
          <w:tcPr>
            <w:tcW w:type="dxa" w:w="18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Founded</w:t>
            </w:r>
          </w:p>
        </w:tc>
        <w:tc>
          <w:tcPr>
            <w:tcW w:type="dxa" w:w="579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2018 (registries differ on the month)</w:t>
            </w:r>
          </w:p>
        </w:tc>
        <w:tc>
          <w:tcPr>
            <w:tcW w:type="dxa" w:w="136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[3]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</w:t>
            </w:r>
          </w:p>
        </w:tc>
        <w:tc>
          <w:tcPr>
            <w:tcW w:type="dxa" w:w="57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Pramod Pandey, Founder, Chairman and CEO; 20+ years across insurance, broking, technology and digital marketing; earlier roles include Tata-AIG, Wipro, Reliance, Marsh, Willis Towers Watson and UIB India</w:t>
            </w:r>
          </w:p>
        </w:tc>
        <w:tc>
          <w:tcPr>
            <w:tcW w:type="dxa" w:w="136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[1][43]</w:t>
            </w:r>
          </w:p>
        </w:tc>
      </w:tr>
      <w:tr>
        <w:trPr>
          <w:cantSplit w:val="true"/>
        </w:trPr>
        <w:tc>
          <w:tcPr>
            <w:tcW w:type="dxa" w:w="18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Team size</w:t>
            </w:r>
          </w:p>
        </w:tc>
        <w:tc>
          <w:tcPr>
            <w:tcW w:type="dxa" w:w="579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LinkedIn: 11–50 band, 17 employees listed; pitch deck: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30+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136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[2][4]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Capital</w:t>
            </w:r>
          </w:p>
        </w:tc>
        <w:tc>
          <w:tcPr>
            <w:tcW w:type="dxa" w:w="57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₹1 lakh paid-up; no external funding found</w:t>
            </w:r>
          </w:p>
        </w:tc>
        <w:tc>
          <w:tcPr>
            <w:tcW w:type="dxa" w:w="136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[3]</w:t>
            </w:r>
          </w:p>
        </w:tc>
      </w:tr>
      <w:tr>
        <w:trPr>
          <w:cantSplit w:val="true"/>
        </w:trPr>
        <w:tc>
          <w:tcPr>
            <w:tcW w:type="dxa" w:w="18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Location</w:t>
            </w:r>
          </w:p>
        </w:tc>
        <w:tc>
          <w:tcPr>
            <w:tcW w:type="dxa" w:w="579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Mumbai (Mira Road registered office); Dubai venture ZOYAME announced</w:t>
            </w:r>
          </w:p>
        </w:tc>
        <w:tc>
          <w:tcPr>
            <w:tcW w:type="dxa" w:w="136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[3][44]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Claimed scale</w:t>
            </w:r>
          </w:p>
        </w:tc>
        <w:tc>
          <w:tcPr>
            <w:tcW w:type="dxa" w:w="57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50+ clients, 95% staff retention, 99% on-time delivery (deck claims, not independently verified)</w:t>
            </w:r>
          </w:p>
        </w:tc>
        <w:tc>
          <w:tcPr>
            <w:tcW w:type="dxa" w:w="136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[2]</w:t>
            </w:r>
          </w:p>
        </w:tc>
      </w:tr>
    </w:tbl>
    <w:p>
      <w:pPr>
        <w:pStyle w:val="BodyText"/>
        <w:keepNext/>
        <w:spacing w:before="160"/>
      </w:pPr>
      <w:r>
        <w:rPr>
          <w:b/>
          <w:bCs/>
        </w:rPr>
        <w:t xml:space="preserve">What NivoTime sells today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114"/>
        <w:gridCol w:w="3521"/>
        <w:gridCol w:w="3392"/>
      </w:tblGrid>
      <w:tr>
        <w:trPr>
          <w:cantSplit w:val="true"/>
          <w:tblHeader w:val="true"/>
        </w:trPr>
        <w:tc>
          <w:tcPr>
            <w:tcW w:type="dxa" w:w="211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Business line</w:t>
            </w:r>
          </w:p>
        </w:tc>
        <w:tc>
          <w:tcPr>
            <w:tcW w:type="dxa" w:w="352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Offer</w:t>
            </w:r>
          </w:p>
        </w:tc>
        <w:tc>
          <w:tcPr>
            <w:tcW w:type="dxa" w:w="339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Strategic read</w:t>
            </w:r>
          </w:p>
        </w:tc>
      </w:tr>
      <w:tr>
        <w:trPr>
          <w:cantSplit w:val="true"/>
        </w:trPr>
        <w:tc>
          <w:tcPr>
            <w:tcW w:type="dxa" w:w="211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Technology services</w:t>
            </w:r>
          </w:p>
        </w:tc>
        <w:tc>
          <w:tcPr>
            <w:tcW w:type="dxa" w:w="352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Websites, portals, mobile apps, custom software, cloud, security</w:t>
            </w:r>
          </w:p>
        </w:tc>
        <w:tc>
          <w:tcPr>
            <w:tcW w:type="dxa" w:w="339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Cash generator; scales only with headcount</w:t>
            </w:r>
          </w:p>
        </w:tc>
      </w:tr>
      <w:tr>
        <w:trPr>
          <w:cantSplit w:val="true"/>
        </w:trPr>
        <w:tc>
          <w:tcPr>
            <w:tcW w:type="dxa" w:w="211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Digital marketing</w:t>
            </w:r>
          </w:p>
        </w:tc>
        <w:tc>
          <w:tcPr>
            <w:tcW w:type="dxa" w:w="352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SEO, social, campaigns</w:t>
            </w:r>
          </w:p>
        </w:tc>
        <w:tc>
          <w:tcPr>
            <w:tcW w:type="dxa" w:w="339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Separate skill set; useful only if it feeds NivoTime’s own lead generation</w:t>
            </w:r>
          </w:p>
        </w:tc>
      </w:tr>
      <w:tr>
        <w:trPr>
          <w:cantSplit w:val="true"/>
        </w:trPr>
        <w:tc>
          <w:tcPr>
            <w:tcW w:type="dxa" w:w="211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InsurTech</w:t>
            </w:r>
          </w:p>
        </w:tc>
        <w:tc>
          <w:tcPr>
            <w:tcW w:type="dxa" w:w="352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Flex benefits, H&amp;B, Affinity, TPA integration, analytics, survey, Nivo Kiosk</w:t>
            </w:r>
          </w:p>
        </w:tc>
        <w:tc>
          <w:tcPr>
            <w:tcW w:type="dxa" w:w="339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Strongest candidate for a scalable product</w:t>
            </w:r>
          </w:p>
        </w:tc>
      </w:tr>
      <w:tr>
        <w:trPr>
          <w:cantSplit w:val="true"/>
        </w:trPr>
        <w:tc>
          <w:tcPr>
            <w:tcW w:type="dxa" w:w="211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Benefits analytics and consulting</w:t>
            </w:r>
          </w:p>
        </w:tc>
        <w:tc>
          <w:tcPr>
            <w:tcW w:type="dxa" w:w="352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Benchmarking, claims utilisation review, claims audit, fraud flags, monthly MIS</w:t>
            </w:r>
          </w:p>
        </w:tc>
        <w:tc>
          <w:tcPr>
            <w:tcW w:type="dxa" w:w="339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Highest-value know-how; can feed the product</w:t>
            </w:r>
          </w:p>
        </w:tc>
      </w:tr>
      <w:tr>
        <w:trPr>
          <w:cantSplit w:val="true"/>
        </w:trPr>
        <w:tc>
          <w:tcPr>
            <w:tcW w:type="dxa" w:w="211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HealthTech</w:t>
            </w:r>
          </w:p>
        </w:tc>
        <w:tc>
          <w:tcPr>
            <w:tcW w:type="dxa" w:w="352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Online consultation, diagnostics, pharmacy, gym, wellness vendors</w:t>
            </w:r>
          </w:p>
        </w:tc>
        <w:tc>
          <w:tcPr>
            <w:tcW w:type="dxa" w:w="339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Attach-on layer, not the core story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Company inputs from the mentor</w:t>
      </w:r>
      <w:r>
        <w:t xml:space="preserve"> </w:t>
      </w:r>
      <w:r>
        <w:t xml:space="preserve">(not yet visible on the public website): a real-time benchmarking dashboard filterable by co-pay, company size, family cover and sum insured; deep HealthTech vendor management; quotation comparison; and consulting. These are the building blocks of the proposed suite in Section 7.</w:t>
      </w:r>
    </w:p>
    <w:p>
      <w:pPr>
        <w:pStyle w:val="BodyText"/>
        <w:keepNext/>
      </w:pPr>
      <w:r>
        <w:rPr>
          <w:b/>
          <w:bCs/>
        </w:rPr>
        <w:t xml:space="preserve">Observations from the research</w:t>
      </w:r>
    </w:p>
    <w:p>
      <w:pPr>
        <w:pStyle w:val="Compact"/>
        <w:numPr>
          <w:ilvl w:val="0"/>
          <w:numId w:val="1009"/>
        </w:numPr>
        <w:spacing w:after="60" w:line="324" w:lineRule="auto"/>
      </w:pPr>
      <w:r>
        <w:rPr>
          <w:b/>
          <w:bCs/>
        </w:rPr>
        <w:t xml:space="preserve">Positioning mismatch:</w:t>
      </w:r>
      <w:r>
        <w:t xml:space="preserve"> </w:t>
      </w:r>
      <w:r>
        <w:t xml:space="preserve">the deck leads with IT services; the website leads with InsurTech [1][2].</w:t>
      </w:r>
    </w:p>
    <w:p>
      <w:pPr>
        <w:pStyle w:val="Compact"/>
        <w:numPr>
          <w:ilvl w:val="0"/>
          <w:numId w:val="1009"/>
        </w:numPr>
        <w:spacing w:after="60" w:line="324" w:lineRule="auto"/>
      </w:pPr>
      <w:r>
        <w:rPr>
          <w:b/>
          <w:bCs/>
        </w:rPr>
        <w:t xml:space="preserve">No public proof:</w:t>
      </w:r>
      <w:r>
        <w:t xml:space="preserve"> </w:t>
      </w:r>
      <w:r>
        <w:t xml:space="preserve">no client logos, case studies, app-store listing or pricing were found.</w:t>
      </w:r>
    </w:p>
    <w:p>
      <w:pPr>
        <w:pStyle w:val="Compact"/>
        <w:numPr>
          <w:ilvl w:val="0"/>
          <w:numId w:val="1009"/>
        </w:numPr>
        <w:spacing w:after="60" w:line="324" w:lineRule="auto"/>
      </w:pPr>
      <w:r>
        <w:rPr>
          <w:b/>
          <w:bCs/>
        </w:rPr>
        <w:t xml:space="preserve">A trust gap to fix first:</w:t>
      </w:r>
      <w:r>
        <w:t xml:space="preserve"> </w:t>
      </w:r>
      <w:r>
        <w:t xml:space="preserve">at the time of research, the admin and user login links pointed to a raw IP address over plain HTTP, not a secure branded domain [1]. A broker’s IT team would flag this in due diligence.</w:t>
      </w:r>
    </w:p>
    <w:p>
      <w:pPr>
        <w:pStyle w:val="Compact"/>
        <w:numPr>
          <w:ilvl w:val="0"/>
          <w:numId w:val="1009"/>
        </w:numPr>
        <w:spacing w:after="60" w:line="324" w:lineRule="auto"/>
      </w:pPr>
      <w:r>
        <w:rPr>
          <w:b/>
          <w:bCs/>
        </w:rPr>
        <w:t xml:space="preserve">So what:</w:t>
      </w:r>
      <w:r>
        <w:t xml:space="preserve"> </w:t>
      </w:r>
      <w:r>
        <w:t xml:space="preserve">NivoTime has more product than proof. The fix is focus and evidence, not more features.</w:t>
      </w:r>
    </w:p>
    <w:p>
      <w:pPr>
        <w:pStyle w:val="Heading1"/>
      </w:pPr>
      <w:r>
        <w:t xml:space="preserve">3. Industry and Market Analysis</w:t>
      </w:r>
    </w:p>
    <w:p>
      <w:pPr>
        <w:pStyle w:val="Heading2"/>
      </w:pPr>
      <w:r>
        <w:t xml:space="preserve">3.1 Market size and growth</w:t>
      </w:r>
    </w:p>
    <w:p>
      <w:pPr>
        <w:pStyle w:val="CaptionedFigure"/>
      </w:pPr>
      <w:r>
        <w:drawing>
          <wp:inline>
            <wp:extent cx="5334000" cy="2898109"/>
            <wp:effectExtent b="0" l="0" r="0" t="0"/>
            <wp:docPr descr="Group health premium in India, FY24–FY26" title="" id="21" name="Picture"/>
            <a:graphic>
              <a:graphicData uri="http://schemas.openxmlformats.org/drawingml/2006/picture">
                <pic:pic>
                  <pic:nvPicPr>
                    <pic:cNvPr descr="fig/f1_marke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Group health premium in India, FY24–FY26</w:t>
      </w:r>
    </w:p>
    <w:p>
      <w:pPr>
        <w:pStyle w:val="Compact"/>
        <w:numPr>
          <w:ilvl w:val="0"/>
          <w:numId w:val="1010"/>
        </w:numPr>
        <w:spacing w:after="60" w:line="324" w:lineRule="auto"/>
      </w:pPr>
      <w:r>
        <w:rPr>
          <w:b/>
          <w:bCs/>
        </w:rPr>
        <w:t xml:space="preserve">Group health is the engine of Indian health insurance.</w:t>
      </w:r>
      <w:r>
        <w:t xml:space="preserve"> </w:t>
      </w:r>
      <w:r>
        <w:t xml:space="preserve">Group premium was ₹61,435 cr in FY25, 52.3% of all health premium, covering 27.51 crore lives [5]. CareEdge puts FY26 group premium at ₹68,641 cr, up 12.9% [6].</w:t>
      </w:r>
    </w:p>
    <w:p>
      <w:pPr>
        <w:pStyle w:val="Compact"/>
        <w:numPr>
          <w:ilvl w:val="0"/>
          <w:numId w:val="1010"/>
        </w:numPr>
        <w:spacing w:after="60" w:line="324" w:lineRule="auto"/>
      </w:pPr>
      <w:r>
        <w:rPr>
          <w:b/>
          <w:bCs/>
        </w:rPr>
        <w:t xml:space="preserve">Costs are rising fast.</w:t>
      </w:r>
      <w:r>
        <w:t xml:space="preserve"> </w:t>
      </w:r>
      <w:r>
        <w:t xml:space="preserve">India’s medical trend is forecast at 11.5% (Aon) to 12.9% (WTW) for 2026, among the highest in Asia [8][9]. The overall health claims ratio was 85.34% in FY25 [7].</w:t>
      </w:r>
    </w:p>
    <w:p>
      <w:pPr>
        <w:pStyle w:val="Compact"/>
        <w:numPr>
          <w:ilvl w:val="0"/>
          <w:numId w:val="1010"/>
        </w:numPr>
        <w:spacing w:after="60" w:line="324" w:lineRule="auto"/>
      </w:pPr>
      <w:r>
        <w:rPr>
          <w:b/>
          <w:bCs/>
        </w:rPr>
        <w:t xml:space="preserve">Average premium per group life ≈ ₹2,233 a year</w:t>
      </w:r>
      <w:r>
        <w:t xml:space="preserve"> </w:t>
      </w:r>
      <w:r>
        <w:t xml:space="preserve">(₹61,435 cr ÷ 27.51 cr lives) (Est.). Group lives include some non-employer groups, so treat this as an order of magnitude.</w:t>
      </w:r>
    </w:p>
    <w:p>
      <w:pPr>
        <w:pStyle w:val="Compact"/>
        <w:numPr>
          <w:ilvl w:val="0"/>
          <w:numId w:val="1010"/>
        </w:numPr>
        <w:spacing w:after="60" w:line="324" w:lineRule="auto"/>
      </w:pPr>
      <w:r>
        <w:rPr>
          <w:b/>
          <w:bCs/>
        </w:rPr>
        <w:t xml:space="preserve">Penetration is still low:</w:t>
      </w:r>
      <w:r>
        <w:t xml:space="preserve"> </w:t>
      </w:r>
      <w:r>
        <w:t xml:space="preserve">insurance penetration was 3.7% in FY25 against a 7.3% global average [41]. Growth has a long runway.</w:t>
      </w:r>
    </w:p>
    <w:p>
      <w:pPr>
        <w:pStyle w:val="Compact"/>
        <w:numPr>
          <w:ilvl w:val="0"/>
          <w:numId w:val="1010"/>
        </w:numPr>
        <w:spacing w:after="60" w:line="324" w:lineRule="auto"/>
      </w:pPr>
      <w:r>
        <w:rPr>
          <w:b/>
          <w:bCs/>
        </w:rPr>
        <w:t xml:space="preserve">Benefits are getting more flexible:</w:t>
      </w:r>
      <w:r>
        <w:t xml:space="preserve"> </w:t>
      </w:r>
      <w:r>
        <w:t xml:space="preserve">flexible health insurance adoption in India grew ~300% in five years [13]; globally 72% of employees say benefit choice matters, but only 41% get it [40].</w:t>
      </w:r>
    </w:p>
    <w:p>
      <w:pPr>
        <w:pStyle w:val="FirstParagraph"/>
      </w:pPr>
      <w:r>
        <w:rPr>
          <w:b/>
          <w:bCs/>
        </w:rPr>
        <w:t xml:space="preserve">So what:</w:t>
      </w:r>
      <w:r>
        <w:t xml:space="preserve"> </w:t>
      </w:r>
      <w:r>
        <w:t xml:space="preserve">the demand is real and growing. The fight is over who helps employers manage rising renewal costs, and that is exactly where benchmarking and quote comparison create value.</w:t>
      </w:r>
    </w:p>
    <w:p>
      <w:pPr>
        <w:pStyle w:val="Heading2"/>
      </w:pPr>
      <w:r>
        <w:t xml:space="preserve">3.2 PESTEL — only the factors that change NivoTime’s decisions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908"/>
        <w:gridCol w:w="3476"/>
        <w:gridCol w:w="3644"/>
      </w:tblGrid>
      <w:tr>
        <w:trPr>
          <w:cantSplit w:val="true"/>
          <w:tblHeader w:val="true"/>
        </w:trPr>
        <w:tc>
          <w:tcPr>
            <w:tcW w:type="dxa" w:w="190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Factor</w:t>
            </w:r>
          </w:p>
        </w:tc>
        <w:tc>
          <w:tcPr>
            <w:tcW w:type="dxa" w:w="347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What is happening</w:t>
            </w:r>
          </w:p>
        </w:tc>
        <w:tc>
          <w:tcPr>
            <w:tcW w:type="dxa" w:w="364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So what for NivoTime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Political / regulatory</w:t>
            </w:r>
          </w:p>
        </w:tc>
        <w:tc>
          <w:tcPr>
            <w:tcW w:type="dxa" w:w="347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Bima Sugam, IRDAI’s digital insurance marketplace, now targeted to go live by November 2026 [30]. IRDAI updated intermediary rules in July 2026 (perpetual registration, conversions by Jan 2027) [34].</w:t>
            </w:r>
          </w:p>
        </w:tc>
        <w:tc>
          <w:tcPr>
            <w:tcW w:type="dxa" w:w="364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Brokers must digitise.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Bima Sugam readiness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becomes a selling point for broker technology.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Regulatory (comparison)</w:t>
            </w:r>
          </w:p>
        </w:tc>
        <w:tc>
          <w:tcPr>
            <w:tcW w:type="dxa" w:w="347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Showing insurance comparisons and premiums to prospects is a regulated activity (web aggregators need registration, ₹25 lakh capital and insurer agreements) [33].</w:t>
            </w:r>
          </w:p>
        </w:tc>
        <w:tc>
          <w:tcPr>
            <w:tcW w:type="dxa" w:w="364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Quote comparison must be a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9"/>
              </w:rPr>
              <w:t xml:space="preserve">tool used by the licensed broker</w:t>
            </w:r>
            <w:r>
              <w:rPr>
                <w:rFonts w:ascii="Times New Roman" w:hAnsi="Times New Roman"/>
                <w:sz w:val="19"/>
              </w:rPr>
              <w:t xml:space="preserve">, not a public comparison site run by NivoTime. This shapes the product design (Section 7.7).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Legal (data)</w:t>
            </w:r>
          </w:p>
        </w:tc>
        <w:tc>
          <w:tcPr>
            <w:tcW w:type="dxa" w:w="347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DPDP Rules notified 14 Nov 2025; core obligations (consent, security, breach notice) apply from 14 May 2027 [31][32]. CERT-In requires cyber incidents to be reported within 6 hours [36].</w:t>
            </w:r>
          </w:p>
        </w:tc>
        <w:tc>
          <w:tcPr>
            <w:tcW w:type="dxa" w:w="364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Health and claims data needs privacy-by-design. This is a cost, but also a trust advantage over less careful rivals.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Legal (service levels)</w:t>
            </w:r>
          </w:p>
        </w:tc>
        <w:tc>
          <w:tcPr>
            <w:tcW w:type="dxa" w:w="347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IRDAI’s health master circular expects cashless authorisation within 1 hour and discharge within 3 hours [37].</w:t>
            </w:r>
          </w:p>
        </w:tc>
        <w:tc>
          <w:tcPr>
            <w:tcW w:type="dxa" w:w="364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Brokers and employers need faster claims visibility, which supports the vendor/TPA management module.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Economic</w:t>
            </w:r>
          </w:p>
        </w:tc>
        <w:tc>
          <w:tcPr>
            <w:tcW w:type="dxa" w:w="347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Medical trend 11.5–12.9% [8][9]; IRDAI scrutiny of broker commissions, which grew faster than premiums over FY23–FY25 [12].</w:t>
            </w:r>
          </w:p>
        </w:tc>
        <w:tc>
          <w:tcPr>
            <w:tcW w:type="dxa" w:w="364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Brokers are squeezed on both price and margin, so they need productivity tools, not more headcount.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Technological</w:t>
            </w:r>
          </w:p>
        </w:tc>
        <w:tc>
          <w:tcPr>
            <w:tcW w:type="dxa" w:w="347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Insurers and TPAs are adopting AI: Medi Assist’s AI tools, Policybazaar’s ClaimSetu engine (claims processed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up to 50% faster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) [20][21]. IRDAI set up an AI working group in June 2026 [35].</w:t>
            </w:r>
          </w:p>
        </w:tc>
        <w:tc>
          <w:tcPr>
            <w:tcW w:type="dxa" w:w="364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AI is becoming table stakes in claims. The next frontier is AI in advice and renewals.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Social</w:t>
            </w:r>
          </w:p>
        </w:tc>
        <w:tc>
          <w:tcPr>
            <w:tcW w:type="dxa" w:w="347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India is still an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immature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flex-benefits market [39]; employees expect digital, personalised benefits [40].</w:t>
            </w:r>
          </w:p>
        </w:tc>
        <w:tc>
          <w:tcPr>
            <w:tcW w:type="dxa" w:w="364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Category education is still needed, which favours brokers, who already have trusted relationships.</w:t>
            </w:r>
          </w:p>
        </w:tc>
      </w:tr>
    </w:tbl>
    <w:p>
      <w:pPr>
        <w:pStyle w:val="BodyText"/>
        <w:spacing w:before="160"/>
      </w:pPr>
      <w:r>
        <w:rPr>
          <w:i/>
          <w:iCs/>
        </w:rPr>
        <w:t xml:space="preserve">Environmental factors were skipped: not material for a B2B software business.</w:t>
      </w:r>
    </w:p>
    <w:p>
      <w:pPr>
        <w:pStyle w:val="Heading2"/>
      </w:pPr>
      <w:r>
        <w:t xml:space="preserve">3.3 Porter’s Five Forces (benefits technology for brokers and employers)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658"/>
        <w:gridCol w:w="1663"/>
        <w:gridCol w:w="4706"/>
      </w:tblGrid>
      <w:tr>
        <w:trPr>
          <w:cantSplit w:val="true"/>
          <w:tblHeader w:val="true"/>
        </w:trPr>
        <w:tc>
          <w:tcPr>
            <w:tcW w:type="dxa" w:w="265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Force</w:t>
            </w:r>
          </w:p>
        </w:tc>
        <w:tc>
          <w:tcPr>
            <w:tcW w:type="dxa" w:w="166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Rating</w:t>
            </w:r>
          </w:p>
        </w:tc>
        <w:tc>
          <w:tcPr>
            <w:tcW w:type="dxa" w:w="470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Evidence and meaning</w:t>
            </w:r>
          </w:p>
        </w:tc>
      </w:tr>
      <w:tr>
        <w:trPr>
          <w:cantSplit w:val="true"/>
        </w:trPr>
        <w:tc>
          <w:tcPr>
            <w:tcW w:type="dxa" w:w="265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Threat of new entrants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High</w:t>
            </w:r>
          </w:p>
        </w:tc>
        <w:tc>
          <w:tcPr>
            <w:tcW w:type="dxa" w:w="470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717 InsurTech startups tracked in India [38]; software is cheaper to build with AI. Differentiation must come from data and relationships, not code.</w:t>
            </w:r>
          </w:p>
        </w:tc>
      </w:tr>
      <w:tr>
        <w:trPr>
          <w:cantSplit w:val="true"/>
        </w:trPr>
        <w:tc>
          <w:tcPr>
            <w:tcW w:type="dxa" w:w="265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Threat of substitutes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High</w:t>
            </w:r>
          </w:p>
        </w:tc>
        <w:tc>
          <w:tcPr>
            <w:tcW w:type="dxa" w:w="470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Plum and Pazcare are licensed brokers themselves [42]; large brokers build in-house (Prudent BenchmarkPro [22], Aon benchmarking [46]). Spreadsheets remain the cheapest substitute.</w:t>
            </w:r>
          </w:p>
        </w:tc>
      </w:tr>
      <w:tr>
        <w:trPr>
          <w:cantSplit w:val="true"/>
        </w:trPr>
        <w:tc>
          <w:tcPr>
            <w:tcW w:type="dxa" w:w="265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Buyer power (brokers)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High</w:t>
            </w:r>
          </w:p>
        </w:tc>
        <w:tc>
          <w:tcPr>
            <w:tcW w:type="dxa" w:w="470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Only 751 licensed brokers (678 direct, 69 composite, 4 reinsurance) [10]. A small, well-networked buyer pool that compares vendors.</w:t>
            </w:r>
          </w:p>
        </w:tc>
      </w:tr>
      <w:tr>
        <w:trPr>
          <w:cantSplit w:val="true"/>
        </w:trPr>
        <w:tc>
          <w:tcPr>
            <w:tcW w:type="dxa" w:w="265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Supplier power (insurers, TPAs)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Medium</w:t>
            </w:r>
          </w:p>
        </w:tc>
        <w:tc>
          <w:tcPr>
            <w:tcW w:type="dxa" w:w="470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Integrations depend on insurer and TPA cooperation, but this affects all rivals equally.</w:t>
            </w:r>
          </w:p>
        </w:tc>
      </w:tr>
      <w:tr>
        <w:trPr>
          <w:cantSplit w:val="true"/>
        </w:trPr>
        <w:tc>
          <w:tcPr>
            <w:tcW w:type="dxa" w:w="265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Rivalry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Medium–High</w:t>
            </w:r>
          </w:p>
        </w:tc>
        <w:tc>
          <w:tcPr>
            <w:tcW w:type="dxa" w:w="470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Bharatsure (60+ partners, 4 lakh+ lives) and Turtlefin (40+ insurers) already sell to intermediaries [18][19]; Pazcare’s Claims IQ benchmarks claims ratios for renewals [17].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So what:</w:t>
      </w:r>
      <w:r>
        <w:t xml:space="preserve"> </w:t>
      </w:r>
      <w:r>
        <w:t xml:space="preserve">the hardest force is substitutes, not direct rivals. NivoTime should not target large brokers (they build) or tech-first brokers (they are competitors). The realistic buyer is the</w:t>
      </w:r>
      <w:r>
        <w:t xml:space="preserve"> </w:t>
      </w:r>
      <w:r>
        <w:rPr>
          <w:b/>
          <w:bCs/>
        </w:rPr>
        <w:t xml:space="preserve">mid-size broker that can neither build nor afford to fall behind</w:t>
      </w:r>
      <w:r>
        <w:t xml:space="preserve">.</w:t>
      </w:r>
    </w:p>
    <w:p>
      <w:pPr>
        <w:pStyle w:val="Heading2"/>
      </w:pPr>
      <w:r>
        <w:t xml:space="preserve">3.4 Value chain — where NivoTime adds value and where it leaks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150"/>
        <w:gridCol w:w="3496"/>
        <w:gridCol w:w="3381"/>
      </w:tblGrid>
      <w:tr>
        <w:trPr>
          <w:cantSplit w:val="true"/>
          <w:tblHeader w:val="true"/>
        </w:trPr>
        <w:tc>
          <w:tcPr>
            <w:tcW w:type="dxa" w:w="215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Activity</w:t>
            </w:r>
          </w:p>
        </w:tc>
        <w:tc>
          <w:tcPr>
            <w:tcW w:type="dxa" w:w="349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NivoTime today</w:t>
            </w:r>
          </w:p>
        </w:tc>
        <w:tc>
          <w:tcPr>
            <w:tcW w:type="dxa" w:w="338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Strength or gap</w:t>
            </w:r>
          </w:p>
        </w:tc>
      </w:tr>
      <w:tr>
        <w:trPr>
          <w:cantSplit w:val="true"/>
        </w:trPr>
        <w:tc>
          <w:tcPr>
            <w:tcW w:type="dxa" w:w="21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Data and partner onboarding</w:t>
            </w:r>
          </w:p>
        </w:tc>
        <w:tc>
          <w:tcPr>
            <w:tcW w:type="dxa" w:w="349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Insurer, TPA and wellness vendor integrations claimed [1]</w:t>
            </w:r>
          </w:p>
        </w:tc>
        <w:tc>
          <w:tcPr>
            <w:tcW w:type="dxa" w:w="338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Number of live integrations not public; must be proven</w:t>
            </w:r>
          </w:p>
        </w:tc>
      </w:tr>
      <w:tr>
        <w:trPr>
          <w:cantSplit w:val="true"/>
        </w:trPr>
        <w:tc>
          <w:tcPr>
            <w:tcW w:type="dxa" w:w="215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Platform operations</w:t>
            </w:r>
          </w:p>
        </w:tc>
        <w:tc>
          <w:tcPr>
            <w:tcW w:type="dxa" w:w="349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Flex, H&amp;B, analytics, claims modules</w:t>
            </w:r>
          </w:p>
        </w:tc>
        <w:tc>
          <w:tcPr>
            <w:tcW w:type="dxa" w:w="338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Wide product for a small team; depth needs testing</w:t>
            </w:r>
          </w:p>
        </w:tc>
      </w:tr>
      <w:tr>
        <w:trPr>
          <w:cantSplit w:val="true"/>
        </w:trPr>
        <w:tc>
          <w:tcPr>
            <w:tcW w:type="dxa" w:w="21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Delivery to clients</w:t>
            </w:r>
          </w:p>
        </w:tc>
        <w:tc>
          <w:tcPr>
            <w:tcW w:type="dxa" w:w="349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Employer and employee dashboards, mobile app claimed [1]</w:t>
            </w:r>
          </w:p>
        </w:tc>
        <w:tc>
          <w:tcPr>
            <w:tcW w:type="dxa" w:w="338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 app-store listing found</w:t>
            </w:r>
          </w:p>
        </w:tc>
      </w:tr>
      <w:tr>
        <w:trPr>
          <w:cantSplit w:val="true"/>
        </w:trPr>
        <w:tc>
          <w:tcPr>
            <w:tcW w:type="dxa" w:w="215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Marketing and sales</w:t>
            </w:r>
          </w:p>
        </w:tc>
        <w:tc>
          <w:tcPr>
            <w:tcW w:type="dxa" w:w="349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Founder-led; no visible content, case studies or logos</w:t>
            </w:r>
          </w:p>
        </w:tc>
        <w:tc>
          <w:tcPr>
            <w:tcW w:type="dxa" w:w="338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Weakest link</w:t>
            </w:r>
          </w:p>
        </w:tc>
      </w:tr>
      <w:tr>
        <w:trPr>
          <w:cantSplit w:val="true"/>
        </w:trPr>
        <w:tc>
          <w:tcPr>
            <w:tcW w:type="dxa" w:w="21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Service</w:t>
            </w:r>
          </w:p>
        </w:tc>
        <w:tc>
          <w:tcPr>
            <w:tcW w:type="dxa" w:w="349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TPA integration, claims review, MIS reporting</w:t>
            </w:r>
          </w:p>
        </w:tc>
        <w:tc>
          <w:tcPr>
            <w:tcW w:type="dxa" w:w="338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Analytics depth is a real asset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So what:</w:t>
      </w:r>
      <w:r>
        <w:t xml:space="preserve"> </w:t>
      </w:r>
      <w:r>
        <w:t xml:space="preserve">value is created in analytics and integration, and lost in marketing and proof. The broker channel helps because brokers bring the trust and the relationships NivoTime lacks.</w:t>
      </w:r>
    </w:p>
    <w:p>
      <w:pPr>
        <w:pStyle w:val="Heading1"/>
      </w:pPr>
      <w:r>
        <w:t xml:space="preserve">4. Business Model and Unit Economics</w:t>
      </w:r>
    </w:p>
    <w:p>
      <w:pPr>
        <w:pStyle w:val="Heading2"/>
      </w:pPr>
      <w:r>
        <w:t xml:space="preserve">4.1 Business Model Canvas (proposed, both paths)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908"/>
        <w:gridCol w:w="3689"/>
        <w:gridCol w:w="3431"/>
      </w:tblGrid>
      <w:tr>
        <w:trPr>
          <w:cantSplit w:val="true"/>
          <w:tblHeader w:val="true"/>
        </w:trPr>
        <w:tc>
          <w:tcPr>
            <w:tcW w:type="dxa" w:w="190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Block</w:t>
            </w:r>
          </w:p>
        </w:tc>
        <w:tc>
          <w:tcPr>
            <w:tcW w:type="dxa" w:w="368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Broker path (primary)</w:t>
            </w:r>
          </w:p>
        </w:tc>
        <w:tc>
          <w:tcPr>
            <w:tcW w:type="dxa" w:w="343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Employer path (validation)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Customer segments</w:t>
            </w:r>
          </w:p>
        </w:tc>
        <w:tc>
          <w:tcPr>
            <w:tcW w:type="dxa" w:w="368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Mid-size IRDAI-licensed brokers with a group-health book</w:t>
            </w:r>
          </w:p>
        </w:tc>
        <w:tc>
          <w:tcPr>
            <w:tcW w:type="dxa" w:w="34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Employers with 250–2,000 staff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Value proposition</w:t>
            </w:r>
          </w:p>
        </w:tc>
        <w:tc>
          <w:tcPr>
            <w:tcW w:type="dxa" w:w="368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Win and service more corporate accounts without adding headcount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: white-label benchmarking, quote comparison and renewal tools</w:t>
            </w:r>
          </w:p>
        </w:tc>
        <w:tc>
          <w:tcPr>
            <w:tcW w:type="dxa" w:w="343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Know if your benefits are competitive and cut renewal surprises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Channels</w:t>
            </w:r>
          </w:p>
        </w:tc>
        <w:tc>
          <w:tcPr>
            <w:tcW w:type="dxa" w:w="368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 network, account-based marketing, broker events</w:t>
            </w:r>
          </w:p>
        </w:tc>
        <w:tc>
          <w:tcPr>
            <w:tcW w:type="dxa" w:w="34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Direct sales, benefits health check, content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Customer relationships</w:t>
            </w:r>
          </w:p>
        </w:tc>
        <w:tc>
          <w:tcPr>
            <w:tcW w:type="dxa" w:w="368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Long-term platform partner; broker owns the client</w:t>
            </w:r>
          </w:p>
        </w:tc>
        <w:tc>
          <w:tcPr>
            <w:tcW w:type="dxa" w:w="343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Direct account management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Revenue streams</w:t>
            </w:r>
          </w:p>
        </w:tc>
        <w:tc>
          <w:tcPr>
            <w:tcW w:type="dxa" w:w="368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subscription + per-account renewal pack + per-life engagement fee</w:t>
            </w:r>
          </w:p>
        </w:tc>
        <w:tc>
          <w:tcPr>
            <w:tcW w:type="dxa" w:w="34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Per-life platform fee + advisory packs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Key resources</w:t>
            </w:r>
          </w:p>
        </w:tc>
        <w:tc>
          <w:tcPr>
            <w:tcW w:type="dxa" w:w="368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Founder’s broker network; Flex and analytics code; anonymised benchmark data</w:t>
            </w:r>
          </w:p>
        </w:tc>
        <w:tc>
          <w:tcPr>
            <w:tcW w:type="dxa" w:w="343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Same platform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Key activities</w:t>
            </w:r>
          </w:p>
        </w:tc>
        <w:tc>
          <w:tcPr>
            <w:tcW w:type="dxa" w:w="368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 and AI development, integrations, broker enablement</w:t>
            </w:r>
          </w:p>
        </w:tc>
        <w:tc>
          <w:tcPr>
            <w:tcW w:type="dxa" w:w="34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Onboarding, customer success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Key partners</w:t>
            </w:r>
          </w:p>
        </w:tc>
        <w:tc>
          <w:tcPr>
            <w:tcW w:type="dxa" w:w="368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Insurers, TPAs, HRMS vendors, wellness vendors</w:t>
            </w:r>
          </w:p>
        </w:tc>
        <w:tc>
          <w:tcPr>
            <w:tcW w:type="dxa" w:w="343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Same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Cost structure</w:t>
            </w:r>
          </w:p>
        </w:tc>
        <w:tc>
          <w:tcPr>
            <w:tcW w:type="dxa" w:w="368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Engineering, cloud and AI usage, security and compliance, sales</w:t>
            </w:r>
          </w:p>
        </w:tc>
        <w:tc>
          <w:tcPr>
            <w:tcW w:type="dxa" w:w="34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Shared</w:t>
            </w:r>
          </w:p>
        </w:tc>
      </w:tr>
    </w:tbl>
    <w:p>
      <w:pPr>
        <w:pStyle w:val="Heading2"/>
        <w:spacing w:before="160"/>
      </w:pPr>
      <w:r>
        <w:t xml:space="preserve">4.2 Unit economics (outside-in, illustrative)</w:t>
      </w:r>
    </w:p>
    <w:p>
      <w:pPr>
        <w:pStyle w:val="FirstParagraph"/>
      </w:pPr>
      <w:r>
        <w:t xml:space="preserve">NivoTime’s actual prices and costs are not public, so the figures below are</w:t>
      </w:r>
      <w:r>
        <w:t xml:space="preserve"> </w:t>
      </w:r>
      <w:r>
        <w:rPr>
          <w:b/>
          <w:bCs/>
        </w:rPr>
        <w:t xml:space="preserve">built from market data and labelled assumptions</w:t>
      </w:r>
      <w:r>
        <w:t xml:space="preserve"> </w:t>
      </w:r>
      <w:r>
        <w:t xml:space="preserve">(Appendix A). They show the logic and the levers, not NivoTime’s current numbers.</w:t>
      </w:r>
    </w:p>
    <w:p>
      <w:pPr>
        <w:pStyle w:val="BodyText"/>
        <w:keepNext/>
      </w:pPr>
      <w:r>
        <w:rPr>
          <w:b/>
          <w:bCs/>
        </w:rPr>
        <w:t xml:space="preserve">Pricing logic: price against the broker’s own economics</w:t>
      </w:r>
    </w:p>
    <w:p>
      <w:pPr>
        <w:pStyle w:val="Compact"/>
        <w:numPr>
          <w:ilvl w:val="0"/>
          <w:numId w:val="1011"/>
        </w:numPr>
        <w:spacing w:after="60" w:line="324" w:lineRule="auto"/>
      </w:pPr>
      <w:r>
        <w:t xml:space="preserve">Average group premium per life ≈ ₹2,233 (Est., [5]).</w:t>
      </w:r>
    </w:p>
    <w:p>
      <w:pPr>
        <w:pStyle w:val="Compact"/>
        <w:numPr>
          <w:ilvl w:val="0"/>
          <w:numId w:val="1011"/>
        </w:numPr>
        <w:spacing w:after="60" w:line="324" w:lineRule="auto"/>
      </w:pPr>
      <w:r>
        <w:t xml:space="preserve">At an assumed 7.5% brokerage (A3), a broker earns ~₹167 per covered life per year (Est.).</w:t>
      </w:r>
    </w:p>
    <w:p>
      <w:pPr>
        <w:pStyle w:val="Compact"/>
        <w:numPr>
          <w:ilvl w:val="0"/>
          <w:numId w:val="1011"/>
        </w:numPr>
        <w:spacing w:after="60" w:line="324" w:lineRule="auto"/>
      </w:pPr>
      <w:r>
        <w:t xml:space="preserve">Proposed broker pricing (A4): ₹1.8 lakh a year workspace subscription + ₹5,000 per active employer account (AI renewal and quote pack) + ₹10 per engaged employee life.</w:t>
      </w:r>
    </w:p>
    <w:p>
      <w:pPr>
        <w:pStyle w:val="Compact"/>
        <w:numPr>
          <w:ilvl w:val="0"/>
          <w:numId w:val="1011"/>
        </w:numPr>
        <w:spacing w:after="60" w:line="324" w:lineRule="auto"/>
      </w:pPr>
      <w:r>
        <w:t xml:space="preserve">For a typical mid-size broker at maturity (25 accounts, 700 lives each), that is</w:t>
      </w:r>
      <w:r>
        <w:t xml:space="preserve"> </w:t>
      </w:r>
      <w:r>
        <w:rPr>
          <w:b/>
          <w:bCs/>
        </w:rPr>
        <w:t xml:space="preserve">~₹4.8 lakh ARR per broker</w:t>
      </w:r>
      <w:r>
        <w:t xml:space="preserve"> </w:t>
      </w:r>
      <w:r>
        <w:t xml:space="preserve">(Est.), about 16% of the broker’s revenue from those lives.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136"/>
        <w:gridCol w:w="3276"/>
        <w:gridCol w:w="3615"/>
      </w:tblGrid>
      <w:tr>
        <w:trPr>
          <w:cantSplit w:val="true"/>
          <w:tblHeader w:val="true"/>
        </w:trPr>
        <w:tc>
          <w:tcPr>
            <w:tcW w:type="dxa" w:w="213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Unit metric</w:t>
            </w:r>
          </w:p>
        </w:tc>
        <w:tc>
          <w:tcPr>
            <w:tcW w:type="dxa" w:w="327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Estimate</w:t>
            </w:r>
          </w:p>
        </w:tc>
        <w:tc>
          <w:tcPr>
            <w:tcW w:type="dxa" w:w="361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Basis</w:t>
            </w:r>
          </w:p>
        </w:tc>
      </w:tr>
      <w:tr>
        <w:trPr>
          <w:cantSplit w:val="true"/>
        </w:trPr>
        <w:tc>
          <w:tcPr>
            <w:tcW w:type="dxa" w:w="213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ARR per broker (mature)</w:t>
            </w:r>
          </w:p>
        </w:tc>
        <w:tc>
          <w:tcPr>
            <w:tcW w:type="dxa" w:w="327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₹4.8 lakh</w:t>
            </w:r>
          </w:p>
        </w:tc>
        <w:tc>
          <w:tcPr>
            <w:tcW w:type="dxa" w:w="361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A4, A8</w:t>
            </w:r>
          </w:p>
        </w:tc>
      </w:tr>
      <w:tr>
        <w:trPr>
          <w:cantSplit w:val="true"/>
        </w:trPr>
        <w:tc>
          <w:tcPr>
            <w:tcW w:type="dxa" w:w="213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Gross margin</w:t>
            </w:r>
          </w:p>
        </w:tc>
        <w:tc>
          <w:tcPr>
            <w:tcW w:type="dxa" w:w="327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~70%</w:t>
            </w:r>
          </w:p>
        </w:tc>
        <w:tc>
          <w:tcPr>
            <w:tcW w:type="dxa" w:w="361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A10 (cloud, AI usage and support)</w:t>
            </w:r>
          </w:p>
        </w:tc>
      </w:tr>
      <w:tr>
        <w:trPr>
          <w:cantSplit w:val="true"/>
        </w:trPr>
        <w:tc>
          <w:tcPr>
            <w:tcW w:type="dxa" w:w="213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Customer lifetime</w:t>
            </w:r>
          </w:p>
        </w:tc>
        <w:tc>
          <w:tcPr>
            <w:tcW w:type="dxa" w:w="327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 years</w:t>
            </w:r>
          </w:p>
        </w:tc>
        <w:tc>
          <w:tcPr>
            <w:tcW w:type="dxa" w:w="361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A11</w:t>
            </w:r>
          </w:p>
        </w:tc>
      </w:tr>
      <w:tr>
        <w:trPr>
          <w:cantSplit w:val="true"/>
        </w:trPr>
        <w:tc>
          <w:tcPr>
            <w:tcW w:type="dxa" w:w="213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Lifetime value (LTV)</w:t>
            </w:r>
          </w:p>
        </w:tc>
        <w:tc>
          <w:tcPr>
            <w:tcW w:type="dxa" w:w="327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~₹16.8 lakh</w:t>
            </w:r>
          </w:p>
        </w:tc>
        <w:tc>
          <w:tcPr>
            <w:tcW w:type="dxa" w:w="361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ARR × margin × lifetime</w:t>
            </w:r>
          </w:p>
        </w:tc>
      </w:tr>
      <w:tr>
        <w:trPr>
          <w:cantSplit w:val="true"/>
        </w:trPr>
        <w:tc>
          <w:tcPr>
            <w:tcW w:type="dxa" w:w="213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CAC per broker</w:t>
            </w:r>
          </w:p>
        </w:tc>
        <w:tc>
          <w:tcPr>
            <w:tcW w:type="dxa" w:w="327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~₹1.9 lakh (excl. founder time)</w:t>
            </w:r>
          </w:p>
        </w:tc>
        <w:tc>
          <w:tcPr>
            <w:tcW w:type="dxa" w:w="361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60% of sales and marketing spend ÷ brokers won (A12)</w:t>
            </w:r>
          </w:p>
        </w:tc>
      </w:tr>
      <w:tr>
        <w:trPr>
          <w:cantSplit w:val="true"/>
        </w:trPr>
        <w:tc>
          <w:tcPr>
            <w:tcW w:type="dxa" w:w="213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LTV : CAC</w:t>
            </w:r>
          </w:p>
        </w:tc>
        <w:tc>
          <w:tcPr>
            <w:tcW w:type="dxa" w:w="327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~8.8x (likely 4–6x when founder time is costed)</w:t>
            </w:r>
          </w:p>
        </w:tc>
        <w:tc>
          <w:tcPr>
            <w:tcW w:type="dxa" w:w="361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Healthy benchmark is &gt;3x</w:t>
            </w:r>
          </w:p>
        </w:tc>
      </w:tr>
      <w:tr>
        <w:trPr>
          <w:cantSplit w:val="true"/>
        </w:trPr>
        <w:tc>
          <w:tcPr>
            <w:tcW w:type="dxa" w:w="213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CAC payback</w:t>
            </w:r>
          </w:p>
        </w:tc>
        <w:tc>
          <w:tcPr>
            <w:tcW w:type="dxa" w:w="327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~7 months</w:t>
            </w:r>
          </w:p>
        </w:tc>
        <w:tc>
          <w:tcPr>
            <w:tcW w:type="dxa" w:w="361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CAC ÷ monthly gross margin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So what:</w:t>
      </w:r>
      <w:r>
        <w:t xml:space="preserve"> </w:t>
      </w:r>
      <w:r>
        <w:t xml:space="preserve">per-life software fees are small in rupees, so the model only works with a</w:t>
      </w:r>
      <w:r>
        <w:t xml:space="preserve"> </w:t>
      </w:r>
      <w:r>
        <w:rPr>
          <w:b/>
          <w:bCs/>
        </w:rPr>
        <w:t xml:space="preserve">lean, reused team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many brokers</w:t>
      </w:r>
      <w:r>
        <w:t xml:space="preserve">, not a few large deals. That is why distribution through brokers matters more than the product’s list price.</w:t>
      </w:r>
    </w:p>
    <w:p>
      <w:r>
        <w:br w:type="page"/>
      </w:r>
    </w:p>
    <w:p>
      <w:pPr>
        <w:pStyle w:val="Heading1"/>
        <w:shd w:val="clear" w:color="auto" w:fill="3B3A73"/>
        <w:jc w:val="left"/>
      </w:pPr>
      <w:r>
        <w:rPr>
          <w:color w:val="FFFFFF"/>
          <w:sz w:val="28"/>
        </w:rPr>
        <w:t xml:space="preserve">SECTION B — DIAGNOSIS</w:t>
      </w:r>
    </w:p>
    <w:p>
      <w:pPr>
        <w:pStyle w:val="Heading1"/>
      </w:pPr>
      <w:r>
        <w:t xml:space="preserve">5. Competitive Landscape</w:t>
      </w:r>
    </w:p>
    <w:p>
      <w:pPr>
        <w:pStyle w:val="Heading2"/>
      </w:pPr>
      <w:r>
        <w:t xml:space="preserve">5.1 Who NivoTime is really up against</w:t>
      </w:r>
    </w:p>
    <w:p>
      <w:pPr>
        <w:pStyle w:val="FirstParagraph"/>
      </w:pPr>
      <w:r>
        <w:t xml:space="preserve">Each competitor was researched separately from its own website or recent press (September 2026).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785"/>
        <w:gridCol w:w="2030"/>
        <w:gridCol w:w="2614"/>
        <w:gridCol w:w="2598"/>
      </w:tblGrid>
      <w:tr>
        <w:trPr>
          <w:cantSplit w:val="true"/>
          <w:tblHeader w:val="true"/>
        </w:trPr>
        <w:tc>
          <w:tcPr>
            <w:tcW w:type="dxa" w:w="178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Player</w:t>
            </w:r>
          </w:p>
        </w:tc>
        <w:tc>
          <w:tcPr>
            <w:tcW w:type="dxa" w:w="203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261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Scale / proof</w:t>
            </w:r>
          </w:p>
        </w:tc>
        <w:tc>
          <w:tcPr>
            <w:tcW w:type="dxa" w:w="259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Benchmarking, quote or AI features found</w:t>
            </w:r>
          </w:p>
        </w:tc>
      </w:tr>
      <w:tr>
        <w:trPr>
          <w:cantSplit w:val="true"/>
        </w:trPr>
        <w:tc>
          <w:tcPr>
            <w:tcW w:type="dxa" w:w="178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Plum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Tech-first licensed broker</w:t>
            </w:r>
          </w:p>
        </w:tc>
        <w:tc>
          <w:tcPr>
            <w:tcW w:type="dxa" w:w="261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6,000+ organisations; ₹193 cr Series B (Mar 2026) [14]</w:t>
            </w:r>
          </w:p>
        </w:tc>
        <w:tc>
          <w:tcPr>
            <w:tcW w:type="dxa" w:w="259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AI-driven claims operations; no broker tools</w:t>
            </w:r>
          </w:p>
        </w:tc>
      </w:tr>
      <w:tr>
        <w:trPr>
          <w:cantSplit w:val="true"/>
        </w:trPr>
        <w:tc>
          <w:tcPr>
            <w:tcW w:type="dxa" w:w="178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Pazcare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Tech-first licensed broker</w:t>
            </w:r>
          </w:p>
        </w:tc>
        <w:tc>
          <w:tcPr>
            <w:tcW w:type="dxa" w:w="261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Licensed broker [42]</w:t>
            </w:r>
          </w:p>
        </w:tc>
        <w:tc>
          <w:tcPr>
            <w:tcW w:type="dxa" w:w="259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Claims IQ</w:t>
            </w:r>
            <w:r>
              <w:rPr>
                <w:rFonts w:ascii="Times New Roman" w:hAnsi="Times New Roman"/>
                <w:sz w:val="19"/>
              </w:rPr>
              <w:t xml:space="preserve">: compares a client’s claims ratio with industry figures for renewal talks [17]</w:t>
            </w:r>
          </w:p>
        </w:tc>
      </w:tr>
      <w:tr>
        <w:trPr>
          <w:cantSplit w:val="true"/>
        </w:trPr>
        <w:tc>
          <w:tcPr>
            <w:tcW w:type="dxa" w:w="178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Loop Health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Tech-first broker</w:t>
            </w:r>
          </w:p>
        </w:tc>
        <w:tc>
          <w:tcPr>
            <w:tcW w:type="dxa" w:w="261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1M+ lives, 1,250+ enterprises [15]</w:t>
            </w:r>
          </w:p>
        </w:tc>
        <w:tc>
          <w:tcPr>
            <w:tcW w:type="dxa" w:w="259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Claims dashboard; no benchmarking tool found</w:t>
            </w:r>
          </w:p>
        </w:tc>
      </w:tr>
      <w:tr>
        <w:trPr>
          <w:cantSplit w:val="true"/>
        </w:trPr>
        <w:tc>
          <w:tcPr>
            <w:tcW w:type="dxa" w:w="178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Onsurity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Corporate agent, SME focus</w:t>
            </w:r>
          </w:p>
        </w:tc>
        <w:tc>
          <w:tcPr>
            <w:tcW w:type="dxa" w:w="261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2M+ members [16]</w:t>
            </w:r>
          </w:p>
        </w:tc>
        <w:tc>
          <w:tcPr>
            <w:tcW w:type="dxa" w:w="259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Usage analytics; no broker tools</w:t>
            </w:r>
          </w:p>
        </w:tc>
      </w:tr>
      <w:tr>
        <w:trPr>
          <w:cantSplit w:val="true"/>
        </w:trPr>
        <w:tc>
          <w:tcPr>
            <w:tcW w:type="dxa" w:w="178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Bharatsure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Tech vendor to intermediaries</w:t>
            </w:r>
          </w:p>
        </w:tc>
        <w:tc>
          <w:tcPr>
            <w:tcW w:type="dxa" w:w="261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60+ partners, 4 lakh+ lives, ₹191 cr+ premium [18]</w:t>
            </w:r>
          </w:p>
        </w:tc>
        <w:tc>
          <w:tcPr>
            <w:tcW w:type="dxa" w:w="259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Benefits and claims stack for brokers; no quote comparison found</w:t>
            </w:r>
          </w:p>
        </w:tc>
      </w:tr>
      <w:tr>
        <w:trPr>
          <w:cantSplit w:val="true"/>
        </w:trPr>
        <w:tc>
          <w:tcPr>
            <w:tcW w:type="dxa" w:w="178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Turtlefin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White-label distribution tech</w:t>
            </w:r>
          </w:p>
        </w:tc>
        <w:tc>
          <w:tcPr>
            <w:tcW w:type="dxa" w:w="261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40+ insurers [19]</w:t>
            </w:r>
          </w:p>
        </w:tc>
        <w:tc>
          <w:tcPr>
            <w:tcW w:type="dxa" w:w="259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Distribution for banks and agents; not employee benefits</w:t>
            </w:r>
          </w:p>
        </w:tc>
      </w:tr>
      <w:tr>
        <w:trPr>
          <w:cantSplit w:val="true"/>
        </w:trPr>
        <w:tc>
          <w:tcPr>
            <w:tcW w:type="dxa" w:w="178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Prudent (broker)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Large broker</w:t>
            </w:r>
          </w:p>
        </w:tc>
        <w:tc>
          <w:tcPr>
            <w:tcW w:type="dxa" w:w="261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BenchmarkPro scorecard: 3,900 organisations, 50 lakh+ employees [22]</w:t>
            </w:r>
          </w:p>
        </w:tc>
        <w:tc>
          <w:tcPr>
            <w:tcW w:type="dxa" w:w="259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In-house benchmarking,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9"/>
              </w:rPr>
              <w:t xml:space="preserve">not sold to other brokers</w:t>
            </w:r>
          </w:p>
        </w:tc>
      </w:tr>
      <w:tr>
        <w:trPr>
          <w:cantSplit w:val="true"/>
        </w:trPr>
        <w:tc>
          <w:tcPr>
            <w:tcW w:type="dxa" w:w="178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Policybazaar for Business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/ marketplace</w:t>
            </w:r>
          </w:p>
        </w:tc>
        <w:tc>
          <w:tcPr>
            <w:tcW w:type="dxa" w:w="261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259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ClaimSetu AI claims scoring [20]</w:t>
            </w:r>
          </w:p>
        </w:tc>
      </w:tr>
      <w:tr>
        <w:trPr>
          <w:cantSplit w:val="true"/>
        </w:trPr>
        <w:tc>
          <w:tcPr>
            <w:tcW w:type="dxa" w:w="178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NivoTime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Tech vendor + services</w:t>
            </w:r>
          </w:p>
        </w:tc>
        <w:tc>
          <w:tcPr>
            <w:tcW w:type="dxa" w:w="261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 public clients or funding</w:t>
            </w:r>
          </w:p>
        </w:tc>
        <w:tc>
          <w:tcPr>
            <w:tcW w:type="dxa" w:w="259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Benchmarking dashboard, quote comparison, vendor management (company input)</w:t>
            </w:r>
          </w:p>
        </w:tc>
      </w:tr>
    </w:tbl>
    <w:p>
      <w:pPr>
        <w:pStyle w:val="BodyText"/>
        <w:keepNext/>
        <w:spacing w:before="160"/>
      </w:pPr>
      <w:r>
        <w:rPr>
          <w:b/>
          <w:bCs/>
        </w:rPr>
        <w:t xml:space="preserve">Global proof that the broker-channel model works</w:t>
      </w:r>
    </w:p>
    <w:p>
      <w:pPr>
        <w:pStyle w:val="Compact"/>
        <w:numPr>
          <w:ilvl w:val="0"/>
          <w:numId w:val="1012"/>
        </w:numPr>
        <w:spacing w:after="60" w:line="324" w:lineRule="auto"/>
      </w:pPr>
      <w:r>
        <w:rPr>
          <w:b/>
          <w:bCs/>
        </w:rPr>
        <w:t xml:space="preserve">Employee Navigator (US):</w:t>
      </w:r>
      <w:r>
        <w:t xml:space="preserve"> </w:t>
      </w:r>
      <w:r>
        <w:t xml:space="preserve">benefits administration sold through brokers; 7,000+ brokers, 195,000+ employers, 14M employees [24].</w:t>
      </w:r>
    </w:p>
    <w:p>
      <w:pPr>
        <w:pStyle w:val="Compact"/>
        <w:numPr>
          <w:ilvl w:val="0"/>
          <w:numId w:val="1012"/>
        </w:numPr>
        <w:spacing w:after="60" w:line="324" w:lineRule="auto"/>
      </w:pPr>
      <w:r>
        <w:rPr>
          <w:b/>
          <w:bCs/>
        </w:rPr>
        <w:t xml:space="preserve">Zywave (US):</w:t>
      </w:r>
      <w:r>
        <w:t xml:space="preserve"> </w:t>
      </w:r>
      <w:r>
        <w:t xml:space="preserve">quoting, proposal and plan-design benchmarking used by 6,000+ brokerages; claims to</w:t>
      </w:r>
      <w:r>
        <w:t xml:space="preserve"> </w:t>
      </w:r>
      <w:r>
        <w:t xml:space="preserve">“</w:t>
      </w:r>
      <w:r>
        <w:t xml:space="preserve">double account managers’ productivity</w:t>
      </w:r>
      <w:r>
        <w:t xml:space="preserve">”</w:t>
      </w:r>
      <w:r>
        <w:t xml:space="preserve"> </w:t>
      </w:r>
      <w:r>
        <w:t xml:space="preserve">[25].</w:t>
      </w:r>
    </w:p>
    <w:p>
      <w:pPr>
        <w:pStyle w:val="Compact"/>
        <w:numPr>
          <w:ilvl w:val="0"/>
          <w:numId w:val="1012"/>
        </w:numPr>
        <w:spacing w:after="60" w:line="324" w:lineRule="auto"/>
      </w:pPr>
      <w:r>
        <w:rPr>
          <w:b/>
          <w:bCs/>
        </w:rPr>
        <w:t xml:space="preserve">AI in broker workflows:</w:t>
      </w:r>
      <w:r>
        <w:t xml:space="preserve"> </w:t>
      </w:r>
      <w:r>
        <w:t xml:space="preserve">Vertafore reports a 50% cut in submission time [45]; Quandri’s AI renewal reviews cut one broker’s review time from 3–5 weeks to 1 day (vendor claim) [26]; underwriters spend 40–50% of their time reading submissions, the problem Cytora’s AI targets [27].</w:t>
      </w:r>
    </w:p>
    <w:p>
      <w:pPr>
        <w:pStyle w:val="Heading2"/>
      </w:pPr>
      <w:r>
        <w:t xml:space="preserve">5.2 Capability comparison</w:t>
      </w:r>
    </w:p>
    <w:p>
      <w:pPr>
        <w:pStyle w:val="FirstParagraph"/>
      </w:pPr>
      <w:r>
        <w:rPr>
          <w:b/>
          <w:bCs/>
        </w:rPr>
        <w:t xml:space="preserve">Yes</w:t>
      </w:r>
      <w:r>
        <w:t xml:space="preserve"> </w:t>
      </w:r>
      <w:r>
        <w:t xml:space="preserve">= clearly offered;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= partly offered;</w:t>
      </w:r>
      <w:r>
        <w:t xml:space="preserve"> </w:t>
      </w:r>
      <w:r>
        <w:rPr>
          <w:b/>
          <w:bCs/>
        </w:rPr>
        <w:t xml:space="preserve">—</w:t>
      </w:r>
      <w:r>
        <w:t xml:space="preserve"> </w:t>
      </w:r>
      <w:r>
        <w:t xml:space="preserve">= not found publicly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908"/>
        <w:gridCol w:w="1540"/>
        <w:gridCol w:w="1540"/>
        <w:gridCol w:w="1173"/>
        <w:gridCol w:w="1173"/>
        <w:gridCol w:w="1173"/>
        <w:gridCol w:w="1540"/>
      </w:tblGrid>
      <w:tr>
        <w:trPr>
          <w:cantSplit w:val="true"/>
          <w:tblHeader w:val="true"/>
        </w:trPr>
        <w:tc>
          <w:tcPr>
            <w:tcW w:type="dxa" w:w="190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Capability</w:t>
            </w:r>
          </w:p>
        </w:tc>
        <w:tc>
          <w:tcPr>
            <w:tcW w:type="dxa" w:w="154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NivoTime (proposed)</w:t>
            </w:r>
          </w:p>
        </w:tc>
        <w:tc>
          <w:tcPr>
            <w:tcW w:type="dxa" w:w="154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Bharatsure</w:t>
            </w:r>
          </w:p>
        </w:tc>
        <w:tc>
          <w:tcPr>
            <w:tcW w:type="dxa" w:w="117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Pazcare</w:t>
            </w:r>
          </w:p>
        </w:tc>
        <w:tc>
          <w:tcPr>
            <w:tcW w:type="dxa" w:w="117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Plum</w:t>
            </w:r>
          </w:p>
        </w:tc>
        <w:tc>
          <w:tcPr>
            <w:tcW w:type="dxa" w:w="117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Loop</w:t>
            </w:r>
          </w:p>
        </w:tc>
        <w:tc>
          <w:tcPr>
            <w:tcW w:type="dxa" w:w="154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Prudent (in-house)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Sold to other brokers (white-label)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Peer benchmarking (co-pay, size, family, SI)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Quote comparison and renewal workflow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AI / ML insights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Vendor / TPA management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Employee engagement layer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Public proof points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So what:</w:t>
      </w:r>
      <w:r>
        <w:t xml:space="preserve"> </w:t>
      </w:r>
      <w:r>
        <w:t xml:space="preserve">the combination of broker white-label + benchmarking + quote/renewal intelligence is</w:t>
      </w:r>
      <w:r>
        <w:t xml:space="preserve"> </w:t>
      </w:r>
      <w:r>
        <w:rPr>
          <w:b/>
          <w:bCs/>
        </w:rPr>
        <w:t xml:space="preserve">open space</w:t>
      </w:r>
      <w:r>
        <w:t xml:space="preserve"> </w:t>
      </w:r>
      <w:r>
        <w:t xml:space="preserve">in India. But NivoTime’s weakest cell, public proof, is every rival’s strongest. Speed to the first named reference matters more than feature count.</w:t>
      </w:r>
    </w:p>
    <w:p>
      <w:pPr>
        <w:pStyle w:val="Heading2"/>
      </w:pPr>
      <w:r>
        <w:t xml:space="preserve">5.3 Strategic group map</w:t>
      </w:r>
    </w:p>
    <w:p>
      <w:pPr>
        <w:pStyle w:val="CaptionedFigure"/>
      </w:pPr>
      <w:r>
        <w:drawing>
          <wp:inline>
            <wp:extent cx="5303520" cy="3426025"/>
            <wp:effectExtent b="0" l="0" r="0" t="0"/>
            <wp:docPr descr="Strategic group map" title="" id="24" name="Picture"/>
            <a:graphic>
              <a:graphicData uri="http://schemas.openxmlformats.org/drawingml/2006/picture">
                <pic:pic>
                  <pic:nvPicPr>
                    <pic:cNvPr descr="fig/f2_groupm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42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Strategic group map</w:t>
      </w:r>
    </w:p>
    <w:p>
      <w:pPr>
        <w:pStyle w:val="Compact"/>
        <w:numPr>
          <w:ilvl w:val="0"/>
          <w:numId w:val="1013"/>
        </w:numPr>
        <w:spacing w:after="60" w:line="324" w:lineRule="auto"/>
      </w:pPr>
      <w:r>
        <w:rPr>
          <w:b/>
          <w:bCs/>
        </w:rPr>
        <w:t xml:space="preserve">Top right is crowded and funded:</w:t>
      </w:r>
      <w:r>
        <w:t xml:space="preserve"> </w:t>
      </w:r>
      <w:r>
        <w:t xml:space="preserve">Plum, Pazcare and Loop compete by being the broker.</w:t>
      </w:r>
    </w:p>
    <w:p>
      <w:pPr>
        <w:pStyle w:val="Compact"/>
        <w:numPr>
          <w:ilvl w:val="0"/>
          <w:numId w:val="1013"/>
        </w:numPr>
        <w:spacing w:after="60" w:line="324" w:lineRule="auto"/>
      </w:pPr>
      <w:r>
        <w:rPr>
          <w:b/>
          <w:bCs/>
        </w:rPr>
        <w:t xml:space="preserve">Large brokers build their own:</w:t>
      </w:r>
      <w:r>
        <w:t xml:space="preserve"> </w:t>
      </w:r>
      <w:r>
        <w:t xml:space="preserve">Prudent and the global majors are not buyers.</w:t>
      </w:r>
    </w:p>
    <w:p>
      <w:pPr>
        <w:pStyle w:val="Compact"/>
        <w:numPr>
          <w:ilvl w:val="0"/>
          <w:numId w:val="1013"/>
        </w:numPr>
        <w:spacing w:after="60" w:line="324" w:lineRule="auto"/>
      </w:pPr>
      <w:r>
        <w:rPr>
          <w:b/>
          <w:bCs/>
        </w:rPr>
        <w:t xml:space="preserve">Top left is thin:</w:t>
      </w:r>
      <w:r>
        <w:t xml:space="preserve"> </w:t>
      </w:r>
      <w:r>
        <w:t xml:space="preserve">only Bharatsure sells a full stack to intermediaries, and it leads on claims and administration, not on intelligence.</w:t>
      </w:r>
    </w:p>
    <w:p>
      <w:pPr>
        <w:pStyle w:val="Compact"/>
        <w:numPr>
          <w:ilvl w:val="0"/>
          <w:numId w:val="1013"/>
        </w:numPr>
        <w:spacing w:after="60" w:line="324" w:lineRule="auto"/>
      </w:pPr>
      <w:r>
        <w:rPr>
          <w:b/>
          <w:bCs/>
        </w:rPr>
        <w:t xml:space="preserve">So what:</w:t>
      </w:r>
      <w:r>
        <w:t xml:space="preserve"> </w:t>
      </w:r>
      <w:r>
        <w:t xml:space="preserve">NivoTime should move</w:t>
      </w:r>
      <w:r>
        <w:t xml:space="preserve"> </w:t>
      </w:r>
      <w:r>
        <w:rPr>
          <w:b/>
          <w:bCs/>
        </w:rPr>
        <w:t xml:space="preserve">up</w:t>
      </w:r>
      <w:r>
        <w:t xml:space="preserve">, into</w:t>
      </w:r>
      <w:r>
        <w:t xml:space="preserve"> </w:t>
      </w:r>
      <w:r>
        <w:t xml:space="preserve">“</w:t>
      </w:r>
      <w:r>
        <w:t xml:space="preserve">benefits intelligence for intermediaries</w:t>
      </w:r>
      <w:r>
        <w:t xml:space="preserve">”</w:t>
      </w:r>
      <w:r>
        <w:t xml:space="preserve">, not right into competing with its own potential customers.</w:t>
      </w:r>
    </w:p>
    <w:p>
      <w:pPr>
        <w:pStyle w:val="Heading2"/>
      </w:pPr>
      <w:r>
        <w:t xml:space="preserve">5.4 Win/loss view (outside-in proxy)</w:t>
      </w:r>
    </w:p>
    <w:p>
      <w:pPr>
        <w:pStyle w:val="FirstParagraph"/>
      </w:pPr>
      <w:r>
        <w:t xml:space="preserve">No deal history was available, so this is a proxy based on what a broker would see when evaluating NivoTime today.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795"/>
        <w:gridCol w:w="2870"/>
        <w:gridCol w:w="3362"/>
      </w:tblGrid>
      <w:tr>
        <w:trPr>
          <w:cantSplit w:val="true"/>
          <w:tblHeader w:val="true"/>
        </w:trPr>
        <w:tc>
          <w:tcPr>
            <w:tcW w:type="dxa" w:w="279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Likely reason a broker says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“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no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”</w:t>
            </w:r>
          </w:p>
        </w:tc>
        <w:tc>
          <w:tcPr>
            <w:tcW w:type="dxa" w:w="287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Evidence</w:t>
            </w:r>
          </w:p>
        </w:tc>
        <w:tc>
          <w:tcPr>
            <w:tcW w:type="dxa" w:w="336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Fix</w:t>
            </w:r>
          </w:p>
        </w:tc>
      </w:tr>
      <w:tr>
        <w:trPr>
          <w:cantSplit w:val="true"/>
        </w:trPr>
        <w:tc>
          <w:tcPr>
            <w:tcW w:type="dxa" w:w="279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We have never heard of you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287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 logos, case studies or press</w:t>
            </w:r>
          </w:p>
        </w:tc>
        <w:tc>
          <w:tcPr>
            <w:tcW w:type="dxa" w:w="33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One named pilot → public case study</w:t>
            </w:r>
          </w:p>
        </w:tc>
      </w:tr>
      <w:tr>
        <w:trPr>
          <w:cantSplit w:val="true"/>
        </w:trPr>
        <w:tc>
          <w:tcPr>
            <w:tcW w:type="dxa" w:w="279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Is our client data safe?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287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Login on raw IP over HTTP at the time of research [1]</w:t>
            </w:r>
          </w:p>
        </w:tc>
        <w:tc>
          <w:tcPr>
            <w:tcW w:type="dxa" w:w="33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Secure domain, ISO 27001 roadmap, DPDP controls</w:t>
            </w:r>
          </w:p>
        </w:tc>
      </w:tr>
      <w:tr>
        <w:trPr>
          <w:cantSplit w:val="true"/>
        </w:trPr>
        <w:tc>
          <w:tcPr>
            <w:tcW w:type="dxa" w:w="279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What exactly does it cost?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287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 public pricing</w:t>
            </w:r>
          </w:p>
        </w:tc>
        <w:tc>
          <w:tcPr>
            <w:tcW w:type="dxa" w:w="33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Simple published packages (Section 9.5)</w:t>
            </w:r>
          </w:p>
        </w:tc>
      </w:tr>
      <w:tr>
        <w:trPr>
          <w:cantSplit w:val="true"/>
        </w:trPr>
        <w:tc>
          <w:tcPr>
            <w:tcW w:type="dxa" w:w="279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How is this better than Excel or Bharatsure?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287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Features not shown publicly</w:t>
            </w:r>
          </w:p>
        </w:tc>
        <w:tc>
          <w:tcPr>
            <w:tcW w:type="dxa" w:w="33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Live demo of the Benchmarking Cockpit on the broker’s own data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Validation:</w:t>
      </w:r>
      <w:r>
        <w:t xml:space="preserve"> </w:t>
      </w:r>
      <w:r>
        <w:t xml:space="preserve">replace this proxy with a review of NivoTime’s last 10–20 opportunities once available (Appendix B).</w:t>
      </w:r>
    </w:p>
    <w:p>
      <w:pPr>
        <w:pStyle w:val="Heading1"/>
      </w:pPr>
      <w:r>
        <w:t xml:space="preserve">6. Internal Diagnosis</w:t>
      </w:r>
    </w:p>
    <w:p>
      <w:pPr>
        <w:pStyle w:val="Heading2"/>
      </w:pPr>
      <w:r>
        <w:t xml:space="preserve">6.1 VRIO — which resources can create an advantage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908"/>
        <w:gridCol w:w="1296"/>
        <w:gridCol w:w="1296"/>
        <w:gridCol w:w="1663"/>
        <w:gridCol w:w="2304"/>
        <w:gridCol w:w="1540"/>
      </w:tblGrid>
      <w:tr>
        <w:trPr>
          <w:cantSplit w:val="true"/>
          <w:tblHeader w:val="true"/>
        </w:trPr>
        <w:tc>
          <w:tcPr>
            <w:tcW w:type="dxa" w:w="190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Resource</w:t>
            </w:r>
          </w:p>
        </w:tc>
        <w:tc>
          <w:tcPr>
            <w:tcW w:type="dxa" w:w="129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Valuable</w:t>
            </w:r>
          </w:p>
        </w:tc>
        <w:tc>
          <w:tcPr>
            <w:tcW w:type="dxa" w:w="129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Rare</w:t>
            </w:r>
          </w:p>
        </w:tc>
        <w:tc>
          <w:tcPr>
            <w:tcW w:type="dxa" w:w="166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Hard to copy</w:t>
            </w:r>
          </w:p>
        </w:tc>
        <w:tc>
          <w:tcPr>
            <w:tcW w:type="dxa" w:w="230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Organised</w:t>
            </w:r>
          </w:p>
        </w:tc>
        <w:tc>
          <w:tcPr>
            <w:tcW w:type="dxa" w:w="154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Verdict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Founder’s 20+ year insurance and broking network [1][43]</w:t>
            </w:r>
          </w:p>
        </w:tc>
        <w:tc>
          <w:tcPr>
            <w:tcW w:type="dxa" w:w="129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Yes</w:t>
            </w:r>
          </w:p>
        </w:tc>
        <w:tc>
          <w:tcPr>
            <w:tcW w:type="dxa" w:w="129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Somewhat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Moderately</w:t>
            </w:r>
          </w:p>
        </w:tc>
        <w:tc>
          <w:tcPr>
            <w:tcW w:type="dxa" w:w="23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Partly (founder-dependent)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Temporary advantage; must be systemised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Benefits analytics know-how (claims review, MIS, benchmarking)</w:t>
            </w:r>
          </w:p>
        </w:tc>
        <w:tc>
          <w:tcPr>
            <w:tcW w:type="dxa" w:w="129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Yes</w:t>
            </w:r>
          </w:p>
        </w:tc>
        <w:tc>
          <w:tcPr>
            <w:tcW w:type="dxa" w:w="129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Yes, in the mid-size broker segment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Yes, once data accumulates</w:t>
            </w:r>
          </w:p>
        </w:tc>
        <w:tc>
          <w:tcPr>
            <w:tcW w:type="dxa" w:w="23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Not yet productised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Sustained advantage if turned into a data product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Existing Flex / TPA integration code</w:t>
            </w:r>
          </w:p>
        </w:tc>
        <w:tc>
          <w:tcPr>
            <w:tcW w:type="dxa" w:w="129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Yes</w:t>
            </w:r>
          </w:p>
        </w:tc>
        <w:tc>
          <w:tcPr>
            <w:tcW w:type="dxa" w:w="129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W w:type="dxa" w:w="23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Yes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Parity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Multi-line service breadth</w:t>
            </w:r>
          </w:p>
        </w:tc>
        <w:tc>
          <w:tcPr>
            <w:tcW w:type="dxa" w:w="129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Unclear</w:t>
            </w:r>
          </w:p>
        </w:tc>
        <w:tc>
          <w:tcPr>
            <w:tcW w:type="dxa" w:w="129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W w:type="dxa" w:w="23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Spread thin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Weakness dressed as strength</w:t>
            </w:r>
          </w:p>
        </w:tc>
      </w:tr>
    </w:tbl>
    <w:p>
      <w:pPr>
        <w:pStyle w:val="Heading2"/>
        <w:spacing w:before="160"/>
      </w:pPr>
      <w:r>
        <w:t xml:space="preserve">6.2 SWOT to TOWS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3094"/>
        <w:gridCol w:w="2985"/>
        <w:gridCol w:w="2949"/>
      </w:tblGrid>
      <w:tr>
        <w:trPr>
          <w:cantSplit w:val="true"/>
          <w:tblHeader w:val="true"/>
        </w:trPr>
        <w:tc>
          <w:tcPr>
            <w:tcW w:type="dxa" w:w="309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298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color w:val="FFFFFF"/>
                <w:sz w:val="19"/>
              </w:rPr>
              <w:t xml:space="preserve">Opportunities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— Bima Sugam push; medical trend 11.5–12.9%; ~600+ mid-size brokers with no tools; AI now cheap to build</w:t>
            </w:r>
          </w:p>
        </w:tc>
        <w:tc>
          <w:tcPr>
            <w:tcW w:type="dxa" w:w="294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color w:val="FFFFFF"/>
                <w:sz w:val="19"/>
              </w:rPr>
              <w:t xml:space="preserve">Threats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— Tech-first brokers; large brokers build in-house; well-funded rivals; data-privacy rules</w:t>
            </w:r>
          </w:p>
        </w:tc>
      </w:tr>
      <w:tr>
        <w:trPr>
          <w:cantSplit w:val="true"/>
        </w:trPr>
        <w:tc>
          <w:tcPr>
            <w:tcW w:type="dxa" w:w="30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Strengths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— Insurance-domain founder; analytics know-how; existing integrations</w:t>
            </w:r>
          </w:p>
        </w:tc>
        <w:tc>
          <w:tcPr>
            <w:tcW w:type="dxa" w:w="298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SO: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Launch an AI Benchmarking Cockpit for mid-size brokers, using the founder’s network for the first 10 meetings.</w:t>
            </w:r>
          </w:p>
        </w:tc>
        <w:tc>
          <w:tcPr>
            <w:tcW w:type="dxa" w:w="294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ST: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Position as the broker’s ally (</w:t>
            </w: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stay independent, look like Plum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), never as a rival broker.</w:t>
            </w:r>
          </w:p>
        </w:tc>
      </w:tr>
      <w:tr>
        <w:trPr>
          <w:cantSplit w:val="true"/>
        </w:trPr>
        <w:tc>
          <w:tcPr>
            <w:tcW w:type="dxa" w:w="309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Weaknesses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— No proof points; unclear focus; small team; security gap</w:t>
            </w:r>
          </w:p>
        </w:tc>
        <w:tc>
          <w:tcPr>
            <w:tcW w:type="dxa" w:w="298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WO: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Run 90-day pilots that create public case studies; publish an annual benchmark report.</w:t>
            </w:r>
          </w:p>
        </w:tc>
        <w:tc>
          <w:tcPr>
            <w:tcW w:type="dxa" w:w="294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WT: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Fix security and DPDP basics first; stay out of regulated comparison activity; cap custom work.</w:t>
            </w:r>
          </w:p>
        </w:tc>
      </w:tr>
    </w:tbl>
    <w:p>
      <w:pPr>
        <w:pStyle w:val="Heading2"/>
        <w:spacing w:before="160"/>
      </w:pPr>
      <w:r>
        <w:t xml:space="preserve">6.3 The problem statement</w:t>
      </w:r>
    </w:p>
    <w:p>
      <w:pPr>
        <w:pStyle w:val="BlockText"/>
      </w:pPr>
      <w:r>
        <w:rPr>
          <w:b/>
          <w:bCs/>
        </w:rPr>
        <w:t xml:space="preserve">NivoTime has more capability than proof, and more products than focus.</w:t>
      </w:r>
      <w:r>
        <w:t xml:space="preserve"> </w:t>
      </w:r>
      <w:r>
        <w:t xml:space="preserve">Its most valuable asset, benefits analytics know-how, is not packaged as a product, while its public story is spread across four businesses. Mid-size brokers need exactly this intelligence and have no one selling it to them.</w:t>
      </w:r>
    </w:p>
    <w:p>
      <w:pPr>
        <w:pStyle w:val="FirstParagraph"/>
      </w:pPr>
      <w:r>
        <w:t xml:space="preserve">This is the bridge to Section C:</w:t>
      </w:r>
      <w:r>
        <w:t xml:space="preserve"> </w:t>
      </w:r>
      <w:r>
        <w:rPr>
          <w:i/>
          <w:iCs/>
        </w:rPr>
        <w:t xml:space="preserve">what product should NivoTime build and sell?</w:t>
      </w:r>
    </w:p>
    <w:p>
      <w:r>
        <w:br w:type="page"/>
      </w:r>
    </w:p>
    <w:p>
      <w:pPr>
        <w:pStyle w:val="Heading1"/>
        <w:shd w:val="clear" w:color="auto" w:fill="3B3A73"/>
        <w:jc w:val="left"/>
      </w:pPr>
      <w:r>
        <w:rPr>
          <w:color w:val="FFFFFF"/>
          <w:sz w:val="28"/>
        </w:rPr>
        <w:t xml:space="preserve">SECTION C — THE FLAGSHIP RECOMMENDATION</w:t>
      </w:r>
    </w:p>
    <w:p>
      <w:pPr>
        <w:pStyle w:val="Heading1"/>
      </w:pPr>
      <w:r>
        <w:t xml:space="preserve">7. The NivoTime Benefits Intelligence Suite</w:t>
      </w:r>
    </w:p>
    <w:p>
      <w:pPr>
        <w:pStyle w:val="Heading2"/>
      </w:pPr>
      <w:r>
        <w:t xml:space="preserve">7.1 The customer problem</w:t>
      </w:r>
    </w:p>
    <w:p>
      <w:pPr>
        <w:pStyle w:val="FirstParagraph"/>
      </w:pPr>
      <w:r>
        <w:rPr>
          <w:b/>
          <w:bCs/>
        </w:rPr>
        <w:t xml:space="preserve">For a mid-size broker’s account manager, renewal season looks like this:</w:t>
      </w:r>
    </w:p>
    <w:p>
      <w:pPr>
        <w:pStyle w:val="Compact"/>
        <w:numPr>
          <w:ilvl w:val="0"/>
          <w:numId w:val="1014"/>
        </w:numPr>
        <w:spacing w:after="60" w:line="324" w:lineRule="auto"/>
      </w:pPr>
      <w:r>
        <w:t xml:space="preserve">Collect claims data, census and the expiring policy from the employer and the TPA, usually as Excel and PDF files.</w:t>
      </w:r>
    </w:p>
    <w:p>
      <w:pPr>
        <w:pStyle w:val="Compact"/>
        <w:numPr>
          <w:ilvl w:val="0"/>
          <w:numId w:val="1014"/>
        </w:numPr>
        <w:spacing w:after="60" w:line="324" w:lineRule="auto"/>
      </w:pPr>
      <w:r>
        <w:t xml:space="preserve">Request quotes from 4–6 insurers; each arrives in a different format.</w:t>
      </w:r>
    </w:p>
    <w:p>
      <w:pPr>
        <w:pStyle w:val="Compact"/>
        <w:numPr>
          <w:ilvl w:val="0"/>
          <w:numId w:val="1014"/>
        </w:numPr>
        <w:spacing w:after="60" w:line="324" w:lineRule="auto"/>
      </w:pPr>
      <w:r>
        <w:t xml:space="preserve">Re-type the terms (sum insured, room-rent cap, co-pay, maternity, sub-limits, exclusions) into a comparison sheet by hand.</w:t>
      </w:r>
    </w:p>
    <w:p>
      <w:pPr>
        <w:pStyle w:val="Compact"/>
        <w:numPr>
          <w:ilvl w:val="0"/>
          <w:numId w:val="1014"/>
        </w:numPr>
        <w:spacing w:after="60" w:line="324" w:lineRule="auto"/>
      </w:pPr>
      <w:r>
        <w:t xml:space="preserve">Try to answer the HR head’s question,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Are we paying more than similar companies?</w:t>
      </w:r>
      <w:r>
        <w:rPr>
          <w:i/>
          <w:iCs/>
        </w:rPr>
        <w:t xml:space="preserve">”</w:t>
      </w:r>
      <w:r>
        <w:t xml:space="preserve">, without any reliable peer data.</w:t>
      </w:r>
    </w:p>
    <w:p>
      <w:pPr>
        <w:pStyle w:val="Compact"/>
        <w:numPr>
          <w:ilvl w:val="0"/>
          <w:numId w:val="1014"/>
        </w:numPr>
        <w:spacing w:after="60" w:line="324" w:lineRule="auto"/>
      </w:pPr>
      <w:r>
        <w:t xml:space="preserve">Do all this for many clients at once, while commissions face scrutiny [12] and costs rise 11.5–12.9% a year [8][9].</w:t>
      </w:r>
    </w:p>
    <w:p>
      <w:pPr>
        <w:pStyle w:val="FirstParagraph"/>
        <w:keepNext/>
      </w:pPr>
      <w:r>
        <w:rPr>
          <w:b/>
          <w:bCs/>
        </w:rPr>
        <w:t xml:space="preserve">Jobs to be done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725"/>
        <w:gridCol w:w="3838"/>
        <w:gridCol w:w="3465"/>
      </w:tblGrid>
      <w:tr>
        <w:trPr>
          <w:cantSplit w:val="true"/>
          <w:tblHeader w:val="true"/>
        </w:trPr>
        <w:tc>
          <w:tcPr>
            <w:tcW w:type="dxa" w:w="172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Buyer</w:t>
            </w:r>
          </w:p>
        </w:tc>
        <w:tc>
          <w:tcPr>
            <w:tcW w:type="dxa" w:w="383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Job</w:t>
            </w:r>
          </w:p>
        </w:tc>
        <w:tc>
          <w:tcPr>
            <w:tcW w:type="dxa" w:w="346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What gets in the way</w:t>
            </w:r>
          </w:p>
        </w:tc>
      </w:tr>
      <w:tr>
        <w:trPr>
          <w:cantSplit w:val="true"/>
        </w:trPr>
        <w:tc>
          <w:tcPr>
            <w:tcW w:type="dxa" w:w="172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leadership</w:t>
            </w:r>
          </w:p>
        </w:tc>
        <w:tc>
          <w:tcPr>
            <w:tcW w:type="dxa" w:w="383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Help me look as sharp as Plum or Prudent to my clients, without becoming a tech company.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346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Building is expensive; no product exists for mid-size brokers</w:t>
            </w:r>
          </w:p>
        </w:tc>
      </w:tr>
      <w:tr>
        <w:trPr>
          <w:cantSplit w:val="true"/>
        </w:trPr>
        <w:tc>
          <w:tcPr>
            <w:tcW w:type="dxa" w:w="172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account manager</w:t>
            </w:r>
          </w:p>
        </w:tc>
        <w:tc>
          <w:tcPr>
            <w:tcW w:type="dxa" w:w="383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Get my renewal pack ready in hours, not weeks.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346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Manual quote comparison and data cleaning</w:t>
            </w:r>
          </w:p>
        </w:tc>
      </w:tr>
      <w:tr>
        <w:trPr>
          <w:cantSplit w:val="true"/>
        </w:trPr>
        <w:tc>
          <w:tcPr>
            <w:tcW w:type="dxa" w:w="172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Employer HR / CFO</w:t>
            </w:r>
          </w:p>
        </w:tc>
        <w:tc>
          <w:tcPr>
            <w:tcW w:type="dxa" w:w="383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Prove our benefits are competitive and control next year’s premium.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346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 peer benchmarks; renewal surprises</w:t>
            </w:r>
          </w:p>
        </w:tc>
      </w:tr>
      <w:tr>
        <w:trPr>
          <w:cantSplit w:val="true"/>
        </w:trPr>
        <w:tc>
          <w:tcPr>
            <w:tcW w:type="dxa" w:w="172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Employee</w:t>
            </w:r>
          </w:p>
        </w:tc>
        <w:tc>
          <w:tcPr>
            <w:tcW w:type="dxa" w:w="383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Understand and use my benefits without logging in to another portal.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346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Low awareness; forgotten benefits</w:t>
            </w:r>
          </w:p>
        </w:tc>
      </w:tr>
    </w:tbl>
    <w:p>
      <w:pPr>
        <w:pStyle w:val="Heading2"/>
        <w:spacing w:before="160"/>
      </w:pPr>
      <w:r>
        <w:t xml:space="preserve">7.2 The product: five modules, one data layer</w:t>
      </w:r>
    </w:p>
    <w:p>
      <w:pPr>
        <w:pStyle w:val="CaptionedFigure"/>
      </w:pPr>
      <w:r>
        <w:drawing>
          <wp:inline>
            <wp:extent cx="5334000" cy="3937916"/>
            <wp:effectExtent b="0" l="0" r="0" t="0"/>
            <wp:docPr descr="Proposed architecture of the Benefits Intelligence Suite" title="" id="27" name="Picture"/>
            <a:graphic>
              <a:graphicData uri="http://schemas.openxmlformats.org/drawingml/2006/picture">
                <pic:pic>
                  <pic:nvPicPr>
                    <pic:cNvPr descr="fig/f3_architectur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Proposed architecture of the Benefits Intelligence Suite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452"/>
        <w:gridCol w:w="4210"/>
        <w:gridCol w:w="2366"/>
      </w:tblGrid>
      <w:tr>
        <w:trPr>
          <w:cantSplit w:val="true"/>
          <w:tblHeader w:val="true"/>
        </w:trPr>
        <w:tc>
          <w:tcPr>
            <w:tcW w:type="dxa" w:w="245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Module</w:t>
            </w:r>
          </w:p>
        </w:tc>
        <w:tc>
          <w:tcPr>
            <w:tcW w:type="dxa" w:w="421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What it does</w:t>
            </w:r>
          </w:p>
        </w:tc>
        <w:tc>
          <w:tcPr>
            <w:tcW w:type="dxa" w:w="236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Who uses it</w:t>
            </w:r>
          </w:p>
        </w:tc>
      </w:tr>
      <w:tr>
        <w:trPr>
          <w:cantSplit w:val="true"/>
        </w:trPr>
        <w:tc>
          <w:tcPr>
            <w:tcW w:type="dxa" w:w="245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1. Benchmarking Cockpit</w:t>
            </w:r>
          </w:p>
        </w:tc>
        <w:tc>
          <w:tcPr>
            <w:tcW w:type="dxa" w:w="421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Real-time peer comparison with filters for co-pay, company size, industry, family cover, sum insured, premium and claims; percentile scores; AI renewal insights</w:t>
            </w:r>
          </w:p>
        </w:tc>
        <w:tc>
          <w:tcPr>
            <w:tcW w:type="dxa" w:w="236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Broker, HR, CFO</w:t>
            </w:r>
          </w:p>
        </w:tc>
      </w:tr>
      <w:tr>
        <w:trPr>
          <w:cantSplit w:val="true"/>
        </w:trPr>
        <w:tc>
          <w:tcPr>
            <w:tcW w:type="dxa" w:w="245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2. Quote &amp; Renewal Desk</w:t>
            </w:r>
          </w:p>
        </w:tc>
        <w:tc>
          <w:tcPr>
            <w:tcW w:type="dxa" w:w="421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Upload insurer quotes (PDF/Excel), AI extracts and normalises terms, side-by-side comparison, flags worse-than-expiring terms, renewal calendar and decision log</w:t>
            </w:r>
          </w:p>
        </w:tc>
        <w:tc>
          <w:tcPr>
            <w:tcW w:type="dxa" w:w="236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account manager</w:t>
            </w:r>
          </w:p>
        </w:tc>
      </w:tr>
      <w:tr>
        <w:trPr>
          <w:cantSplit w:val="true"/>
        </w:trPr>
        <w:tc>
          <w:tcPr>
            <w:tcW w:type="dxa" w:w="245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3. Vendor / TPA Management</w:t>
            </w:r>
          </w:p>
        </w:tc>
        <w:tc>
          <w:tcPr>
            <w:tcW w:type="dxa" w:w="421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Single register of insurers, TPAs and wellness vendors; SLA and turnaround tracking; issue tickets; vendor scorecards</w:t>
            </w:r>
          </w:p>
        </w:tc>
        <w:tc>
          <w:tcPr>
            <w:tcW w:type="dxa" w:w="236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Broker, HR</w:t>
            </w:r>
          </w:p>
        </w:tc>
      </w:tr>
      <w:tr>
        <w:trPr>
          <w:cantSplit w:val="true"/>
        </w:trPr>
        <w:tc>
          <w:tcPr>
            <w:tcW w:type="dxa" w:w="245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4. Engagement Engine (zero-login)</w:t>
            </w:r>
          </w:p>
        </w:tc>
        <w:tc>
          <w:tcPr>
            <w:tcW w:type="dxa" w:w="421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Event-driven nudges by email, WhatsApp or push (enrolment, dependants, renewal, unused benefits); secure deep links; login only for sensitive actions</w:t>
            </w:r>
          </w:p>
        </w:tc>
        <w:tc>
          <w:tcPr>
            <w:tcW w:type="dxa" w:w="236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Employees, HR</w:t>
            </w:r>
          </w:p>
        </w:tc>
      </w:tr>
      <w:tr>
        <w:trPr>
          <w:cantSplit w:val="true"/>
        </w:trPr>
        <w:tc>
          <w:tcPr>
            <w:tcW w:type="dxa" w:w="245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5. Advisory &amp; Consulting</w:t>
            </w:r>
          </w:p>
        </w:tc>
        <w:tc>
          <w:tcPr>
            <w:tcW w:type="dxa" w:w="421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Human-led renewal strategy, plan redesign and annual benefits review, powered by the platform’s data</w:t>
            </w:r>
          </w:p>
        </w:tc>
        <w:tc>
          <w:tcPr>
            <w:tcW w:type="dxa" w:w="236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(co-branded) or employer</w:t>
            </w:r>
          </w:p>
        </w:tc>
      </w:tr>
    </w:tbl>
    <w:p>
      <w:pPr>
        <w:pStyle w:val="Heading2"/>
        <w:spacing w:before="160"/>
      </w:pPr>
      <w:r>
        <w:t xml:space="preserve">7.3 The AI/ML layer — practical models, not an</w:t>
      </w:r>
      <w:r>
        <w:t xml:space="preserve"> </w:t>
      </w:r>
      <w:r>
        <w:t xml:space="preserve">“</w:t>
      </w:r>
      <w:r>
        <w:t xml:space="preserve">AI</w:t>
      </w:r>
      <w:r>
        <w:t xml:space="preserve">”</w:t>
      </w:r>
      <w:r>
        <w:t xml:space="preserve"> </w:t>
      </w:r>
      <w:r>
        <w:t xml:space="preserve">label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439"/>
        <w:gridCol w:w="1663"/>
        <w:gridCol w:w="2304"/>
        <w:gridCol w:w="1908"/>
        <w:gridCol w:w="2030"/>
        <w:gridCol w:w="2030"/>
      </w:tblGrid>
      <w:tr>
        <w:trPr>
          <w:cantSplit w:val="true"/>
          <w:tblHeader w:val="true"/>
        </w:trPr>
        <w:tc>
          <w:tcPr>
            <w:tcW w:type="dxa" w:w="43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#</w:t>
            </w:r>
          </w:p>
        </w:tc>
        <w:tc>
          <w:tcPr>
            <w:tcW w:type="dxa" w:w="166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230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Method</w:t>
            </w:r>
          </w:p>
        </w:tc>
        <w:tc>
          <w:tcPr>
            <w:tcW w:type="dxa" w:w="190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Input data</w:t>
            </w:r>
          </w:p>
        </w:tc>
        <w:tc>
          <w:tcPr>
            <w:tcW w:type="dxa" w:w="203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Output</w:t>
            </w:r>
          </w:p>
        </w:tc>
        <w:tc>
          <w:tcPr>
            <w:tcW w:type="dxa" w:w="203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Quality bar before launch</w:t>
            </w:r>
          </w:p>
        </w:tc>
      </w:tr>
      <w:tr>
        <w:trPr>
          <w:cantSplit w:val="true"/>
        </w:trPr>
        <w:tc>
          <w:tcPr>
            <w:tcW w:type="dxa" w:w="43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Peer-group matching</w:t>
            </w:r>
          </w:p>
        </w:tc>
        <w:tc>
          <w:tcPr>
            <w:tcW w:type="dxa" w:w="23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k-nearest neighbours on industry, size, location, age mix, family definition</w:t>
            </w:r>
          </w:p>
        </w:tc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Employer profile, policy data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 peer set of comparable companies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Minimum 10 companies per peer set (privacy and stability)</w:t>
            </w:r>
          </w:p>
        </w:tc>
      </w:tr>
      <w:tr>
        <w:trPr>
          <w:cantSplit w:val="true"/>
        </w:trPr>
        <w:tc>
          <w:tcPr>
            <w:tcW w:type="dxa" w:w="43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Renewal cost forecast</w:t>
            </w:r>
          </w:p>
        </w:tc>
        <w:tc>
          <w:tcPr>
            <w:tcW w:type="dxa" w:w="23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Gradient-boosted trees (e.g. XGBoost) with explainable drivers (SHAP)</w:t>
            </w:r>
          </w:p>
        </w:tc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Claims history, demographics, medical trend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Expected renewal loading with a range, and top cost drivers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Forecast error within ±5 points on back-tested renewals</w:t>
            </w:r>
          </w:p>
        </w:tc>
      </w:tr>
      <w:tr>
        <w:trPr>
          <w:cantSplit w:val="true"/>
        </w:trPr>
        <w:tc>
          <w:tcPr>
            <w:tcW w:type="dxa" w:w="43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Plan-design simulator</w:t>
            </w:r>
          </w:p>
        </w:tc>
        <w:tc>
          <w:tcPr>
            <w:tcW w:type="dxa" w:w="23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Rule-based rating logic + model 2</w:t>
            </w:r>
          </w:p>
        </w:tc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Current plan, proposed changes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What if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premium impact of changes such as co-pay or room-rent caps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sign-off on every scenario shown to a client</w:t>
            </w:r>
          </w:p>
        </w:tc>
      </w:tr>
      <w:tr>
        <w:trPr>
          <w:cantSplit w:val="true"/>
        </w:trPr>
        <w:tc>
          <w:tcPr>
            <w:tcW w:type="dxa" w:w="43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Quote document AI</w:t>
            </w:r>
          </w:p>
        </w:tc>
        <w:tc>
          <w:tcPr>
            <w:tcW w:type="dxa" w:w="23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OCR + large language model extraction into a fixed schema</w:t>
            </w:r>
          </w:p>
        </w:tc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Insurer quote PDFs and Excel files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Structured, comparable terms with confidence scores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≥95% field accuracy; low-confidence fields sent for human review</w:t>
            </w:r>
          </w:p>
        </w:tc>
      </w:tr>
      <w:tr>
        <w:trPr>
          <w:cantSplit w:val="true"/>
        </w:trPr>
        <w:tc>
          <w:tcPr>
            <w:tcW w:type="dxa" w:w="43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Claims anomaly flags</w:t>
            </w:r>
          </w:p>
        </w:tc>
        <w:tc>
          <w:tcPr>
            <w:tcW w:type="dxa" w:w="23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Isolation forest / rule engine</w:t>
            </w:r>
          </w:p>
        </w:tc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Claims line items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Unusual claims patterns for review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Flags are advisory only; no automatic decisions</w:t>
            </w:r>
          </w:p>
        </w:tc>
      </w:tr>
      <w:tr>
        <w:trPr>
          <w:cantSplit w:val="true"/>
        </w:trPr>
        <w:tc>
          <w:tcPr>
            <w:tcW w:type="dxa" w:w="43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Policy Q&amp;A assistant</w:t>
            </w:r>
          </w:p>
        </w:tc>
        <w:tc>
          <w:tcPr>
            <w:tcW w:type="dxa" w:w="23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Retrieval-augmented generation over the employer’s own policy documents</w:t>
            </w:r>
          </w:p>
        </w:tc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Policy wording, FAQs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Plain-language answers for employees and HR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Answers cite the policy clause; sensitive queries escalate to a human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Why these six:</w:t>
      </w:r>
      <w:r>
        <w:t xml:space="preserve"> </w:t>
      </w:r>
      <w:r>
        <w:t xml:space="preserve">each replaces a manual task with a measurable time or cost baseline (renewal preparation hours, quote re-typing, HR queries). This follows the principle</w:t>
      </w:r>
      <w:r>
        <w:t xml:space="preserve"> </w:t>
      </w:r>
      <w:r>
        <w:t xml:space="preserve">“</w:t>
      </w:r>
      <w:r>
        <w:t xml:space="preserve">use AI for work, not as a marketing label</w:t>
      </w:r>
      <w:r>
        <w:t xml:space="preserve">”</w:t>
      </w:r>
      <w:r>
        <w:t xml:space="preserve">. Industry evidence supports the size of the prize: McKinsey estimates 10–20% gains in agent productivity from AI in insurance distribution [28]; BCG reports 30%+ productivity gains from AI assistants in service and operations [29].</w:t>
      </w:r>
    </w:p>
    <w:p>
      <w:pPr>
        <w:pStyle w:val="Heading2"/>
      </w:pPr>
      <w:r>
        <w:t xml:space="preserve">7.4 What the user sees</w:t>
      </w:r>
    </w:p>
    <w:p>
      <w:pPr>
        <w:pStyle w:val="CaptionedFigure"/>
      </w:pPr>
      <w:r>
        <w:drawing>
          <wp:inline>
            <wp:extent cx="5334000" cy="3565823"/>
            <wp:effectExtent b="0" l="0" r="0" t="0"/>
            <wp:docPr descr="Mock-up: Benefits Benchmarking Cockpit (illustrative data)" title="" id="30" name="Picture"/>
            <a:graphic>
              <a:graphicData uri="http://schemas.openxmlformats.org/drawingml/2006/picture">
                <pic:pic>
                  <pic:nvPicPr>
                    <pic:cNvPr descr="fig/f4_cockpi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Mock-up: Benefits Benchmarking Cockpit (illustrative data)</w:t>
      </w:r>
    </w:p>
    <w:p>
      <w:pPr>
        <w:pStyle w:val="BodyText"/>
      </w:pPr>
      <w:r>
        <w:rPr>
          <w:i/>
          <w:iCs/>
        </w:rPr>
        <w:t xml:space="preserve">The filters mirror NivoTime’s described dashboard (co-pay, company size, family cover, sum insured). All data shown is illustrative.</w:t>
      </w:r>
    </w:p>
    <w:p>
      <w:pPr>
        <w:pStyle w:val="CaptionedFigure"/>
      </w:pPr>
      <w:r>
        <w:drawing>
          <wp:inline>
            <wp:extent cx="5334000" cy="2724655"/>
            <wp:effectExtent b="0" l="0" r="0" t="0"/>
            <wp:docPr descr="Mock-up: Quote &amp; Renewal Desk (illustrative data)" title="" id="33" name="Picture"/>
            <a:graphic>
              <a:graphicData uri="http://schemas.openxmlformats.org/drawingml/2006/picture">
                <pic:pic>
                  <pic:nvPicPr>
                    <pic:cNvPr descr="fig/f5_quot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Mock-up: Quote &amp; Renewal Desk (illustrative data)</w:t>
      </w:r>
    </w:p>
    <w:p>
      <w:pPr>
        <w:pStyle w:val="Heading2"/>
      </w:pPr>
      <w:r>
        <w:t xml:space="preserve">7.5 Solving the data</w:t>
      </w:r>
      <w:r>
        <w:t xml:space="preserve"> </w:t>
      </w:r>
      <w:r>
        <w:t xml:space="preserve">“</w:t>
      </w:r>
      <w:r>
        <w:t xml:space="preserve">cold start</w:t>
      </w:r>
      <w:r>
        <w:t xml:space="preserve">”</w:t>
      </w:r>
    </w:p>
    <w:p>
      <w:pPr>
        <w:pStyle w:val="FirstParagraph"/>
      </w:pPr>
      <w:r>
        <w:t xml:space="preserve">A benchmark is only as good as its data. This is the biggest execution risk, and the plan must address it openly.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173"/>
        <w:gridCol w:w="3951"/>
        <w:gridCol w:w="3903"/>
      </w:tblGrid>
      <w:tr>
        <w:trPr>
          <w:cantSplit w:val="true"/>
          <w:tblHeader w:val="true"/>
        </w:trPr>
        <w:tc>
          <w:tcPr>
            <w:tcW w:type="dxa" w:w="117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Stage</w:t>
            </w:r>
          </w:p>
        </w:tc>
        <w:tc>
          <w:tcPr>
            <w:tcW w:type="dxa" w:w="395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Data source</w:t>
            </w:r>
          </w:p>
        </w:tc>
        <w:tc>
          <w:tcPr>
            <w:tcW w:type="dxa" w:w="390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What it enables</w:t>
            </w:r>
          </w:p>
        </w:tc>
      </w:tr>
      <w:tr>
        <w:trPr>
          <w:cantSplit w:val="true"/>
        </w:trPr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Day 1</w:t>
            </w:r>
          </w:p>
        </w:tc>
        <w:tc>
          <w:tcPr>
            <w:tcW w:type="dxa" w:w="39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Public data: IRDAI and GI Council aggregates, insurer product filings, published broker and consultant surveys [5][6][22][23]</w:t>
            </w:r>
          </w:p>
        </w:tc>
        <w:tc>
          <w:tcPr>
            <w:tcW w:type="dxa" w:w="39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Market-level context (premium per life, trends)</w:t>
            </w:r>
          </w:p>
        </w:tc>
      </w:tr>
      <w:tr>
        <w:trPr>
          <w:cantSplit w:val="true"/>
        </w:trPr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Months 1–6</w:t>
            </w:r>
          </w:p>
        </w:tc>
        <w:tc>
          <w:tcPr>
            <w:tcW w:type="dxa" w:w="395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Each broker’s own book of clients (anonymised)</w:t>
            </w:r>
          </w:p>
        </w:tc>
        <w:tc>
          <w:tcPr>
            <w:tcW w:type="dxa" w:w="39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Portfolio benchmarking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inside one broker, which works even with a single customer</w:t>
            </w:r>
          </w:p>
        </w:tc>
      </w:tr>
      <w:tr>
        <w:trPr>
          <w:cantSplit w:val="true"/>
        </w:trPr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Months 6–18</w:t>
            </w:r>
          </w:p>
        </w:tc>
        <w:tc>
          <w:tcPr>
            <w:tcW w:type="dxa" w:w="39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Pooled, consented, anonymised data across brokers</w:t>
            </w:r>
          </w:p>
        </w:tc>
        <w:tc>
          <w:tcPr>
            <w:tcW w:type="dxa" w:w="39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True cross-market peer benchmarks, with minimum cohort sizes</w:t>
            </w:r>
          </w:p>
        </w:tc>
      </w:tr>
      <w:tr>
        <w:trPr>
          <w:cantSplit w:val="true"/>
        </w:trPr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Ongoing</w:t>
            </w:r>
          </w:p>
        </w:tc>
        <w:tc>
          <w:tcPr>
            <w:tcW w:type="dxa" w:w="395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Annual NivoTime–broker benefits survey</w:t>
            </w:r>
          </w:p>
        </w:tc>
        <w:tc>
          <w:tcPr>
            <w:tcW w:type="dxa" w:w="39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Plan-design data that claims data does not capture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Contract design:</w:t>
      </w:r>
      <w:r>
        <w:t xml:space="preserve"> </w:t>
      </w:r>
      <w:r>
        <w:t xml:space="preserve">broker agreements should allow anonymised, aggregated use of data for benchmarking, with clear DPDP consent and retention rules [31][32]. This clause is the legal basis of the moat.</w:t>
      </w:r>
    </w:p>
    <w:p>
      <w:pPr>
        <w:pStyle w:val="Heading2"/>
      </w:pPr>
      <w:r>
        <w:t xml:space="preserve">7.6 Where the suite differs from competitors</w:t>
      </w:r>
    </w:p>
    <w:p>
      <w:pPr>
        <w:pStyle w:val="FirstParagraph"/>
        <w:keepNext/>
      </w:pPr>
      <w:r>
        <w:rPr>
          <w:b/>
          <w:bCs/>
        </w:rPr>
        <w:t xml:space="preserve">Kano view (to be tested in interviews)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770"/>
        <w:gridCol w:w="2994"/>
        <w:gridCol w:w="3263"/>
      </w:tblGrid>
      <w:tr>
        <w:trPr>
          <w:cantSplit w:val="true"/>
          <w:tblHeader w:val="true"/>
        </w:trPr>
        <w:tc>
          <w:tcPr>
            <w:tcW w:type="dxa" w:w="277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Feature</w:t>
            </w:r>
          </w:p>
        </w:tc>
        <w:tc>
          <w:tcPr>
            <w:tcW w:type="dxa" w:w="299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Category</w:t>
            </w:r>
          </w:p>
        </w:tc>
        <w:tc>
          <w:tcPr>
            <w:tcW w:type="dxa" w:w="326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Why</w:t>
            </w:r>
          </w:p>
        </w:tc>
      </w:tr>
      <w:tr>
        <w:trPr>
          <w:cantSplit w:val="true"/>
        </w:trPr>
        <w:tc>
          <w:tcPr>
            <w:tcW w:type="dxa" w:w="277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Claims and TPA integration</w:t>
            </w:r>
          </w:p>
        </w:tc>
        <w:tc>
          <w:tcPr>
            <w:tcW w:type="dxa" w:w="29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Must-have</w:t>
            </w:r>
          </w:p>
        </w:tc>
        <w:tc>
          <w:tcPr>
            <w:tcW w:type="dxa" w:w="326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Every rival offers it</w:t>
            </w:r>
          </w:p>
        </w:tc>
      </w:tr>
      <w:tr>
        <w:trPr>
          <w:cantSplit w:val="true"/>
        </w:trPr>
        <w:tc>
          <w:tcPr>
            <w:tcW w:type="dxa" w:w="277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White-label branding for brokers</w:t>
            </w:r>
          </w:p>
        </w:tc>
        <w:tc>
          <w:tcPr>
            <w:tcW w:type="dxa" w:w="299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Must-have (broker path)</w:t>
            </w:r>
          </w:p>
        </w:tc>
        <w:tc>
          <w:tcPr>
            <w:tcW w:type="dxa" w:w="326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The broker’s brand must face the client</w:t>
            </w:r>
          </w:p>
        </w:tc>
      </w:tr>
      <w:tr>
        <w:trPr>
          <w:cantSplit w:val="true"/>
        </w:trPr>
        <w:tc>
          <w:tcPr>
            <w:tcW w:type="dxa" w:w="277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Quote comparison with AI extraction</w:t>
            </w:r>
          </w:p>
        </w:tc>
        <w:tc>
          <w:tcPr>
            <w:tcW w:type="dxa" w:w="29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Performance</w:t>
            </w:r>
          </w:p>
        </w:tc>
        <w:tc>
          <w:tcPr>
            <w:tcW w:type="dxa" w:w="326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More insurers and faster turnaround = more value</w:t>
            </w:r>
          </w:p>
        </w:tc>
      </w:tr>
      <w:tr>
        <w:trPr>
          <w:cantSplit w:val="true"/>
        </w:trPr>
        <w:tc>
          <w:tcPr>
            <w:tcW w:type="dxa" w:w="277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Peer benchmarking with filters</w:t>
            </w:r>
          </w:p>
        </w:tc>
        <w:tc>
          <w:tcPr>
            <w:tcW w:type="dxa" w:w="299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Delighter today, must-have within 2–3 years</w:t>
            </w:r>
          </w:p>
        </w:tc>
        <w:tc>
          <w:tcPr>
            <w:tcW w:type="dxa" w:w="326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Only large brokers have it now</w:t>
            </w:r>
          </w:p>
        </w:tc>
      </w:tr>
      <w:tr>
        <w:trPr>
          <w:cantSplit w:val="true"/>
        </w:trPr>
        <w:tc>
          <w:tcPr>
            <w:tcW w:type="dxa" w:w="277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AI renewal insights and plan simulator</w:t>
            </w:r>
          </w:p>
        </w:tc>
        <w:tc>
          <w:tcPr>
            <w:tcW w:type="dxa" w:w="29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Delighter</w:t>
            </w:r>
          </w:p>
        </w:tc>
        <w:tc>
          <w:tcPr>
            <w:tcW w:type="dxa" w:w="326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Not seen in any mid-size broker’s toolkit</w:t>
            </w:r>
          </w:p>
        </w:tc>
      </w:tr>
    </w:tbl>
    <w:p>
      <w:pPr>
        <w:pStyle w:val="BodyText"/>
        <w:keepNext/>
        <w:spacing w:before="160"/>
      </w:pPr>
      <w:r>
        <w:rPr>
          <w:b/>
          <w:bCs/>
        </w:rPr>
        <w:t xml:space="preserve">ERRC grid (Blue Ocean)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294"/>
        <w:gridCol w:w="1557"/>
        <w:gridCol w:w="2413"/>
        <w:gridCol w:w="2763"/>
      </w:tblGrid>
      <w:tr>
        <w:trPr>
          <w:cantSplit w:val="true"/>
          <w:tblHeader w:val="true"/>
        </w:trPr>
        <w:tc>
          <w:tcPr>
            <w:tcW w:type="dxa" w:w="229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Eliminate</w:t>
            </w:r>
          </w:p>
        </w:tc>
        <w:tc>
          <w:tcPr>
            <w:tcW w:type="dxa" w:w="155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Reduce</w:t>
            </w:r>
          </w:p>
        </w:tc>
        <w:tc>
          <w:tcPr>
            <w:tcW w:type="dxa" w:w="241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Raise</w:t>
            </w:r>
          </w:p>
        </w:tc>
        <w:tc>
          <w:tcPr>
            <w:tcW w:type="dxa" w:w="276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Create</w:t>
            </w:r>
          </w:p>
        </w:tc>
      </w:tr>
      <w:tr>
        <w:trPr>
          <w:cantSplit w:val="true"/>
        </w:trPr>
        <w:tc>
          <w:tcPr>
            <w:tcW w:type="dxa" w:w="229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Competing with brokers for the client relationship</w:t>
            </w:r>
          </w:p>
        </w:tc>
        <w:tc>
          <w:tcPr>
            <w:tcW w:type="dxa" w:w="155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Bespoke, one-off custom builds</w:t>
            </w:r>
          </w:p>
        </w:tc>
        <w:tc>
          <w:tcPr>
            <w:tcW w:type="dxa" w:w="241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Depth and transparency of benchmarking; data security</w:t>
            </w:r>
          </w:p>
        </w:tc>
        <w:tc>
          <w:tcPr>
            <w:tcW w:type="dxa" w:w="27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Pooled benchmark network for mid-size brokers; AI renewal pack;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Bima Sugam readiness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support</w:t>
            </w:r>
          </w:p>
        </w:tc>
      </w:tr>
    </w:tbl>
    <w:p>
      <w:pPr>
        <w:pStyle w:val="Heading2"/>
        <w:spacing w:before="160"/>
      </w:pPr>
      <w:r>
        <w:t xml:space="preserve">7.7 Build, partner or buy — and regulatory guardrails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3503"/>
        <w:gridCol w:w="2077"/>
        <w:gridCol w:w="3448"/>
      </w:tblGrid>
      <w:tr>
        <w:trPr>
          <w:cantSplit w:val="true"/>
          <w:tblHeader w:val="true"/>
        </w:trPr>
        <w:tc>
          <w:tcPr>
            <w:tcW w:type="dxa" w:w="350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Component</w:t>
            </w:r>
          </w:p>
        </w:tc>
        <w:tc>
          <w:tcPr>
            <w:tcW w:type="dxa" w:w="207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Recommendation</w:t>
            </w:r>
          </w:p>
        </w:tc>
        <w:tc>
          <w:tcPr>
            <w:tcW w:type="dxa" w:w="344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Reason</w:t>
            </w:r>
          </w:p>
        </w:tc>
      </w:tr>
      <w:tr>
        <w:trPr>
          <w:cantSplit w:val="true"/>
        </w:trPr>
        <w:tc>
          <w:tcPr>
            <w:tcW w:type="dxa" w:w="350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Benchmarking logic, data model, broker workspace</w:t>
            </w:r>
          </w:p>
        </w:tc>
        <w:tc>
          <w:tcPr>
            <w:tcW w:type="dxa" w:w="207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Build</w:t>
            </w:r>
          </w:p>
        </w:tc>
        <w:tc>
          <w:tcPr>
            <w:tcW w:type="dxa" w:w="344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This is the core IP and the moat</w:t>
            </w:r>
          </w:p>
        </w:tc>
      </w:tr>
      <w:tr>
        <w:trPr>
          <w:cantSplit w:val="true"/>
        </w:trPr>
        <w:tc>
          <w:tcPr>
            <w:tcW w:type="dxa" w:w="350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OCR and language models</w:t>
            </w:r>
          </w:p>
        </w:tc>
        <w:tc>
          <w:tcPr>
            <w:tcW w:type="dxa" w:w="207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Use existing cloud APIs</w:t>
            </w:r>
          </w:p>
        </w:tc>
        <w:tc>
          <w:tcPr>
            <w:tcW w:type="dxa" w:w="344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Commodity capability; pay per use keeps cost low</w:t>
            </w:r>
          </w:p>
        </w:tc>
      </w:tr>
      <w:tr>
        <w:trPr>
          <w:cantSplit w:val="true"/>
        </w:trPr>
        <w:tc>
          <w:tcPr>
            <w:tcW w:type="dxa" w:w="350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HRMS / payroll connectors</w:t>
            </w:r>
          </w:p>
        </w:tc>
        <w:tc>
          <w:tcPr>
            <w:tcW w:type="dxa" w:w="207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Partner</w:t>
            </w:r>
          </w:p>
        </w:tc>
        <w:tc>
          <w:tcPr>
            <w:tcW w:type="dxa" w:w="344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Many HRMS tools already offer APIs</w:t>
            </w:r>
          </w:p>
        </w:tc>
      </w:tr>
      <w:tr>
        <w:trPr>
          <w:cantSplit w:val="true"/>
        </w:trPr>
        <w:tc>
          <w:tcPr>
            <w:tcW w:type="dxa" w:w="350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Security certification (ISO 27001)</w:t>
            </w:r>
          </w:p>
        </w:tc>
        <w:tc>
          <w:tcPr>
            <w:tcW w:type="dxa" w:w="207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Buy advisory support</w:t>
            </w:r>
          </w:p>
        </w:tc>
        <w:tc>
          <w:tcPr>
            <w:tcW w:type="dxa" w:w="344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Faster credibility with brokers</w:t>
            </w:r>
          </w:p>
        </w:tc>
      </w:tr>
    </w:tbl>
    <w:p>
      <w:pPr>
        <w:pStyle w:val="BodyText"/>
        <w:keepNext/>
        <w:spacing w:before="160"/>
      </w:pPr>
      <w:r>
        <w:rPr>
          <w:b/>
          <w:bCs/>
        </w:rPr>
        <w:t xml:space="preserve">Regulatory guardrails built into the design</w:t>
      </w:r>
    </w:p>
    <w:p>
      <w:pPr>
        <w:pStyle w:val="Compact"/>
        <w:numPr>
          <w:ilvl w:val="0"/>
          <w:numId w:val="1015"/>
        </w:numPr>
        <w:spacing w:after="60" w:line="324" w:lineRule="auto"/>
      </w:pPr>
      <w:r>
        <w:t xml:space="preserve">NivoTime acts as a</w:t>
      </w:r>
      <w:r>
        <w:t xml:space="preserve"> </w:t>
      </w:r>
      <w:r>
        <w:rPr>
          <w:b/>
          <w:bCs/>
        </w:rPr>
        <w:t xml:space="preserve">technology service provider to licensed brokers</w:t>
      </w:r>
      <w:r>
        <w:t xml:space="preserve">. The broker, not NivoTime, presents quotes and advice to the client. This avoids operating as an unlicensed web aggregator [33].</w:t>
      </w:r>
    </w:p>
    <w:p>
      <w:pPr>
        <w:pStyle w:val="Compact"/>
        <w:numPr>
          <w:ilvl w:val="0"/>
          <w:numId w:val="1015"/>
        </w:numPr>
        <w:spacing w:after="60" w:line="324" w:lineRule="auto"/>
      </w:pPr>
      <w:r>
        <w:t xml:space="preserve">NivoTime’s own licence status and the exact boundary for white-label comparison tools should be confirmed by legal counsel before launch. Public records reviewed show no IRDAI broker or corporate-agent registration for NivoTime.</w:t>
      </w:r>
    </w:p>
    <w:p>
      <w:pPr>
        <w:pStyle w:val="Compact"/>
        <w:numPr>
          <w:ilvl w:val="0"/>
          <w:numId w:val="1015"/>
        </w:numPr>
        <w:spacing w:after="60" w:line="324" w:lineRule="auto"/>
      </w:pPr>
      <w:r>
        <w:t xml:space="preserve">Every AI output shown to a client is reviewed by a human, in line with emerging IRDAI attention to AI governance [35].</w:t>
      </w:r>
    </w:p>
    <w:p>
      <w:pPr>
        <w:pStyle w:val="Heading2"/>
      </w:pPr>
      <w:r>
        <w:t xml:space="preserve">7.8 Why this is defensible: the data flywheel</w:t>
      </w:r>
    </w:p>
    <w:p>
      <w:pPr>
        <w:pStyle w:val="CaptionedFigure"/>
      </w:pPr>
      <w:r>
        <w:drawing>
          <wp:inline>
            <wp:extent cx="3840480" cy="3704613"/>
            <wp:effectExtent b="0" l="0" r="0" t="0"/>
            <wp:docPr descr="Broker data network flywheel" title="" id="36" name="Picture"/>
            <a:graphic>
              <a:graphicData uri="http://schemas.openxmlformats.org/drawingml/2006/picture">
                <pic:pic>
                  <pic:nvPicPr>
                    <pic:cNvPr descr="fig/f7_flywhee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704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Broker data network flywheel</w:t>
      </w:r>
    </w:p>
    <w:p>
      <w:pPr>
        <w:pStyle w:val="Compact"/>
        <w:numPr>
          <w:ilvl w:val="0"/>
          <w:numId w:val="1016"/>
        </w:numPr>
        <w:spacing w:after="60" w:line="324" w:lineRule="auto"/>
      </w:pPr>
      <w:r>
        <w:t xml:space="preserve">Each new broker adds anonymised data, which sharpens benchmarks for every broker.</w:t>
      </w:r>
    </w:p>
    <w:p>
      <w:pPr>
        <w:pStyle w:val="Compact"/>
        <w:numPr>
          <w:ilvl w:val="0"/>
          <w:numId w:val="1016"/>
        </w:numPr>
        <w:spacing w:after="60" w:line="324" w:lineRule="auto"/>
      </w:pPr>
      <w:r>
        <w:t xml:space="preserve">A single broker cannot copy a cross-market benchmark; only a neutral platform can build one.</w:t>
      </w:r>
    </w:p>
    <w:p>
      <w:pPr>
        <w:pStyle w:val="Compact"/>
        <w:numPr>
          <w:ilvl w:val="0"/>
          <w:numId w:val="1016"/>
        </w:numPr>
        <w:spacing w:after="60" w:line="324" w:lineRule="auto"/>
      </w:pPr>
      <w:r>
        <w:t xml:space="preserve">This is the same logic that let Employee Navigator and Zywave scale through thousands of brokers in the US [24][25].</w:t>
      </w:r>
    </w:p>
    <w:p>
      <w:pPr>
        <w:pStyle w:val="Heading2"/>
      </w:pPr>
      <w:r>
        <w:t xml:space="preserve">7.9 Options screened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908"/>
        <w:gridCol w:w="2150"/>
        <w:gridCol w:w="1663"/>
        <w:gridCol w:w="1878"/>
        <w:gridCol w:w="1428"/>
      </w:tblGrid>
      <w:tr>
        <w:trPr>
          <w:cantSplit w:val="true"/>
          <w:tblHeader w:val="true"/>
        </w:trPr>
        <w:tc>
          <w:tcPr>
            <w:tcW w:type="dxa" w:w="190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Criterion (weight)</w:t>
            </w:r>
          </w:p>
        </w:tc>
        <w:tc>
          <w:tcPr>
            <w:tcW w:type="dxa" w:w="215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A. AI Benefits Intelligence Suite via brokers</w:t>
            </w:r>
          </w:p>
        </w:tc>
        <w:tc>
          <w:tcPr>
            <w:tcW w:type="dxa" w:w="166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B. Direct-only Flex platform</w:t>
            </w:r>
          </w:p>
        </w:tc>
        <w:tc>
          <w:tcPr>
            <w:tcW w:type="dxa" w:w="187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C. Bima Sugam integration module only</w:t>
            </w:r>
          </w:p>
        </w:tc>
        <w:tc>
          <w:tcPr>
            <w:tcW w:type="dxa" w:w="142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D. GCC expansion (ZOYAME)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Strength of need (30%)</w:t>
            </w:r>
          </w:p>
        </w:tc>
        <w:tc>
          <w:tcPr>
            <w:tcW w:type="dxa" w:w="215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187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142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Fit with current capability (20%)</w:t>
            </w:r>
          </w:p>
        </w:tc>
        <w:tc>
          <w:tcPr>
            <w:tcW w:type="dxa" w:w="215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W w:type="dxa" w:w="187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142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Revenue potential (20%)</w:t>
            </w:r>
          </w:p>
        </w:tc>
        <w:tc>
          <w:tcPr>
            <w:tcW w:type="dxa" w:w="215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W w:type="dxa" w:w="187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W w:type="dxa" w:w="142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Speed to launch (15%)</w:t>
            </w:r>
          </w:p>
        </w:tc>
        <w:tc>
          <w:tcPr>
            <w:tcW w:type="dxa" w:w="215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W w:type="dxa" w:w="187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W w:type="dxa" w:w="142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</w:tr>
      <w:tr>
        <w:trPr>
          <w:cantSplit w:val="true"/>
        </w:trPr>
        <w:tc>
          <w:tcPr>
            <w:tcW w:type="dxa" w:w="190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Defensibility (15%)</w:t>
            </w:r>
          </w:p>
        </w:tc>
        <w:tc>
          <w:tcPr>
            <w:tcW w:type="dxa" w:w="215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187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142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</w:tr>
      <w:tr>
        <w:trPr>
          <w:cantSplit w:val="true"/>
        </w:trPr>
        <w:tc>
          <w:tcPr>
            <w:tcW w:type="dxa" w:w="190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Weighted score (out of 5)</w:t>
            </w:r>
          </w:p>
        </w:tc>
        <w:tc>
          <w:tcPr>
            <w:tcW w:type="dxa" w:w="215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4.30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2.85</w:t>
            </w:r>
          </w:p>
        </w:tc>
        <w:tc>
          <w:tcPr>
            <w:tcW w:type="dxa" w:w="187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2.65</w:t>
            </w:r>
          </w:p>
        </w:tc>
        <w:tc>
          <w:tcPr>
            <w:tcW w:type="dxa" w:w="142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1.85</w:t>
            </w:r>
          </w:p>
        </w:tc>
      </w:tr>
    </w:tbl>
    <w:p>
      <w:pPr>
        <w:pStyle w:val="BodyText"/>
        <w:spacing w:before="160"/>
      </w:pPr>
      <w:r>
        <w:rPr>
          <w:i/>
          <w:iCs/>
        </w:rPr>
        <w:t xml:space="preserve">Scores are the author’s judgement from the evidence in Sections 3–6; they should be re-scored with NivoTime management.</w:t>
      </w:r>
      <w:r>
        <w:t xml:space="preserve"> </w:t>
      </w:r>
      <w:r>
        <w:t xml:space="preserve">Option C is folded into A as a feature; Option D is deferred until the core business has proof points.</w:t>
      </w:r>
    </w:p>
    <w:p>
      <w:r>
        <w:br w:type="page"/>
      </w:r>
    </w:p>
    <w:p>
      <w:pPr>
        <w:pStyle w:val="Heading1"/>
        <w:shd w:val="clear" w:color="auto" w:fill="3B3A73"/>
        <w:jc w:val="left"/>
      </w:pPr>
      <w:r>
        <w:rPr>
          <w:color w:val="FFFFFF"/>
          <w:sz w:val="28"/>
        </w:rPr>
        <w:t xml:space="preserve">SECTION D — CUSTOMER TARGETING</w:t>
      </w:r>
    </w:p>
    <w:p>
      <w:pPr>
        <w:pStyle w:val="Heading1"/>
      </w:pPr>
      <w:r>
        <w:t xml:space="preserve">8. Segmentation, Market Size and Ideal Customer</w:t>
      </w:r>
    </w:p>
    <w:p>
      <w:pPr>
        <w:pStyle w:val="Heading2"/>
      </w:pPr>
      <w:r>
        <w:t xml:space="preserve">8.1 Decision on the customer framing</w:t>
      </w:r>
    </w:p>
    <w:p>
      <w:pPr>
        <w:pStyle w:val="FirstParagraph"/>
      </w:pPr>
      <w:r>
        <w:t xml:space="preserve">The mentor’s original split,</w:t>
      </w:r>
      <w:r>
        <w:t xml:space="preserve"> </w:t>
      </w:r>
      <w:r>
        <w:rPr>
          <w:b/>
          <w:bCs/>
        </w:rPr>
        <w:t xml:space="preserve">broker path vs. company path</w:t>
      </w:r>
      <w:r>
        <w:t xml:space="preserve">, holds up well against the evidence and is kept, with two refinements:</w:t>
      </w:r>
    </w:p>
    <w:p>
      <w:pPr>
        <w:pStyle w:val="Compact"/>
        <w:numPr>
          <w:ilvl w:val="0"/>
          <w:numId w:val="1017"/>
        </w:numPr>
        <w:spacing w:after="60" w:line="324" w:lineRule="auto"/>
      </w:pPr>
      <w:r>
        <w:t xml:space="preserve">The</w:t>
      </w:r>
      <w:r>
        <w:t xml:space="preserve"> </w:t>
      </w:r>
      <w:r>
        <w:rPr>
          <w:b/>
          <w:bCs/>
        </w:rPr>
        <w:t xml:space="preserve">broker channel is the primary growth multiplier</w:t>
      </w:r>
      <w:r>
        <w:t xml:space="preserve">. One broker can bring 20–40 employer accounts.</w:t>
      </w:r>
    </w:p>
    <w:p>
      <w:pPr>
        <w:pStyle w:val="Compact"/>
        <w:numPr>
          <w:ilvl w:val="0"/>
          <w:numId w:val="1017"/>
        </w:numPr>
        <w:spacing w:after="60" w:line="324" w:lineRule="auto"/>
      </w:pPr>
      <w:r>
        <w:t xml:space="preserve">The</w:t>
      </w:r>
      <w:r>
        <w:t xml:space="preserve"> </w:t>
      </w:r>
      <w:r>
        <w:rPr>
          <w:b/>
          <w:bCs/>
        </w:rPr>
        <w:t xml:space="preserve">employer path is a validation and reference engine</w:t>
      </w:r>
      <w:r>
        <w:t xml:space="preserve">, not a volume engine. Direct wins prove the product and produce case studies that help the broker sale.</w:t>
      </w:r>
    </w:p>
    <w:p>
      <w:pPr>
        <w:pStyle w:val="Compact"/>
        <w:numPr>
          <w:ilvl w:val="0"/>
          <w:numId w:val="1017"/>
        </w:numPr>
        <w:spacing w:after="60" w:line="324" w:lineRule="auto"/>
      </w:pPr>
      <w:r>
        <w:rPr>
          <w:b/>
          <w:bCs/>
        </w:rPr>
        <w:t xml:space="preserve">Custom IT services</w:t>
      </w:r>
      <w:r>
        <w:t xml:space="preserve"> </w:t>
      </w:r>
      <w:r>
        <w:t xml:space="preserve">are treated as a separate, controlled revenue line, not a customer path for the suite.</w:t>
      </w:r>
    </w:p>
    <w:p>
      <w:pPr>
        <w:pStyle w:val="Heading2"/>
      </w:pPr>
      <w:r>
        <w:t xml:space="preserve">8.2 Segmentation</w:t>
      </w:r>
    </w:p>
    <w:p>
      <w:pPr>
        <w:pStyle w:val="FirstParagraph"/>
        <w:keepNext/>
      </w:pPr>
      <w:r>
        <w:rPr>
          <w:b/>
          <w:bCs/>
        </w:rPr>
        <w:t xml:space="preserve">Broker path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160"/>
        <w:gridCol w:w="2636"/>
        <w:gridCol w:w="1173"/>
        <w:gridCol w:w="3058"/>
      </w:tblGrid>
      <w:tr>
        <w:trPr>
          <w:cantSplit w:val="true"/>
          <w:tblHeader w:val="true"/>
        </w:trPr>
        <w:tc>
          <w:tcPr>
            <w:tcW w:type="dxa" w:w="216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Segment</w:t>
            </w:r>
          </w:p>
        </w:tc>
        <w:tc>
          <w:tcPr>
            <w:tcW w:type="dxa" w:w="263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Description</w:t>
            </w:r>
          </w:p>
        </w:tc>
        <w:tc>
          <w:tcPr>
            <w:tcW w:type="dxa" w:w="117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Fit</w:t>
            </w:r>
          </w:p>
        </w:tc>
        <w:tc>
          <w:tcPr>
            <w:tcW w:type="dxa" w:w="305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Why</w:t>
            </w:r>
          </w:p>
        </w:tc>
      </w:tr>
      <w:tr>
        <w:trPr>
          <w:cantSplit w:val="true"/>
        </w:trPr>
        <w:tc>
          <w:tcPr>
            <w:tcW w:type="dxa" w:w="216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Global and large Indian brokers</w:t>
            </w:r>
          </w:p>
        </w:tc>
        <w:tc>
          <w:tcPr>
            <w:tcW w:type="dxa" w:w="263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Aon, Marsh/MMB, WTW, Prudent and similar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Low</w:t>
            </w:r>
          </w:p>
        </w:tc>
        <w:tc>
          <w:tcPr>
            <w:tcW w:type="dxa" w:w="305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Build their own tools [22][46]</w:t>
            </w:r>
          </w:p>
        </w:tc>
      </w:tr>
      <w:tr>
        <w:trPr>
          <w:cantSplit w:val="true"/>
        </w:trPr>
        <w:tc>
          <w:tcPr>
            <w:tcW w:type="dxa" w:w="216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Tech-first brokers</w:t>
            </w:r>
          </w:p>
        </w:tc>
        <w:tc>
          <w:tcPr>
            <w:tcW w:type="dxa" w:w="263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Plum, Pazcare, Loop, Nova</w:t>
            </w:r>
          </w:p>
        </w:tc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Low</w:t>
            </w:r>
          </w:p>
        </w:tc>
        <w:tc>
          <w:tcPr>
            <w:tcW w:type="dxa" w:w="305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They are competitors [42]</w:t>
            </w:r>
          </w:p>
        </w:tc>
      </w:tr>
      <w:tr>
        <w:trPr>
          <w:cantSplit w:val="true"/>
        </w:trPr>
        <w:tc>
          <w:tcPr>
            <w:tcW w:type="dxa" w:w="216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Mid-size composite and direct brokers</w:t>
            </w:r>
          </w:p>
        </w:tc>
        <w:tc>
          <w:tcPr>
            <w:tcW w:type="dxa" w:w="263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Active group-health book, no in-house tech team</w:t>
            </w:r>
          </w:p>
        </w:tc>
        <w:tc>
          <w:tcPr>
            <w:tcW w:type="dxa" w:w="11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Primary</w:t>
            </w:r>
          </w:p>
        </w:tc>
        <w:tc>
          <w:tcPr>
            <w:tcW w:type="dxa" w:w="305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Cannot build; under pressure to look modern; Bima Sugam push [30]</w:t>
            </w:r>
          </w:p>
        </w:tc>
      </w:tr>
      <w:tr>
        <w:trPr>
          <w:cantSplit w:val="true"/>
        </w:trPr>
        <w:tc>
          <w:tcPr>
            <w:tcW w:type="dxa" w:w="216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Small and regional brokers</w:t>
            </w:r>
          </w:p>
        </w:tc>
        <w:tc>
          <w:tcPr>
            <w:tcW w:type="dxa" w:w="263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Mostly retail or motor, few corporate clients</w:t>
            </w:r>
          </w:p>
        </w:tc>
        <w:tc>
          <w:tcPr>
            <w:tcW w:type="dxa" w:w="11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Later</w:t>
            </w:r>
          </w:p>
        </w:tc>
        <w:tc>
          <w:tcPr>
            <w:tcW w:type="dxa" w:w="305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Low budget; a light package later</w:t>
            </w:r>
          </w:p>
        </w:tc>
      </w:tr>
    </w:tbl>
    <w:p>
      <w:pPr>
        <w:pStyle w:val="BodyText"/>
        <w:keepNext/>
        <w:spacing w:before="160"/>
      </w:pPr>
      <w:r>
        <w:rPr>
          <w:b/>
          <w:bCs/>
        </w:rPr>
        <w:t xml:space="preserve">Employer path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3029"/>
        <w:gridCol w:w="1367"/>
        <w:gridCol w:w="4631"/>
      </w:tblGrid>
      <w:tr>
        <w:trPr>
          <w:cantSplit w:val="true"/>
          <w:tblHeader w:val="true"/>
        </w:trPr>
        <w:tc>
          <w:tcPr>
            <w:tcW w:type="dxa" w:w="302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Segment</w:t>
            </w:r>
          </w:p>
        </w:tc>
        <w:tc>
          <w:tcPr>
            <w:tcW w:type="dxa" w:w="136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Fit</w:t>
            </w:r>
          </w:p>
        </w:tc>
        <w:tc>
          <w:tcPr>
            <w:tcW w:type="dxa" w:w="463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Why</w:t>
            </w:r>
          </w:p>
        </w:tc>
      </w:tr>
      <w:tr>
        <w:trPr>
          <w:cantSplit w:val="true"/>
        </w:trPr>
        <w:tc>
          <w:tcPr>
            <w:tcW w:type="dxa" w:w="302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Mid-market employers (250–2,000 staff)</w:t>
            </w:r>
          </w:p>
        </w:tc>
        <w:tc>
          <w:tcPr>
            <w:tcW w:type="dxa" w:w="136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Primary</w:t>
            </w:r>
          </w:p>
        </w:tc>
        <w:tc>
          <w:tcPr>
            <w:tcW w:type="dxa" w:w="46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Complex enough to need benchmarking; too small for top-tier broker attention</w:t>
            </w:r>
          </w:p>
        </w:tc>
      </w:tr>
      <w:tr>
        <w:trPr>
          <w:cantSplit w:val="true"/>
        </w:trPr>
        <w:tc>
          <w:tcPr>
            <w:tcW w:type="dxa" w:w="302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Large enterprises (2,000+)</w:t>
            </w:r>
          </w:p>
        </w:tc>
        <w:tc>
          <w:tcPr>
            <w:tcW w:type="dxa" w:w="136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Via brokers</w:t>
            </w:r>
          </w:p>
        </w:tc>
        <w:tc>
          <w:tcPr>
            <w:tcW w:type="dxa" w:w="463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Usually tied to a large broker</w:t>
            </w:r>
          </w:p>
        </w:tc>
      </w:tr>
      <w:tr>
        <w:trPr>
          <w:cantSplit w:val="true"/>
        </w:trPr>
        <w:tc>
          <w:tcPr>
            <w:tcW w:type="dxa" w:w="302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Small firms (&lt;250)</w:t>
            </w:r>
          </w:p>
        </w:tc>
        <w:tc>
          <w:tcPr>
            <w:tcW w:type="dxa" w:w="136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Low</w:t>
            </w:r>
          </w:p>
        </w:tc>
        <w:tc>
          <w:tcPr>
            <w:tcW w:type="dxa" w:w="46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Price-sensitive; well served by Onsurity-type offers [16]</w:t>
            </w:r>
          </w:p>
        </w:tc>
      </w:tr>
    </w:tbl>
    <w:p>
      <w:pPr>
        <w:pStyle w:val="Heading2"/>
        <w:spacing w:before="160"/>
      </w:pPr>
      <w:r>
        <w:t xml:space="preserve">8.3 Market sizing (TAM, SAM, SOM)</w:t>
      </w:r>
    </w:p>
    <w:p>
      <w:pPr>
        <w:pStyle w:val="FirstParagraph"/>
        <w:keepNext/>
      </w:pPr>
      <w:r>
        <w:rPr>
          <w:b/>
          <w:bCs/>
        </w:rPr>
        <w:t xml:space="preserve">Broker path (bottom-up, the more reliable method)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042"/>
        <w:gridCol w:w="3612"/>
        <w:gridCol w:w="2647"/>
        <w:gridCol w:w="1726"/>
      </w:tblGrid>
      <w:tr>
        <w:trPr>
          <w:cantSplit w:val="true"/>
          <w:tblHeader w:val="true"/>
        </w:trPr>
        <w:tc>
          <w:tcPr>
            <w:tcW w:type="dxa" w:w="104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Level</w:t>
            </w:r>
          </w:p>
        </w:tc>
        <w:tc>
          <w:tcPr>
            <w:tcW w:type="dxa" w:w="361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Definition</w:t>
            </w:r>
          </w:p>
        </w:tc>
        <w:tc>
          <w:tcPr>
            <w:tcW w:type="dxa" w:w="264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Size</w:t>
            </w:r>
          </w:p>
        </w:tc>
        <w:tc>
          <w:tcPr>
            <w:tcW w:type="dxa" w:w="172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Basis</w:t>
            </w:r>
          </w:p>
        </w:tc>
      </w:tr>
      <w:tr>
        <w:trPr>
          <w:cantSplit w:val="true"/>
        </w:trPr>
        <w:tc>
          <w:tcPr>
            <w:tcW w:type="dxa" w:w="104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TAM</w:t>
            </w:r>
          </w:p>
        </w:tc>
        <w:tc>
          <w:tcPr>
            <w:tcW w:type="dxa" w:w="361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All IRDAI-licensed brokers</w:t>
            </w:r>
          </w:p>
        </w:tc>
        <w:tc>
          <w:tcPr>
            <w:tcW w:type="dxa" w:w="264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751 brokers</w:t>
            </w:r>
          </w:p>
        </w:tc>
        <w:tc>
          <w:tcPr>
            <w:tcW w:type="dxa" w:w="172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[10]</w:t>
            </w:r>
          </w:p>
        </w:tc>
      </w:tr>
      <w:tr>
        <w:trPr>
          <w:cantSplit w:val="true"/>
        </w:trPr>
        <w:tc>
          <w:tcPr>
            <w:tcW w:type="dxa" w:w="104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SAM</w:t>
            </w:r>
          </w:p>
        </w:tc>
        <w:tc>
          <w:tcPr>
            <w:tcW w:type="dxa" w:w="361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Mid-size brokers with a group-health book (excludes reinsurance, large and tech-first brokers)</w:t>
            </w:r>
          </w:p>
        </w:tc>
        <w:tc>
          <w:tcPr>
            <w:tcW w:type="dxa" w:w="264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~600 brokers → ~₹29 cr/year software pool</w:t>
            </w:r>
          </w:p>
        </w:tc>
        <w:tc>
          <w:tcPr>
            <w:tcW w:type="dxa" w:w="172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600 × ₹4.8 lakh ARR (A2, A4)</w:t>
            </w:r>
          </w:p>
        </w:tc>
      </w:tr>
      <w:tr>
        <w:trPr>
          <w:cantSplit w:val="true"/>
        </w:trPr>
        <w:tc>
          <w:tcPr>
            <w:tcW w:type="dxa" w:w="104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SOM (Year 3)</w:t>
            </w:r>
          </w:p>
        </w:tc>
        <w:tc>
          <w:tcPr>
            <w:tcW w:type="dxa" w:w="361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Base case</w:t>
            </w:r>
          </w:p>
        </w:tc>
        <w:tc>
          <w:tcPr>
            <w:tcW w:type="dxa" w:w="264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15 brokers (2.5% of SAM) → ~₹60 lakh recurring</w:t>
            </w:r>
          </w:p>
        </w:tc>
        <w:tc>
          <w:tcPr>
            <w:tcW w:type="dxa" w:w="172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Section 13 model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Top-down cross-check:</w:t>
      </w:r>
      <w:r>
        <w:t xml:space="preserve"> </w:t>
      </w:r>
      <w:r>
        <w:t xml:space="preserve">if every one of the 27.51 crore group lives [5] were served by similar tooling at ~₹27 per life a year (the per-life equivalent of the broker price), the theoretical ceiling would be ~₹750 crore a year (Est.). The gap between ₹29 cr and ₹750 cr shows that most group lives sit with large brokers and insurers, which is why the mid-size segment is underserved.</w:t>
      </w:r>
    </w:p>
    <w:p>
      <w:pPr>
        <w:pStyle w:val="BodyText"/>
        <w:keepNext/>
      </w:pPr>
      <w:r>
        <w:rPr>
          <w:b/>
          <w:bCs/>
        </w:rPr>
        <w:t xml:space="preserve">Employer path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240"/>
        <w:gridCol w:w="4161"/>
        <w:gridCol w:w="3626"/>
      </w:tblGrid>
      <w:tr>
        <w:trPr>
          <w:cantSplit w:val="true"/>
          <w:tblHeader w:val="true"/>
        </w:trPr>
        <w:tc>
          <w:tcPr>
            <w:tcW w:type="dxa" w:w="124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Level</w:t>
            </w:r>
          </w:p>
        </w:tc>
        <w:tc>
          <w:tcPr>
            <w:tcW w:type="dxa" w:w="416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Size</w:t>
            </w:r>
          </w:p>
        </w:tc>
        <w:tc>
          <w:tcPr>
            <w:tcW w:type="dxa" w:w="362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Basis</w:t>
            </w:r>
          </w:p>
        </w:tc>
      </w:tr>
      <w:tr>
        <w:trPr>
          <w:cantSplit w:val="true"/>
        </w:trPr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TAM</w:t>
            </w:r>
          </w:p>
        </w:tc>
        <w:tc>
          <w:tcPr>
            <w:tcW w:type="dxa" w:w="416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7.66 lakh EPFO-contributing establishments (FY24, all sizes)</w:t>
            </w:r>
          </w:p>
        </w:tc>
        <w:tc>
          <w:tcPr>
            <w:tcW w:type="dxa" w:w="362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[11]</w:t>
            </w:r>
          </w:p>
        </w:tc>
      </w:tr>
      <w:tr>
        <w:trPr>
          <w:cantSplit w:val="true"/>
        </w:trPr>
        <w:tc>
          <w:tcPr>
            <w:tcW w:type="dxa" w:w="124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SAM</w:t>
            </w:r>
          </w:p>
        </w:tc>
        <w:tc>
          <w:tcPr>
            <w:tcW w:type="dxa" w:w="416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Employers with 250–2,000 staff and a group-health policy</w:t>
            </w:r>
          </w:p>
        </w:tc>
        <w:tc>
          <w:tcPr>
            <w:tcW w:type="dxa" w:w="362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Not publicly available; to be built from a data provider</w:t>
            </w:r>
          </w:p>
        </w:tc>
      </w:tr>
      <w:tr>
        <w:trPr>
          <w:cantSplit w:val="true"/>
        </w:trPr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SOM (Year 3)</w:t>
            </w:r>
          </w:p>
        </w:tc>
        <w:tc>
          <w:tcPr>
            <w:tcW w:type="dxa" w:w="416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18 direct clients from a named list of 150 target accounts</w:t>
            </w:r>
          </w:p>
        </w:tc>
        <w:tc>
          <w:tcPr>
            <w:tcW w:type="dxa" w:w="362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Section 13 model</w:t>
            </w:r>
          </w:p>
        </w:tc>
      </w:tr>
    </w:tbl>
    <w:p>
      <w:pPr>
        <w:pStyle w:val="Heading2"/>
        <w:spacing w:before="160"/>
      </w:pPr>
      <w:r>
        <w:t xml:space="preserve">8.4 Ideal customer profiles</w:t>
      </w:r>
    </w:p>
    <w:p>
      <w:pPr>
        <w:pStyle w:val="FirstParagraph"/>
        <w:keepNext/>
      </w:pPr>
      <w:r>
        <w:rPr>
          <w:b/>
          <w:bCs/>
        </w:rPr>
        <w:t xml:space="preserve">Broker ICP</w:t>
      </w:r>
    </w:p>
    <w:p>
      <w:pPr>
        <w:pStyle w:val="Compact"/>
        <w:numPr>
          <w:ilvl w:val="0"/>
          <w:numId w:val="1018"/>
        </w:numPr>
        <w:spacing w:after="60" w:line="324" w:lineRule="auto"/>
      </w:pPr>
      <w:r>
        <w:t xml:space="preserve">IRDAI-licensed direct or composite broker, mid-size, with a group-health / employee-benefits practice</w:t>
      </w:r>
    </w:p>
    <w:p>
      <w:pPr>
        <w:pStyle w:val="Compact"/>
        <w:numPr>
          <w:ilvl w:val="0"/>
          <w:numId w:val="1018"/>
        </w:numPr>
        <w:spacing w:after="60" w:line="324" w:lineRule="auto"/>
      </w:pPr>
      <w:r>
        <w:t xml:space="preserve">15–60 corporate clients; no in-house benchmarking or quote tool</w:t>
      </w:r>
    </w:p>
    <w:p>
      <w:pPr>
        <w:pStyle w:val="Compact"/>
        <w:numPr>
          <w:ilvl w:val="0"/>
          <w:numId w:val="1018"/>
        </w:numPr>
        <w:spacing w:after="60" w:line="324" w:lineRule="auto"/>
      </w:pPr>
      <w:r>
        <w:t xml:space="preserve">Leadership worried about losing clients to tech-first brokers</w:t>
      </w:r>
    </w:p>
    <w:p>
      <w:pPr>
        <w:pStyle w:val="Compact"/>
        <w:numPr>
          <w:ilvl w:val="0"/>
          <w:numId w:val="1018"/>
        </w:numPr>
        <w:spacing w:after="60" w:line="324" w:lineRule="auto"/>
      </w:pPr>
      <w:r>
        <w:rPr>
          <w:b/>
          <w:bCs/>
        </w:rPr>
        <w:t xml:space="preserve">Trigger events:</w:t>
      </w:r>
      <w:r>
        <w:t xml:space="preserve"> </w:t>
      </w:r>
      <w:r>
        <w:t xml:space="preserve">lost a client to Plum/Pazcare/Loop; new digital head hired; Bima Sugam readiness project; licence conversion under the 2026 rules [34]</w:t>
      </w:r>
    </w:p>
    <w:p>
      <w:pPr>
        <w:pStyle w:val="Compact"/>
        <w:numPr>
          <w:ilvl w:val="0"/>
          <w:numId w:val="1018"/>
        </w:numPr>
        <w:spacing w:after="60" w:line="324" w:lineRule="auto"/>
      </w:pPr>
      <w:r>
        <w:rPr>
          <w:b/>
          <w:bCs/>
        </w:rPr>
        <w:t xml:space="preserve">Negative signals:</w:t>
      </w:r>
      <w:r>
        <w:t xml:space="preserve"> </w:t>
      </w:r>
      <w:r>
        <w:t xml:space="preserve">already using Bharatsure’s full stack; mostly retail or motor business</w:t>
      </w:r>
    </w:p>
    <w:p>
      <w:pPr>
        <w:pStyle w:val="FirstParagraph"/>
        <w:keepNext/>
      </w:pPr>
      <w:r>
        <w:rPr>
          <w:b/>
          <w:bCs/>
        </w:rPr>
        <w:t xml:space="preserve">Employer ICP</w:t>
      </w:r>
    </w:p>
    <w:p>
      <w:pPr>
        <w:pStyle w:val="Compact"/>
        <w:numPr>
          <w:ilvl w:val="0"/>
          <w:numId w:val="1019"/>
        </w:numPr>
        <w:spacing w:after="60" w:line="324" w:lineRule="auto"/>
      </w:pPr>
      <w:r>
        <w:t xml:space="preserve">250–2,000 employees, in IT, BFSI, pharma, manufacturing or professional services</w:t>
      </w:r>
    </w:p>
    <w:p>
      <w:pPr>
        <w:pStyle w:val="Compact"/>
        <w:numPr>
          <w:ilvl w:val="0"/>
          <w:numId w:val="1019"/>
        </w:numPr>
        <w:spacing w:after="60" w:line="324" w:lineRule="auto"/>
      </w:pPr>
      <w:r>
        <w:t xml:space="preserve">Group health renewal is a material cost; claims ratio above 85%</w:t>
      </w:r>
    </w:p>
    <w:p>
      <w:pPr>
        <w:pStyle w:val="Compact"/>
        <w:numPr>
          <w:ilvl w:val="0"/>
          <w:numId w:val="1019"/>
        </w:numPr>
        <w:spacing w:after="60" w:line="324" w:lineRule="auto"/>
      </w:pPr>
      <w:r>
        <w:t xml:space="preserve">HR runs benefits on spreadsheets, email and multiple portals</w:t>
      </w:r>
    </w:p>
    <w:p>
      <w:pPr>
        <w:pStyle w:val="Compact"/>
        <w:numPr>
          <w:ilvl w:val="0"/>
          <w:numId w:val="1019"/>
        </w:numPr>
        <w:spacing w:after="60" w:line="324" w:lineRule="auto"/>
      </w:pPr>
      <w:r>
        <w:rPr>
          <w:b/>
          <w:bCs/>
        </w:rPr>
        <w:t xml:space="preserve">Trigger events:</w:t>
      </w:r>
      <w:r>
        <w:t xml:space="preserve"> </w:t>
      </w:r>
      <w:r>
        <w:t xml:space="preserve">renewal in the next 3–6 months; large premium increase last year; new CHRO or CFO</w:t>
      </w:r>
    </w:p>
    <w:p>
      <w:pPr>
        <w:pStyle w:val="Heading2"/>
      </w:pPr>
      <w:r>
        <w:t xml:space="preserve">8.5 Buying committee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265"/>
        <w:gridCol w:w="3741"/>
        <w:gridCol w:w="3022"/>
      </w:tblGrid>
      <w:tr>
        <w:trPr>
          <w:cantSplit w:val="true"/>
          <w:tblHeader w:val="true"/>
        </w:trPr>
        <w:tc>
          <w:tcPr>
            <w:tcW w:type="dxa" w:w="226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Role</w:t>
            </w:r>
          </w:p>
        </w:tc>
        <w:tc>
          <w:tcPr>
            <w:tcW w:type="dxa" w:w="374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Broker path</w:t>
            </w:r>
          </w:p>
        </w:tc>
        <w:tc>
          <w:tcPr>
            <w:tcW w:type="dxa" w:w="302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Employer path</w:t>
            </w:r>
          </w:p>
        </w:tc>
      </w:tr>
      <w:tr>
        <w:trPr>
          <w:cantSplit w:val="true"/>
        </w:trPr>
        <w:tc>
          <w:tcPr>
            <w:tcW w:type="dxa" w:w="226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Economic buyer</w:t>
            </w:r>
          </w:p>
        </w:tc>
        <w:tc>
          <w:tcPr>
            <w:tcW w:type="dxa" w:w="37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CEO / MD</w:t>
            </w:r>
          </w:p>
        </w:tc>
        <w:tc>
          <w:tcPr>
            <w:tcW w:type="dxa" w:w="302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CFO or CHRO</w:t>
            </w:r>
          </w:p>
        </w:tc>
      </w:tr>
      <w:tr>
        <w:trPr>
          <w:cantSplit w:val="true"/>
        </w:trPr>
        <w:tc>
          <w:tcPr>
            <w:tcW w:type="dxa" w:w="226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Champion</w:t>
            </w:r>
          </w:p>
        </w:tc>
        <w:tc>
          <w:tcPr>
            <w:tcW w:type="dxa" w:w="37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Head of employee benefits / digital</w:t>
            </w:r>
          </w:p>
        </w:tc>
        <w:tc>
          <w:tcPr>
            <w:tcW w:type="dxa" w:w="302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Head of Total Rewards / HR Ops</w:t>
            </w:r>
          </w:p>
        </w:tc>
      </w:tr>
      <w:tr>
        <w:trPr>
          <w:cantSplit w:val="true"/>
        </w:trPr>
        <w:tc>
          <w:tcPr>
            <w:tcW w:type="dxa" w:w="226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Users</w:t>
            </w:r>
          </w:p>
        </w:tc>
        <w:tc>
          <w:tcPr>
            <w:tcW w:type="dxa" w:w="37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Account managers, servicing team</w:t>
            </w:r>
          </w:p>
        </w:tc>
        <w:tc>
          <w:tcPr>
            <w:tcW w:type="dxa" w:w="302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HR team, employees</w:t>
            </w:r>
          </w:p>
        </w:tc>
      </w:tr>
      <w:tr>
        <w:trPr>
          <w:cantSplit w:val="true"/>
        </w:trPr>
        <w:tc>
          <w:tcPr>
            <w:tcW w:type="dxa" w:w="226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Technical evaluator</w:t>
            </w:r>
          </w:p>
        </w:tc>
        <w:tc>
          <w:tcPr>
            <w:tcW w:type="dxa" w:w="37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IT / compliance lead</w:t>
            </w:r>
          </w:p>
        </w:tc>
        <w:tc>
          <w:tcPr>
            <w:tcW w:type="dxa" w:w="302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IT / information security</w:t>
            </w:r>
          </w:p>
        </w:tc>
      </w:tr>
      <w:tr>
        <w:trPr>
          <w:cantSplit w:val="true"/>
        </w:trPr>
        <w:tc>
          <w:tcPr>
            <w:tcW w:type="dxa" w:w="226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Likely blocker</w:t>
            </w:r>
          </w:p>
        </w:tc>
        <w:tc>
          <w:tcPr>
            <w:tcW w:type="dxa" w:w="37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We will build it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instinct; existing vendor</w:t>
            </w:r>
          </w:p>
        </w:tc>
        <w:tc>
          <w:tcPr>
            <w:tcW w:type="dxa" w:w="302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Incumbent broker; procurement</w:t>
            </w:r>
          </w:p>
        </w:tc>
      </w:tr>
    </w:tbl>
    <w:p>
      <w:pPr>
        <w:pStyle w:val="Heading2"/>
        <w:spacing w:before="160"/>
      </w:pPr>
      <w:r>
        <w:t xml:space="preserve">8.6 Industry playbooks (second-phase differentiation)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743"/>
        <w:gridCol w:w="6285"/>
      </w:tblGrid>
      <w:tr>
        <w:trPr>
          <w:cantSplit w:val="true"/>
          <w:tblHeader w:val="true"/>
        </w:trPr>
        <w:tc>
          <w:tcPr>
            <w:tcW w:type="dxa" w:w="274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Industry</w:t>
            </w:r>
          </w:p>
        </w:tc>
        <w:tc>
          <w:tcPr>
            <w:tcW w:type="dxa" w:w="628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Benefit themes to package</w:t>
            </w:r>
          </w:p>
        </w:tc>
      </w:tr>
      <w:tr>
        <w:trPr>
          <w:cantSplit w:val="true"/>
        </w:trPr>
        <w:tc>
          <w:tcPr>
            <w:tcW w:type="dxa" w:w="274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IT / technology</w:t>
            </w:r>
          </w:p>
        </w:tc>
        <w:tc>
          <w:tcPr>
            <w:tcW w:type="dxa" w:w="628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Young workforce, mental wellness, parental cover flexibility, digital-first communication</w:t>
            </w:r>
          </w:p>
        </w:tc>
      </w:tr>
      <w:tr>
        <w:trPr>
          <w:cantSplit w:val="true"/>
        </w:trPr>
        <w:tc>
          <w:tcPr>
            <w:tcW w:type="dxa" w:w="274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Manufacturing</w:t>
            </w:r>
          </w:p>
        </w:tc>
        <w:tc>
          <w:tcPr>
            <w:tcW w:type="dxa" w:w="628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Large, shift-based workforce, dependants’ cover, offline-to-digital servicing, multilingual nudges</w:t>
            </w:r>
          </w:p>
        </w:tc>
      </w:tr>
      <w:tr>
        <w:trPr>
          <w:cantSplit w:val="true"/>
        </w:trPr>
        <w:tc>
          <w:tcPr>
            <w:tcW w:type="dxa" w:w="274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BFSI</w:t>
            </w:r>
          </w:p>
        </w:tc>
        <w:tc>
          <w:tcPr>
            <w:tcW w:type="dxa" w:w="628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High expectations of employee experience, executive benefits, analytics</w:t>
            </w:r>
          </w:p>
        </w:tc>
      </w:tr>
      <w:tr>
        <w:trPr>
          <w:cantSplit w:val="true"/>
        </w:trPr>
        <w:tc>
          <w:tcPr>
            <w:tcW w:type="dxa" w:w="274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Pharma and healthcare</w:t>
            </w:r>
          </w:p>
        </w:tc>
        <w:tc>
          <w:tcPr>
            <w:tcW w:type="dxa" w:w="628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Family benefits, preventive health, compliance-sensitive workflows</w:t>
            </w:r>
          </w:p>
        </w:tc>
      </w:tr>
    </w:tbl>
    <w:p>
      <w:pPr>
        <w:pStyle w:val="BodyText"/>
        <w:spacing w:before="160"/>
      </w:pPr>
      <w:r>
        <w:rPr>
          <w:i/>
          <w:iCs/>
        </w:rPr>
        <w:t xml:space="preserve">Each playbook is a configuration (templates, benchmarks, nudges) on the same platform, not a separate product. Validate each with broker and employer interviews before building.</w:t>
      </w:r>
    </w:p>
    <w:p>
      <w:r>
        <w:br w:type="page"/>
      </w:r>
    </w:p>
    <w:p>
      <w:pPr>
        <w:pStyle w:val="Heading1"/>
        <w:shd w:val="clear" w:color="auto" w:fill="3B3A73"/>
        <w:jc w:val="left"/>
      </w:pPr>
      <w:r>
        <w:rPr>
          <w:color w:val="FFFFFF"/>
          <w:sz w:val="28"/>
        </w:rPr>
        <w:t xml:space="preserve">SECTION E — GO-TO-MARKET AND SALES ENGINE</w:t>
      </w:r>
    </w:p>
    <w:p>
      <w:pPr>
        <w:pStyle w:val="Heading1"/>
      </w:pPr>
      <w:r>
        <w:t xml:space="preserve">9. Go-to-Market Strategy</w:t>
      </w:r>
    </w:p>
    <w:p>
      <w:pPr>
        <w:pStyle w:val="Heading2"/>
      </w:pPr>
      <w:r>
        <w:t xml:space="preserve">9.1 Positioning</w:t>
      </w:r>
    </w:p>
    <w:p>
      <w:pPr>
        <w:pStyle w:val="FirstParagraph"/>
        <w:keepNext/>
      </w:pPr>
      <w:r>
        <w:rPr>
          <w:b/>
          <w:bCs/>
        </w:rPr>
        <w:t xml:space="preserve">Broker path</w:t>
      </w:r>
    </w:p>
    <w:p>
      <w:pPr>
        <w:pStyle w:val="BlockText"/>
      </w:pPr>
      <w:r>
        <w:t xml:space="preserve">For</w:t>
      </w:r>
      <w:r>
        <w:t xml:space="preserve"> </w:t>
      </w:r>
      <w:r>
        <w:rPr>
          <w:b/>
          <w:bCs/>
        </w:rPr>
        <w:t xml:space="preserve">mid-size insurance brokers</w:t>
      </w:r>
      <w:r>
        <w:t xml:space="preserve"> </w:t>
      </w:r>
      <w:r>
        <w:t xml:space="preserve">who want to compete with tech-first brokers,</w:t>
      </w:r>
      <w:r>
        <w:t xml:space="preserve"> </w:t>
      </w:r>
      <w:r>
        <w:rPr>
          <w:b/>
          <w:bCs/>
        </w:rPr>
        <w:t xml:space="preserve">NivoTime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white-label benefits intelligence platform</w:t>
      </w:r>
      <w:r>
        <w:t xml:space="preserve"> </w:t>
      </w:r>
      <w:r>
        <w:t xml:space="preserve">that turns renewals into a sales advantage with AI benchmarking and quote comparison. Unlike building in-house or using spreadsheets, it is</w:t>
      </w:r>
      <w:r>
        <w:t xml:space="preserve"> </w:t>
      </w:r>
      <w:r>
        <w:rPr>
          <w:b/>
          <w:bCs/>
        </w:rPr>
        <w:t xml:space="preserve">ready now, carries the broker’s brand, and gets smarter with every broker on the network</w:t>
      </w:r>
      <w:r>
        <w:t xml:space="preserve">.</w:t>
      </w:r>
    </w:p>
    <w:p>
      <w:pPr>
        <w:pStyle w:val="FirstParagraph"/>
        <w:keepNext/>
      </w:pPr>
      <w:r>
        <w:rPr>
          <w:b/>
          <w:bCs/>
        </w:rPr>
        <w:t xml:space="preserve">Employer path</w:t>
      </w:r>
    </w:p>
    <w:p>
      <w:pPr>
        <w:pStyle w:val="BlockText"/>
      </w:pPr>
      <w:r>
        <w:t xml:space="preserve">For</w:t>
      </w:r>
      <w:r>
        <w:t xml:space="preserve"> </w:t>
      </w:r>
      <w:r>
        <w:rPr>
          <w:b/>
          <w:bCs/>
        </w:rPr>
        <w:t xml:space="preserve">HR and finance leaders at mid-market companies</w:t>
      </w:r>
      <w:r>
        <w:t xml:space="preserve">, NivoTime shows</w:t>
      </w:r>
      <w:r>
        <w:t xml:space="preserve"> </w:t>
      </w:r>
      <w:r>
        <w:rPr>
          <w:b/>
          <w:bCs/>
        </w:rPr>
        <w:t xml:space="preserve">whether your benefits are competitive and what next year’s renewal should cost</w:t>
      </w:r>
      <w:r>
        <w:t xml:space="preserve">, before the insurer tells you.</w:t>
      </w:r>
    </w:p>
    <w:p>
      <w:pPr>
        <w:pStyle w:val="Heading2"/>
      </w:pPr>
      <w:r>
        <w:t xml:space="preserve">9.2 Messaging pyramid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105"/>
        <w:gridCol w:w="3714"/>
        <w:gridCol w:w="3209"/>
      </w:tblGrid>
      <w:tr>
        <w:trPr>
          <w:cantSplit w:val="true"/>
          <w:tblHeader w:val="true"/>
        </w:trPr>
        <w:tc>
          <w:tcPr>
            <w:tcW w:type="dxa" w:w="210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Level</w:t>
            </w:r>
          </w:p>
        </w:tc>
        <w:tc>
          <w:tcPr>
            <w:tcW w:type="dxa" w:w="371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Message</w:t>
            </w:r>
          </w:p>
        </w:tc>
        <w:tc>
          <w:tcPr>
            <w:tcW w:type="dxa" w:w="320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Proof needed</w:t>
            </w:r>
          </w:p>
        </w:tc>
      </w:tr>
      <w:tr>
        <w:trPr>
          <w:cantSplit w:val="true"/>
        </w:trPr>
        <w:tc>
          <w:tcPr>
            <w:tcW w:type="dxa" w:w="210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Core promise</w:t>
            </w:r>
          </w:p>
        </w:tc>
        <w:tc>
          <w:tcPr>
            <w:tcW w:type="dxa" w:w="371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Win the renewal before it starts.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320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Pilot results</w:t>
            </w:r>
          </w:p>
        </w:tc>
      </w:tr>
      <w:tr>
        <w:trPr>
          <w:cantSplit w:val="true"/>
        </w:trPr>
        <w:tc>
          <w:tcPr>
            <w:tcW w:type="dxa" w:w="210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Pillar 1: Speed</w:t>
            </w:r>
          </w:p>
        </w:tc>
        <w:tc>
          <w:tcPr>
            <w:tcW w:type="dxa" w:w="371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Renewal pack in hours, not weeks</w:t>
            </w:r>
          </w:p>
        </w:tc>
        <w:tc>
          <w:tcPr>
            <w:tcW w:type="dxa" w:w="320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Time saved per account in pilots (target: 50% [45])</w:t>
            </w:r>
          </w:p>
        </w:tc>
      </w:tr>
      <w:tr>
        <w:trPr>
          <w:cantSplit w:val="true"/>
        </w:trPr>
        <w:tc>
          <w:tcPr>
            <w:tcW w:type="dxa" w:w="210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Pillar 2: Insight</w:t>
            </w:r>
          </w:p>
        </w:tc>
        <w:tc>
          <w:tcPr>
            <w:tcW w:type="dxa" w:w="371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Peer benchmarks by co-pay, size, family cover and sum insured</w:t>
            </w:r>
          </w:p>
        </w:tc>
        <w:tc>
          <w:tcPr>
            <w:tcW w:type="dxa" w:w="320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Live demo on the client’s own data</w:t>
            </w:r>
          </w:p>
        </w:tc>
      </w:tr>
      <w:tr>
        <w:trPr>
          <w:cantSplit w:val="true"/>
        </w:trPr>
        <w:tc>
          <w:tcPr>
            <w:tcW w:type="dxa" w:w="210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Pillar 3: Independence</w:t>
            </w:r>
          </w:p>
        </w:tc>
        <w:tc>
          <w:tcPr>
            <w:tcW w:type="dxa" w:w="371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The broker keeps the brand and the client</w:t>
            </w:r>
          </w:p>
        </w:tc>
        <w:tc>
          <w:tcPr>
            <w:tcW w:type="dxa" w:w="320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White-label demo; contract terms</w:t>
            </w:r>
          </w:p>
        </w:tc>
      </w:tr>
      <w:tr>
        <w:trPr>
          <w:cantSplit w:val="true"/>
        </w:trPr>
        <w:tc>
          <w:tcPr>
            <w:tcW w:type="dxa" w:w="210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Pillar 4: Trust</w:t>
            </w:r>
          </w:p>
        </w:tc>
        <w:tc>
          <w:tcPr>
            <w:tcW w:type="dxa" w:w="371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Secure, DPDP-ready, human-reviewed AI</w:t>
            </w:r>
          </w:p>
        </w:tc>
        <w:tc>
          <w:tcPr>
            <w:tcW w:type="dxa" w:w="320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Security certificate, audit trail</w:t>
            </w:r>
          </w:p>
        </w:tc>
      </w:tr>
    </w:tbl>
    <w:p>
      <w:pPr>
        <w:pStyle w:val="Heading2"/>
        <w:spacing w:before="160"/>
      </w:pPr>
      <w:r>
        <w:t xml:space="preserve">9.3 Go-to-market motion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296"/>
        <w:gridCol w:w="4580"/>
        <w:gridCol w:w="3152"/>
      </w:tblGrid>
      <w:tr>
        <w:trPr>
          <w:cantSplit w:val="true"/>
          <w:tblHeader w:val="true"/>
        </w:trPr>
        <w:tc>
          <w:tcPr>
            <w:tcW w:type="dxa" w:w="129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Path</w:t>
            </w:r>
          </w:p>
        </w:tc>
        <w:tc>
          <w:tcPr>
            <w:tcW w:type="dxa" w:w="458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Motion</w:t>
            </w:r>
          </w:p>
        </w:tc>
        <w:tc>
          <w:tcPr>
            <w:tcW w:type="dxa" w:w="315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Why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</w:t>
            </w:r>
          </w:p>
        </w:tc>
        <w:tc>
          <w:tcPr>
            <w:tcW w:type="dxa" w:w="458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Sales-led, founder-assisted</w:t>
            </w:r>
            <w:r>
              <w:rPr>
                <w:rFonts w:ascii="Times New Roman" w:hAnsi="Times New Roman"/>
                <w:sz w:val="19"/>
              </w:rPr>
              <w:t xml:space="preserve">, moving to partner-led once 10+ brokers are live</w:t>
            </w:r>
          </w:p>
        </w:tc>
        <w:tc>
          <w:tcPr>
            <w:tcW w:type="dxa" w:w="315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High value, few buyers, several decision makers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Employer</w:t>
            </w:r>
          </w:p>
        </w:tc>
        <w:tc>
          <w:tcPr>
            <w:tcW w:type="dxa" w:w="458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Hybrid</w:t>
            </w:r>
            <w:r>
              <w:rPr>
                <w:rFonts w:ascii="Times New Roman" w:hAnsi="Times New Roman"/>
                <w:sz w:val="19"/>
              </w:rPr>
              <w:t xml:space="preserve">: content and a free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benefits health check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create demand; inside sales converts</w:t>
            </w:r>
          </w:p>
        </w:tc>
        <w:tc>
          <w:tcPr>
            <w:tcW w:type="dxa" w:w="315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Mid-size deals; buyers research online first</w:t>
            </w:r>
          </w:p>
        </w:tc>
      </w:tr>
    </w:tbl>
    <w:p>
      <w:pPr>
        <w:pStyle w:val="Heading2"/>
        <w:spacing w:before="160"/>
      </w:pPr>
      <w:r>
        <w:t xml:space="preserve">9.4 Three acquisition engines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968"/>
        <w:gridCol w:w="3759"/>
        <w:gridCol w:w="3301"/>
      </w:tblGrid>
      <w:tr>
        <w:trPr>
          <w:cantSplit w:val="true"/>
          <w:tblHeader w:val="true"/>
        </w:trPr>
        <w:tc>
          <w:tcPr>
            <w:tcW w:type="dxa" w:w="196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Engine</w:t>
            </w:r>
          </w:p>
        </w:tc>
        <w:tc>
          <w:tcPr>
            <w:tcW w:type="dxa" w:w="375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Approach</w:t>
            </w:r>
          </w:p>
        </w:tc>
        <w:tc>
          <w:tcPr>
            <w:tcW w:type="dxa" w:w="330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Offer</w:t>
            </w:r>
          </w:p>
        </w:tc>
      </w:tr>
      <w:tr>
        <w:trPr>
          <w:cantSplit w:val="true"/>
        </w:trPr>
        <w:tc>
          <w:tcPr>
            <w:tcW w:type="dxa" w:w="196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Account-based marketing</w:t>
            </w:r>
          </w:p>
        </w:tc>
        <w:tc>
          <w:tcPr>
            <w:tcW w:type="dxa" w:w="375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Named list of 100 mid-size brokers and 150 employers; personalised LinkedIn and email outreach; founder introductions</w:t>
            </w:r>
          </w:p>
        </w:tc>
        <w:tc>
          <w:tcPr>
            <w:tcW w:type="dxa" w:w="330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Free 30-minute benefits health check with a benchmark snapshot</w:t>
            </w:r>
          </w:p>
        </w:tc>
      </w:tr>
      <w:tr>
        <w:trPr>
          <w:cantSplit w:val="true"/>
        </w:trPr>
        <w:tc>
          <w:tcPr>
            <w:tcW w:type="dxa" w:w="196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Broker pilot programme</w:t>
            </w:r>
          </w:p>
        </w:tc>
        <w:tc>
          <w:tcPr>
            <w:tcW w:type="dxa" w:w="375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90-day white-label pilot on 3 of the broker’s clients</w:t>
            </w:r>
          </w:p>
        </w:tc>
        <w:tc>
          <w:tcPr>
            <w:tcW w:type="dxa" w:w="330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Pilot fee credited against the first-year contract</w:t>
            </w:r>
          </w:p>
        </w:tc>
      </w:tr>
      <w:tr>
        <w:trPr>
          <w:cantSplit w:val="true"/>
        </w:trPr>
        <w:tc>
          <w:tcPr>
            <w:tcW w:type="dxa" w:w="196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Thought leadership</w:t>
            </w:r>
          </w:p>
        </w:tc>
        <w:tc>
          <w:tcPr>
            <w:tcW w:type="dxa" w:w="375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Quarterly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India Benefits Pulse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and an annual benchmark report from anonymised data; webinars with broker partners</w:t>
            </w:r>
          </w:p>
        </w:tc>
        <w:tc>
          <w:tcPr>
            <w:tcW w:type="dxa" w:w="330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Report download in exchange for contact details</w:t>
            </w:r>
          </w:p>
        </w:tc>
      </w:tr>
    </w:tbl>
    <w:p>
      <w:pPr>
        <w:pStyle w:val="Heading2"/>
        <w:spacing w:before="160"/>
      </w:pPr>
      <w:r>
        <w:t xml:space="preserve">9.5 Packaging and pricing (proposed)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242"/>
        <w:gridCol w:w="1921"/>
        <w:gridCol w:w="4864"/>
      </w:tblGrid>
      <w:tr>
        <w:trPr>
          <w:cantSplit w:val="true"/>
          <w:tblHeader w:val="true"/>
        </w:trPr>
        <w:tc>
          <w:tcPr>
            <w:tcW w:type="dxa" w:w="224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Package</w:t>
            </w:r>
          </w:p>
        </w:tc>
        <w:tc>
          <w:tcPr>
            <w:tcW w:type="dxa" w:w="192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For</w:t>
            </w:r>
          </w:p>
        </w:tc>
        <w:tc>
          <w:tcPr>
            <w:tcW w:type="dxa" w:w="486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Structure (A4, A5)</w:t>
            </w:r>
          </w:p>
        </w:tc>
      </w:tr>
      <w:tr>
        <w:trPr>
          <w:cantSplit w:val="true"/>
        </w:trPr>
        <w:tc>
          <w:tcPr>
            <w:tcW w:type="dxa" w:w="224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Broker Workspace</w:t>
            </w:r>
          </w:p>
        </w:tc>
        <w:tc>
          <w:tcPr>
            <w:tcW w:type="dxa" w:w="192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Mid-size brokers</w:t>
            </w:r>
          </w:p>
        </w:tc>
        <w:tc>
          <w:tcPr>
            <w:tcW w:type="dxa" w:w="486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₹1.8 lakh/year + ₹5,000 per active employer account + ₹10 per engaged employee life</w:t>
            </w:r>
          </w:p>
        </w:tc>
      </w:tr>
      <w:tr>
        <w:trPr>
          <w:cantSplit w:val="true"/>
        </w:trPr>
        <w:tc>
          <w:tcPr>
            <w:tcW w:type="dxa" w:w="224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Employer Essentials</w:t>
            </w:r>
          </w:p>
        </w:tc>
        <w:tc>
          <w:tcPr>
            <w:tcW w:type="dxa" w:w="192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250–750 staff</w:t>
            </w:r>
          </w:p>
        </w:tc>
        <w:tc>
          <w:tcPr>
            <w:tcW w:type="dxa" w:w="486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₹60 per covered life/year (≈₹5 per employee per month) + onboarding</w:t>
            </w:r>
          </w:p>
        </w:tc>
      </w:tr>
      <w:tr>
        <w:trPr>
          <w:cantSplit w:val="true"/>
        </w:trPr>
        <w:tc>
          <w:tcPr>
            <w:tcW w:type="dxa" w:w="224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Employer Growth</w:t>
            </w:r>
          </w:p>
        </w:tc>
        <w:tc>
          <w:tcPr>
            <w:tcW w:type="dxa" w:w="192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750–2,000 staff</w:t>
            </w:r>
          </w:p>
        </w:tc>
        <w:tc>
          <w:tcPr>
            <w:tcW w:type="dxa" w:w="486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Essentials + engagement engine + analytics add-ons</w:t>
            </w:r>
          </w:p>
        </w:tc>
      </w:tr>
      <w:tr>
        <w:trPr>
          <w:cantSplit w:val="true"/>
        </w:trPr>
        <w:tc>
          <w:tcPr>
            <w:tcW w:type="dxa" w:w="224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Renewal Advisory Pack</w:t>
            </w:r>
          </w:p>
        </w:tc>
        <w:tc>
          <w:tcPr>
            <w:tcW w:type="dxa" w:w="192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Any client</w:t>
            </w:r>
          </w:p>
        </w:tc>
        <w:tc>
          <w:tcPr>
            <w:tcW w:type="dxa" w:w="486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₹75,000 per renewal engagement</w:t>
            </w:r>
          </w:p>
        </w:tc>
      </w:tr>
      <w:tr>
        <w:trPr>
          <w:cantSplit w:val="true"/>
        </w:trPr>
        <w:tc>
          <w:tcPr>
            <w:tcW w:type="dxa" w:w="224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Implementation</w:t>
            </w:r>
          </w:p>
        </w:tc>
        <w:tc>
          <w:tcPr>
            <w:tcW w:type="dxa" w:w="192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All</w:t>
            </w:r>
          </w:p>
        </w:tc>
        <w:tc>
          <w:tcPr>
            <w:tcW w:type="dxa" w:w="486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₹3 lakh (broker), ₹75,000 (employer), one-time</w:t>
            </w:r>
          </w:p>
        </w:tc>
      </w:tr>
    </w:tbl>
    <w:p>
      <w:pPr>
        <w:pStyle w:val="BodyText"/>
        <w:keepNext/>
        <w:spacing w:before="160"/>
      </w:pPr>
      <w:r>
        <w:rPr>
          <w:b/>
          <w:bCs/>
        </w:rPr>
        <w:t xml:space="preserve">Customer value check (illustrative)</w:t>
      </w:r>
    </w:p>
    <w:p>
      <w:pPr>
        <w:pStyle w:val="Compact"/>
        <w:numPr>
          <w:ilvl w:val="0"/>
          <w:numId w:val="1020"/>
        </w:numPr>
        <w:spacing w:after="60" w:line="324" w:lineRule="auto"/>
      </w:pPr>
      <w:r>
        <w:rPr>
          <w:b/>
          <w:bCs/>
        </w:rPr>
        <w:t xml:space="preserve">Broker with 40 clients:</w:t>
      </w:r>
      <w:r>
        <w:t xml:space="preserve"> </w:t>
      </w:r>
      <w:r>
        <w:t xml:space="preserve">fee ~₹6.6 lakh/year. Estimated value ~₹10.1 lakh/year: 600 hours saved on renewals and quotes (~₹4.2 lakh at ₹700/hour), 2 accounts retained (~₹2.3 lakh brokerage) and 3 accounts won (~₹3.5 lakh) (A13).</w:t>
      </w:r>
      <w:r>
        <w:t xml:space="preserve"> </w:t>
      </w:r>
      <w:r>
        <w:rPr>
          <w:b/>
          <w:bCs/>
        </w:rPr>
        <w:t xml:space="preserve">~1.5x return.</w:t>
      </w:r>
    </w:p>
    <w:p>
      <w:pPr>
        <w:pStyle w:val="Compact"/>
        <w:numPr>
          <w:ilvl w:val="0"/>
          <w:numId w:val="1020"/>
        </w:numPr>
        <w:spacing w:after="60" w:line="324" w:lineRule="auto"/>
      </w:pPr>
      <w:r>
        <w:rPr>
          <w:b/>
          <w:bCs/>
        </w:rPr>
        <w:t xml:space="preserve">Employer with 700 staff:</w:t>
      </w:r>
      <w:r>
        <w:t xml:space="preserve"> </w:t>
      </w:r>
      <w:r>
        <w:t xml:space="preserve">premium ~₹15.6 lakh; fee ₹42,000. The platform pays for itself if benchmarking and plan redesign cut the renewal by</w:t>
      </w:r>
      <w:r>
        <w:t xml:space="preserve"> </w:t>
      </w:r>
      <w:r>
        <w:rPr>
          <w:b/>
          <w:bCs/>
        </w:rPr>
        <w:t xml:space="preserve">2.7% of premium</w:t>
      </w:r>
      <w:r>
        <w:t xml:space="preserve">, against a medical trend of 11.5–12.9% [8][9].</w:t>
      </w:r>
    </w:p>
    <w:p>
      <w:pPr>
        <w:pStyle w:val="Heading2"/>
      </w:pPr>
      <w:r>
        <w:t xml:space="preserve">9.6 Launch sequence</w:t>
      </w:r>
    </w:p>
    <w:p>
      <w:pPr>
        <w:pStyle w:val="Compact"/>
        <w:numPr>
          <w:ilvl w:val="0"/>
          <w:numId w:val="1021"/>
        </w:numPr>
        <w:spacing w:after="60" w:line="324" w:lineRule="auto"/>
      </w:pPr>
      <w:r>
        <w:rPr>
          <w:b/>
          <w:bCs/>
        </w:rPr>
        <w:t xml:space="preserve">Soft launch (months 3–6):</w:t>
      </w:r>
      <w:r>
        <w:t xml:space="preserve"> </w:t>
      </w:r>
      <w:r>
        <w:t xml:space="preserve">pilots only, no public pricing.</w:t>
      </w:r>
    </w:p>
    <w:p>
      <w:pPr>
        <w:pStyle w:val="Compact"/>
        <w:numPr>
          <w:ilvl w:val="0"/>
          <w:numId w:val="1021"/>
        </w:numPr>
        <w:spacing w:after="60" w:line="324" w:lineRule="auto"/>
      </w:pPr>
      <w:r>
        <w:rPr>
          <w:b/>
          <w:bCs/>
        </w:rPr>
        <w:t xml:space="preserve">Proof launch (months 6–9):</w:t>
      </w:r>
      <w:r>
        <w:t xml:space="preserve"> </w:t>
      </w:r>
      <w:r>
        <w:t xml:space="preserve">first case study, benchmark report, public packages.</w:t>
      </w:r>
    </w:p>
    <w:p>
      <w:pPr>
        <w:pStyle w:val="Compact"/>
        <w:numPr>
          <w:ilvl w:val="0"/>
          <w:numId w:val="1021"/>
        </w:numPr>
        <w:spacing w:after="60" w:line="324" w:lineRule="auto"/>
      </w:pPr>
      <w:r>
        <w:rPr>
          <w:b/>
          <w:bCs/>
        </w:rPr>
        <w:t xml:space="preserve">Channel launch (months 9–12):</w:t>
      </w:r>
      <w:r>
        <w:t xml:space="preserve"> </w:t>
      </w:r>
      <w:r>
        <w:t xml:space="preserve">broker referral programme; presence at broker events.</w:t>
      </w:r>
    </w:p>
    <w:p>
      <w:pPr>
        <w:pStyle w:val="Heading1"/>
      </w:pPr>
      <w:r>
        <w:t xml:space="preserve">10. Sales Engine</w:t>
      </w:r>
    </w:p>
    <w:p>
      <w:pPr>
        <w:pStyle w:val="Heading2"/>
      </w:pPr>
      <w:r>
        <w:t xml:space="preserve">10.1 Two sales processes</w:t>
      </w:r>
    </w:p>
    <w:p>
      <w:pPr>
        <w:pStyle w:val="FirstParagraph"/>
        <w:keepNext/>
      </w:pPr>
      <w:r>
        <w:rPr>
          <w:b/>
          <w:bCs/>
        </w:rPr>
        <w:t xml:space="preserve">Broker path (target cycle: 3–5 months)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572"/>
        <w:gridCol w:w="3829"/>
        <w:gridCol w:w="2001"/>
        <w:gridCol w:w="1625"/>
      </w:tblGrid>
      <w:tr>
        <w:trPr>
          <w:cantSplit w:val="true"/>
          <w:tblHeader w:val="true"/>
        </w:trPr>
        <w:tc>
          <w:tcPr>
            <w:tcW w:type="dxa" w:w="157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Stage</w:t>
            </w:r>
          </w:p>
        </w:tc>
        <w:tc>
          <w:tcPr>
            <w:tcW w:type="dxa" w:w="382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What happens</w:t>
            </w:r>
          </w:p>
        </w:tc>
        <w:tc>
          <w:tcPr>
            <w:tcW w:type="dxa" w:w="200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Exit criterion</w:t>
            </w:r>
          </w:p>
        </w:tc>
        <w:tc>
          <w:tcPr>
            <w:tcW w:type="dxa" w:w="162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Owner</w:t>
            </w:r>
          </w:p>
        </w:tc>
      </w:tr>
      <w:tr>
        <w:trPr>
          <w:cantSplit w:val="true"/>
        </w:trPr>
        <w:tc>
          <w:tcPr>
            <w:tcW w:type="dxa" w:w="15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1. Target</w:t>
            </w:r>
          </w:p>
        </w:tc>
        <w:tc>
          <w:tcPr>
            <w:tcW w:type="dxa" w:w="382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Named broker researched; trigger event identified</w:t>
            </w:r>
          </w:p>
        </w:tc>
        <w:tc>
          <w:tcPr>
            <w:tcW w:type="dxa" w:w="200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ICP fit confirmed</w:t>
            </w:r>
          </w:p>
        </w:tc>
        <w:tc>
          <w:tcPr>
            <w:tcW w:type="dxa" w:w="162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Sales / founder</w:t>
            </w:r>
          </w:p>
        </w:tc>
      </w:tr>
      <w:tr>
        <w:trPr>
          <w:cantSplit w:val="true"/>
        </w:trPr>
        <w:tc>
          <w:tcPr>
            <w:tcW w:type="dxa" w:w="157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2. Engage</w:t>
            </w:r>
          </w:p>
        </w:tc>
        <w:tc>
          <w:tcPr>
            <w:tcW w:type="dxa" w:w="382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 intro or ABM outreach</w:t>
            </w:r>
          </w:p>
        </w:tc>
        <w:tc>
          <w:tcPr>
            <w:tcW w:type="dxa" w:w="200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Meeting booked</w:t>
            </w:r>
          </w:p>
        </w:tc>
        <w:tc>
          <w:tcPr>
            <w:tcW w:type="dxa" w:w="162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</w:t>
            </w:r>
          </w:p>
        </w:tc>
      </w:tr>
      <w:tr>
        <w:trPr>
          <w:cantSplit w:val="true"/>
        </w:trPr>
        <w:tc>
          <w:tcPr>
            <w:tcW w:type="dxa" w:w="15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3. Discover</w:t>
            </w:r>
          </w:p>
        </w:tc>
        <w:tc>
          <w:tcPr>
            <w:tcW w:type="dxa" w:w="382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Current renewal process, client count, tools, pain</w:t>
            </w:r>
          </w:p>
        </w:tc>
        <w:tc>
          <w:tcPr>
            <w:tcW w:type="dxa" w:w="200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Pain quantified</w:t>
            </w:r>
          </w:p>
        </w:tc>
        <w:tc>
          <w:tcPr>
            <w:tcW w:type="dxa" w:w="162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Sales + product</w:t>
            </w:r>
          </w:p>
        </w:tc>
      </w:tr>
      <w:tr>
        <w:trPr>
          <w:cantSplit w:val="true"/>
        </w:trPr>
        <w:tc>
          <w:tcPr>
            <w:tcW w:type="dxa" w:w="157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4. Demo</w:t>
            </w:r>
          </w:p>
        </w:tc>
        <w:tc>
          <w:tcPr>
            <w:tcW w:type="dxa" w:w="382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Cockpit and Quote Desk on the broker’s own sample data</w:t>
            </w:r>
          </w:p>
        </w:tc>
        <w:tc>
          <w:tcPr>
            <w:tcW w:type="dxa" w:w="200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Champion confirms value</w:t>
            </w:r>
          </w:p>
        </w:tc>
        <w:tc>
          <w:tcPr>
            <w:tcW w:type="dxa" w:w="162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</w:t>
            </w:r>
          </w:p>
        </w:tc>
      </w:tr>
      <w:tr>
        <w:trPr>
          <w:cantSplit w:val="true"/>
        </w:trPr>
        <w:tc>
          <w:tcPr>
            <w:tcW w:type="dxa" w:w="15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5. Pilot</w:t>
            </w:r>
          </w:p>
        </w:tc>
        <w:tc>
          <w:tcPr>
            <w:tcW w:type="dxa" w:w="382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90 days, 3 of the broker’s clients, agreed success metrics</w:t>
            </w:r>
          </w:p>
        </w:tc>
        <w:tc>
          <w:tcPr>
            <w:tcW w:type="dxa" w:w="200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Metrics met</w:t>
            </w:r>
          </w:p>
        </w:tc>
        <w:tc>
          <w:tcPr>
            <w:tcW w:type="dxa" w:w="162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Customer success</w:t>
            </w:r>
          </w:p>
        </w:tc>
      </w:tr>
      <w:tr>
        <w:trPr>
          <w:cantSplit w:val="true"/>
        </w:trPr>
        <w:tc>
          <w:tcPr>
            <w:tcW w:type="dxa" w:w="157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6. Paper process</w:t>
            </w:r>
          </w:p>
        </w:tc>
        <w:tc>
          <w:tcPr>
            <w:tcW w:type="dxa" w:w="382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Commercials, data-processing agreement, security review</w:t>
            </w:r>
          </w:p>
        </w:tc>
        <w:tc>
          <w:tcPr>
            <w:tcW w:type="dxa" w:w="200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Signed contract</w:t>
            </w:r>
          </w:p>
        </w:tc>
        <w:tc>
          <w:tcPr>
            <w:tcW w:type="dxa" w:w="162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</w:t>
            </w:r>
          </w:p>
        </w:tc>
      </w:tr>
      <w:tr>
        <w:trPr>
          <w:cantSplit w:val="true"/>
        </w:trPr>
        <w:tc>
          <w:tcPr>
            <w:tcW w:type="dxa" w:w="15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7. Expand</w:t>
            </w:r>
          </w:p>
        </w:tc>
        <w:tc>
          <w:tcPr>
            <w:tcW w:type="dxa" w:w="382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Roll out to all clients; referrals to other brokers</w:t>
            </w:r>
          </w:p>
        </w:tc>
        <w:tc>
          <w:tcPr>
            <w:tcW w:type="dxa" w:w="200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50%+ of clients live</w:t>
            </w:r>
          </w:p>
        </w:tc>
        <w:tc>
          <w:tcPr>
            <w:tcW w:type="dxa" w:w="162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Customer success</w:t>
            </w:r>
          </w:p>
        </w:tc>
      </w:tr>
    </w:tbl>
    <w:p>
      <w:pPr>
        <w:pStyle w:val="BodyText"/>
        <w:keepNext/>
        <w:spacing w:before="160"/>
      </w:pPr>
      <w:r>
        <w:rPr>
          <w:b/>
          <w:bCs/>
        </w:rPr>
        <w:t xml:space="preserve">Employer path (target cycle: 1–2 months)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273"/>
        <w:gridCol w:w="4033"/>
        <w:gridCol w:w="2722"/>
      </w:tblGrid>
      <w:tr>
        <w:trPr>
          <w:cantSplit w:val="true"/>
          <w:tblHeader w:val="true"/>
        </w:trPr>
        <w:tc>
          <w:tcPr>
            <w:tcW w:type="dxa" w:w="227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Stage</w:t>
            </w:r>
          </w:p>
        </w:tc>
        <w:tc>
          <w:tcPr>
            <w:tcW w:type="dxa" w:w="403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What happens</w:t>
            </w:r>
          </w:p>
        </w:tc>
        <w:tc>
          <w:tcPr>
            <w:tcW w:type="dxa" w:w="272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Exit criterion</w:t>
            </w:r>
          </w:p>
        </w:tc>
      </w:tr>
      <w:tr>
        <w:trPr>
          <w:cantSplit w:val="true"/>
        </w:trPr>
        <w:tc>
          <w:tcPr>
            <w:tcW w:type="dxa" w:w="22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1. Attract</w:t>
            </w:r>
          </w:p>
        </w:tc>
        <w:tc>
          <w:tcPr>
            <w:tcW w:type="dxa" w:w="403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Health-check offer, content, referral</w:t>
            </w:r>
          </w:p>
        </w:tc>
        <w:tc>
          <w:tcPr>
            <w:tcW w:type="dxa" w:w="272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Health check booked</w:t>
            </w:r>
          </w:p>
        </w:tc>
      </w:tr>
      <w:tr>
        <w:trPr>
          <w:cantSplit w:val="true"/>
        </w:trPr>
        <w:tc>
          <w:tcPr>
            <w:tcW w:type="dxa" w:w="227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2. Qualify (BANT)</w:t>
            </w:r>
          </w:p>
        </w:tc>
        <w:tc>
          <w:tcPr>
            <w:tcW w:type="dxa" w:w="403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Budget, authority, need, renewal timing</w:t>
            </w:r>
          </w:p>
        </w:tc>
        <w:tc>
          <w:tcPr>
            <w:tcW w:type="dxa" w:w="272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Renewal within 6 months</w:t>
            </w:r>
          </w:p>
        </w:tc>
      </w:tr>
      <w:tr>
        <w:trPr>
          <w:cantSplit w:val="true"/>
        </w:trPr>
        <w:tc>
          <w:tcPr>
            <w:tcW w:type="dxa" w:w="22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3. Health check</w:t>
            </w:r>
          </w:p>
        </w:tc>
        <w:tc>
          <w:tcPr>
            <w:tcW w:type="dxa" w:w="403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Benchmark snapshot on their own data</w:t>
            </w:r>
          </w:p>
        </w:tc>
        <w:tc>
          <w:tcPr>
            <w:tcW w:type="dxa" w:w="272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Gap agreed with HR/CFO</w:t>
            </w:r>
          </w:p>
        </w:tc>
      </w:tr>
      <w:tr>
        <w:trPr>
          <w:cantSplit w:val="true"/>
        </w:trPr>
        <w:tc>
          <w:tcPr>
            <w:tcW w:type="dxa" w:w="227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4. Proposal</w:t>
            </w:r>
          </w:p>
        </w:tc>
        <w:tc>
          <w:tcPr>
            <w:tcW w:type="dxa" w:w="403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Package and price</w:t>
            </w:r>
          </w:p>
        </w:tc>
        <w:tc>
          <w:tcPr>
            <w:tcW w:type="dxa" w:w="272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Offer accepted</w:t>
            </w:r>
          </w:p>
        </w:tc>
      </w:tr>
      <w:tr>
        <w:trPr>
          <w:cantSplit w:val="true"/>
        </w:trPr>
        <w:tc>
          <w:tcPr>
            <w:tcW w:type="dxa" w:w="22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5. Onboard</w:t>
            </w:r>
          </w:p>
        </w:tc>
        <w:tc>
          <w:tcPr>
            <w:tcW w:type="dxa" w:w="403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Data upload, employee launch</w:t>
            </w:r>
          </w:p>
        </w:tc>
        <w:tc>
          <w:tcPr>
            <w:tcW w:type="dxa" w:w="272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First value delivered</w:t>
            </w:r>
          </w:p>
        </w:tc>
      </w:tr>
    </w:tbl>
    <w:p>
      <w:pPr>
        <w:pStyle w:val="Heading2"/>
        <w:spacing w:before="160"/>
      </w:pPr>
      <w:r>
        <w:t xml:space="preserve">10.2 Qualification</w:t>
      </w:r>
    </w:p>
    <w:p>
      <w:pPr>
        <w:pStyle w:val="Compact"/>
        <w:numPr>
          <w:ilvl w:val="0"/>
          <w:numId w:val="1022"/>
        </w:numPr>
        <w:spacing w:after="60" w:line="324" w:lineRule="auto"/>
      </w:pPr>
      <w:r>
        <w:rPr>
          <w:b/>
          <w:bCs/>
        </w:rPr>
        <w:t xml:space="preserve">Broker path → MEDDIC</w:t>
      </w:r>
      <w:r>
        <w:t xml:space="preserve"> </w:t>
      </w:r>
      <w:r>
        <w:t xml:space="preserve">(Metrics, Economic buyer, Decision criteria, Decision process, Identify pain, Champion): several stakeholders, a formal security review and a longer cycle.</w:t>
      </w:r>
    </w:p>
    <w:p>
      <w:pPr>
        <w:pStyle w:val="Compact"/>
        <w:numPr>
          <w:ilvl w:val="0"/>
          <w:numId w:val="1022"/>
        </w:numPr>
        <w:spacing w:after="60" w:line="324" w:lineRule="auto"/>
      </w:pPr>
      <w:r>
        <w:rPr>
          <w:b/>
          <w:bCs/>
        </w:rPr>
        <w:t xml:space="preserve">Employer path → BANT</w:t>
      </w:r>
      <w:r>
        <w:t xml:space="preserve"> </w:t>
      </w:r>
      <w:r>
        <w:t xml:space="preserve">(Budget, Authority, Need, Timing): smaller, faster deals where renewal timing is the key filter.</w:t>
      </w:r>
    </w:p>
    <w:p>
      <w:pPr>
        <w:pStyle w:val="Heading2"/>
      </w:pPr>
      <w:r>
        <w:t xml:space="preserve">10.3 Objection handling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3591"/>
        <w:gridCol w:w="5437"/>
      </w:tblGrid>
      <w:tr>
        <w:trPr>
          <w:cantSplit w:val="true"/>
          <w:tblHeader w:val="true"/>
        </w:trPr>
        <w:tc>
          <w:tcPr>
            <w:tcW w:type="dxa" w:w="359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Objection</w:t>
            </w:r>
          </w:p>
        </w:tc>
        <w:tc>
          <w:tcPr>
            <w:tcW w:type="dxa" w:w="543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Response</w:t>
            </w:r>
          </w:p>
        </w:tc>
      </w:tr>
      <w:tr>
        <w:trPr>
          <w:cantSplit w:val="true"/>
        </w:trPr>
        <w:tc>
          <w:tcPr>
            <w:tcW w:type="dxa" w:w="359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We have never heard of NivoTime.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543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Start with a free health check on one client. Judge us on your own data.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</w:tr>
      <w:tr>
        <w:trPr>
          <w:cantSplit w:val="true"/>
        </w:trPr>
        <w:tc>
          <w:tcPr>
            <w:tcW w:type="dxa" w:w="359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We can do this in Excel.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543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You can, and it takes weeks per renewal. The pilot measures the hours saved.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</w:tr>
      <w:tr>
        <w:trPr>
          <w:cantSplit w:val="true"/>
        </w:trPr>
        <w:tc>
          <w:tcPr>
            <w:tcW w:type="dxa" w:w="359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Is our client data safe?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543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Show security controls, the DPDP-aligned data agreement and audit trail.</w:t>
            </w:r>
          </w:p>
        </w:tc>
      </w:tr>
      <w:tr>
        <w:trPr>
          <w:cantSplit w:val="true"/>
        </w:trPr>
        <w:tc>
          <w:tcPr>
            <w:tcW w:type="dxa" w:w="359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Will you go around us to our clients?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543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White-label by design; contractual non-solicit; NivoTime never holds an intermediary licence to sell insurance.</w:t>
            </w:r>
          </w:p>
        </w:tc>
      </w:tr>
      <w:tr>
        <w:trPr>
          <w:cantSplit w:val="true"/>
        </w:trPr>
        <w:tc>
          <w:tcPr>
            <w:tcW w:type="dxa" w:w="359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What if the AI gets it wrong?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</w:p>
        </w:tc>
        <w:tc>
          <w:tcPr>
            <w:tcW w:type="dxa" w:w="543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Every output carries a confidence score and is reviewed by the broker before it reaches a client.</w:t>
            </w:r>
          </w:p>
        </w:tc>
      </w:tr>
    </w:tbl>
    <w:p>
      <w:pPr>
        <w:pStyle w:val="Heading2"/>
        <w:spacing w:before="160"/>
      </w:pPr>
      <w:r>
        <w:t xml:space="preserve">10.4 Funnel and pipeline arithmetic</w:t>
      </w:r>
    </w:p>
    <w:p>
      <w:pPr>
        <w:pStyle w:val="CaptionedFigure"/>
      </w:pPr>
      <w:r>
        <w:drawing>
          <wp:inline>
            <wp:extent cx="5303520" cy="2196994"/>
            <wp:effectExtent b="0" l="0" r="0" t="0"/>
            <wp:docPr descr="Illustrative Year-1 broker funnel" title="" id="39" name="Picture"/>
            <a:graphic>
              <a:graphicData uri="http://schemas.openxmlformats.org/drawingml/2006/picture">
                <pic:pic>
                  <pic:nvPicPr>
                    <pic:cNvPr descr="fig/f11_funne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196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Illustrative Year-1 broker funnel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4418"/>
        <w:gridCol w:w="2109"/>
        <w:gridCol w:w="2500"/>
      </w:tblGrid>
      <w:tr>
        <w:trPr>
          <w:cantSplit w:val="true"/>
          <w:tblHeader w:val="true"/>
        </w:trPr>
        <w:tc>
          <w:tcPr>
            <w:tcW w:type="dxa" w:w="441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Funnel (Year 1, illustrative)</w:t>
            </w:r>
          </w:p>
        </w:tc>
        <w:tc>
          <w:tcPr>
            <w:tcW w:type="dxa" w:w="211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Broker path</w:t>
            </w:r>
          </w:p>
        </w:tc>
        <w:tc>
          <w:tcPr>
            <w:tcW w:type="dxa" w:w="250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Employer path</w:t>
            </w:r>
          </w:p>
        </w:tc>
      </w:tr>
      <w:tr>
        <w:trPr>
          <w:cantSplit w:val="true"/>
        </w:trPr>
        <w:tc>
          <w:tcPr>
            <w:tcW w:type="dxa" w:w="441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Named accounts targeted</w:t>
            </w:r>
          </w:p>
        </w:tc>
        <w:tc>
          <w:tcPr>
            <w:tcW w:type="dxa" w:w="211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100</w:t>
            </w:r>
          </w:p>
        </w:tc>
        <w:tc>
          <w:tcPr>
            <w:tcW w:type="dxa" w:w="250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150</w:t>
            </w:r>
          </w:p>
        </w:tc>
      </w:tr>
      <w:tr>
        <w:trPr>
          <w:cantSplit w:val="true"/>
        </w:trPr>
        <w:tc>
          <w:tcPr>
            <w:tcW w:type="dxa" w:w="441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First meeting (30% / 20%)</w:t>
            </w:r>
          </w:p>
        </w:tc>
        <w:tc>
          <w:tcPr>
            <w:tcW w:type="dxa" w:w="211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30</w:t>
            </w:r>
          </w:p>
        </w:tc>
        <w:tc>
          <w:tcPr>
            <w:tcW w:type="dxa" w:w="250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30</w:t>
            </w:r>
          </w:p>
        </w:tc>
      </w:tr>
      <w:tr>
        <w:trPr>
          <w:cantSplit w:val="true"/>
        </w:trPr>
        <w:tc>
          <w:tcPr>
            <w:tcW w:type="dxa" w:w="441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Demo or health check</w:t>
            </w:r>
          </w:p>
        </w:tc>
        <w:tc>
          <w:tcPr>
            <w:tcW w:type="dxa" w:w="211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18</w:t>
            </w:r>
          </w:p>
        </w:tc>
        <w:tc>
          <w:tcPr>
            <w:tcW w:type="dxa" w:w="250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15</w:t>
            </w:r>
          </w:p>
        </w:tc>
      </w:tr>
      <w:tr>
        <w:trPr>
          <w:cantSplit w:val="true"/>
        </w:trPr>
        <w:tc>
          <w:tcPr>
            <w:tcW w:type="dxa" w:w="441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Pilot</w:t>
            </w:r>
          </w:p>
        </w:tc>
        <w:tc>
          <w:tcPr>
            <w:tcW w:type="dxa" w:w="211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</w:t>
            </w:r>
          </w:p>
        </w:tc>
        <w:tc>
          <w:tcPr>
            <w:tcW w:type="dxa" w:w="250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</w:t>
            </w:r>
          </w:p>
        </w:tc>
      </w:tr>
      <w:tr>
        <w:trPr>
          <w:cantSplit w:val="true"/>
        </w:trPr>
        <w:tc>
          <w:tcPr>
            <w:tcW w:type="dxa" w:w="441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Won (50% / 67% of pilots)</w:t>
            </w:r>
          </w:p>
        </w:tc>
        <w:tc>
          <w:tcPr>
            <w:tcW w:type="dxa" w:w="211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250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</w:tr>
    </w:tbl>
    <w:p>
      <w:pPr>
        <w:pStyle w:val="BodyText"/>
        <w:spacing w:before="160"/>
      </w:pPr>
      <w:r>
        <w:rPr>
          <w:i/>
          <w:iCs/>
        </w:rPr>
        <w:t xml:space="preserve">Conversion rates are assumptions for planning (A14). Cold outreach reply rates in B2B are often in the low single digits, so warm founder introductions matter.</w:t>
      </w:r>
    </w:p>
    <w:p>
      <w:pPr>
        <w:pStyle w:val="BodyText"/>
      </w:pPr>
      <w:r>
        <w:rPr>
          <w:b/>
          <w:bCs/>
        </w:rPr>
        <w:t xml:space="preserve">Pipeline formula:</w:t>
      </w:r>
      <w:r>
        <w:t xml:space="preserve"> </w:t>
      </w:r>
      <w:r>
        <w:t xml:space="preserve">Revenue = accounts targeted × meeting rate × pilot rate × win rate × average contract value. Every term becomes a tracked CRM field from month 1.</w:t>
      </w:r>
    </w:p>
    <w:p>
      <w:r>
        <w:br w:type="page"/>
      </w:r>
    </w:p>
    <w:p>
      <w:pPr>
        <w:pStyle w:val="Heading1"/>
        <w:shd w:val="clear" w:color="auto" w:fill="3B3A73"/>
        <w:jc w:val="left"/>
      </w:pPr>
      <w:r>
        <w:rPr>
          <w:color w:val="FFFFFF"/>
          <w:sz w:val="28"/>
        </w:rPr>
        <w:t xml:space="preserve">SECTION F — ONBOARDING AND CUSTOMER EXPERIENCE</w:t>
      </w:r>
    </w:p>
    <w:p>
      <w:pPr>
        <w:pStyle w:val="Heading1"/>
      </w:pPr>
      <w:r>
        <w:t xml:space="preserve">11. Onboarding, Engagement and Experience</w:t>
      </w:r>
    </w:p>
    <w:p>
      <w:pPr>
        <w:pStyle w:val="Heading2"/>
      </w:pPr>
      <w:r>
        <w:t xml:space="preserve">11.1 Broker onboarding journey</w:t>
      </w:r>
    </w:p>
    <w:p>
      <w:pPr>
        <w:pStyle w:val="CaptionedFigure"/>
      </w:pPr>
      <w:r>
        <w:drawing>
          <wp:inline>
            <wp:extent cx="5334000" cy="1423045"/>
            <wp:effectExtent b="0" l="0" r="0" t="0"/>
            <wp:docPr descr="Broker onboarding journey" title="" id="42" name="Picture"/>
            <a:graphic>
              <a:graphicData uri="http://schemas.openxmlformats.org/drawingml/2006/picture">
                <pic:pic>
                  <pic:nvPicPr>
                    <pic:cNvPr descr="fig/f12_onboardin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3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Broker onboarding journey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4893"/>
        <w:gridCol w:w="4135"/>
      </w:tblGrid>
      <w:tr>
        <w:trPr>
          <w:cantSplit w:val="true"/>
          <w:tblHeader w:val="true"/>
        </w:trPr>
        <w:tc>
          <w:tcPr>
            <w:tcW w:type="dxa" w:w="489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Metric</w:t>
            </w:r>
          </w:p>
        </w:tc>
        <w:tc>
          <w:tcPr>
            <w:tcW w:type="dxa" w:w="413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Target</w:t>
            </w:r>
          </w:p>
        </w:tc>
      </w:tr>
      <w:tr>
        <w:trPr>
          <w:cantSplit w:val="true"/>
        </w:trPr>
        <w:tc>
          <w:tcPr>
            <w:tcW w:type="dxa" w:w="48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Time to first value (first client live)</w:t>
            </w:r>
          </w:p>
        </w:tc>
        <w:tc>
          <w:tcPr>
            <w:tcW w:type="dxa" w:w="413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≤30 days</w:t>
            </w:r>
          </w:p>
        </w:tc>
      </w:tr>
      <w:tr>
        <w:trPr>
          <w:cantSplit w:val="true"/>
        </w:trPr>
        <w:tc>
          <w:tcPr>
            <w:tcW w:type="dxa" w:w="489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Onboarding completion</w:t>
            </w:r>
          </w:p>
        </w:tc>
        <w:tc>
          <w:tcPr>
            <w:tcW w:type="dxa" w:w="413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100% of pilot clients within 45 days</w:t>
            </w:r>
          </w:p>
        </w:tc>
      </w:tr>
      <w:tr>
        <w:trPr>
          <w:cantSplit w:val="true"/>
        </w:trPr>
        <w:tc>
          <w:tcPr>
            <w:tcW w:type="dxa" w:w="48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Activation (broker users logging in weekly)</w:t>
            </w:r>
          </w:p>
        </w:tc>
        <w:tc>
          <w:tcPr>
            <w:tcW w:type="dxa" w:w="413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≥70% by day 60</w:t>
            </w:r>
          </w:p>
        </w:tc>
      </w:tr>
      <w:tr>
        <w:trPr>
          <w:cantSplit w:val="true"/>
        </w:trPr>
        <w:tc>
          <w:tcPr>
            <w:tcW w:type="dxa" w:w="489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First renewal run on the platform</w:t>
            </w:r>
          </w:p>
        </w:tc>
        <w:tc>
          <w:tcPr>
            <w:tcW w:type="dxa" w:w="413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Within 90 days</w:t>
            </w:r>
          </w:p>
        </w:tc>
      </w:tr>
    </w:tbl>
    <w:p>
      <w:pPr>
        <w:pStyle w:val="Heading2"/>
        <w:spacing w:before="160"/>
      </w:pPr>
      <w:r>
        <w:t xml:space="preserve">11.2 Zero-login employee engagement</w:t>
      </w:r>
    </w:p>
    <w:p>
      <w:pPr>
        <w:pStyle w:val="FirstParagraph"/>
      </w:pPr>
      <w:r>
        <w:t xml:space="preserve">Employees rarely log in to benefits portals. If they do not engage, the employer sees little value and the platform is at risk at renewal. The fix is to</w:t>
      </w:r>
      <w:r>
        <w:t xml:space="preserve"> </w:t>
      </w:r>
      <w:r>
        <w:rPr>
          <w:b/>
          <w:bCs/>
        </w:rPr>
        <w:t xml:space="preserve">bring benefits to the employee</w:t>
      </w:r>
      <w:r>
        <w:t xml:space="preserve">, not the other way round.</w:t>
      </w:r>
    </w:p>
    <w:p>
      <w:pPr>
        <w:pStyle w:val="Compact"/>
        <w:numPr>
          <w:ilvl w:val="0"/>
          <w:numId w:val="1023"/>
        </w:numPr>
        <w:spacing w:after="60" w:line="324" w:lineRule="auto"/>
      </w:pPr>
      <w:r>
        <w:rPr>
          <w:b/>
          <w:bCs/>
        </w:rPr>
        <w:t xml:space="preserve">Event-driven nudges:</w:t>
      </w:r>
      <w:r>
        <w:t xml:space="preserve"> </w:t>
      </w:r>
      <w:r>
        <w:t xml:space="preserve">welcome, dependant addition, policy card ready, renewal window, unused wellness benefits, claim status.</w:t>
      </w:r>
    </w:p>
    <w:p>
      <w:pPr>
        <w:pStyle w:val="Compact"/>
        <w:numPr>
          <w:ilvl w:val="0"/>
          <w:numId w:val="1023"/>
        </w:numPr>
        <w:spacing w:after="60" w:line="324" w:lineRule="auto"/>
      </w:pPr>
      <w:r>
        <w:rPr>
          <w:b/>
          <w:bCs/>
        </w:rPr>
        <w:t xml:space="preserve">Channels:</w:t>
      </w:r>
      <w:r>
        <w:t xml:space="preserve"> </w:t>
      </w:r>
      <w:r>
        <w:t xml:space="preserve">email, WhatsApp or app push, through employer-approved channels.</w:t>
      </w:r>
    </w:p>
    <w:p>
      <w:pPr>
        <w:pStyle w:val="Compact"/>
        <w:numPr>
          <w:ilvl w:val="0"/>
          <w:numId w:val="1023"/>
        </w:numPr>
        <w:spacing w:after="60" w:line="324" w:lineRule="auto"/>
      </w:pPr>
      <w:r>
        <w:rPr>
          <w:b/>
          <w:bCs/>
        </w:rPr>
        <w:t xml:space="preserve">Secure deep links:</w:t>
      </w:r>
      <w:r>
        <w:t xml:space="preserve"> </w:t>
      </w:r>
      <w:r>
        <w:t xml:space="preserve">one tap to the exact action; login only for sensitive or transactional steps.</w:t>
      </w:r>
      <w:r>
        <w:t xml:space="preserve"> </w:t>
      </w:r>
      <w:r>
        <w:t xml:space="preserve">“</w:t>
      </w:r>
      <w:r>
        <w:t xml:space="preserve">Zero-login</w:t>
      </w:r>
      <w:r>
        <w:t xml:space="preserve">”</w:t>
      </w:r>
      <w:r>
        <w:t xml:space="preserve"> </w:t>
      </w:r>
      <w:r>
        <w:t xml:space="preserve">means zero routine navigation, not zero security.</w:t>
      </w:r>
    </w:p>
    <w:p>
      <w:pPr>
        <w:pStyle w:val="Compact"/>
        <w:numPr>
          <w:ilvl w:val="0"/>
          <w:numId w:val="1023"/>
        </w:numPr>
        <w:spacing w:after="60" w:line="324" w:lineRule="auto"/>
      </w:pPr>
      <w:r>
        <w:rPr>
          <w:b/>
          <w:bCs/>
        </w:rPr>
        <w:t xml:space="preserve">Measure:</w:t>
      </w:r>
      <w:r>
        <w:t xml:space="preserve"> </w:t>
      </w:r>
      <w:r>
        <w:t xml:space="preserve">activation rate, notification action rate, benefit discovery, completion of enrolment tasks, and HR queries per 100 employees.</w:t>
      </w:r>
    </w:p>
    <w:p>
      <w:pPr>
        <w:pStyle w:val="Heading2"/>
      </w:pPr>
      <w:r>
        <w:t xml:space="preserve">11.3 Customer journey pain points (employer via broker)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096"/>
        <w:gridCol w:w="3739"/>
        <w:gridCol w:w="3193"/>
      </w:tblGrid>
      <w:tr>
        <w:trPr>
          <w:cantSplit w:val="true"/>
          <w:tblHeader w:val="true"/>
        </w:trPr>
        <w:tc>
          <w:tcPr>
            <w:tcW w:type="dxa" w:w="209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Stage</w:t>
            </w:r>
          </w:p>
        </w:tc>
        <w:tc>
          <w:tcPr>
            <w:tcW w:type="dxa" w:w="373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Pain point today</w:t>
            </w:r>
          </w:p>
        </w:tc>
        <w:tc>
          <w:tcPr>
            <w:tcW w:type="dxa" w:w="319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Suite response</w:t>
            </w:r>
          </w:p>
        </w:tc>
      </w:tr>
      <w:tr>
        <w:trPr>
          <w:cantSplit w:val="true"/>
        </w:trPr>
        <w:tc>
          <w:tcPr>
            <w:tcW w:type="dxa" w:w="209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Awareness</w:t>
            </w:r>
          </w:p>
        </w:tc>
        <w:tc>
          <w:tcPr>
            <w:tcW w:type="dxa" w:w="373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Benefits seen as a cost, not a lever</w:t>
            </w:r>
          </w:p>
        </w:tc>
        <w:tc>
          <w:tcPr>
            <w:tcW w:type="dxa" w:w="31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Benchmark snapshot shows the gap</w:t>
            </w:r>
          </w:p>
        </w:tc>
      </w:tr>
      <w:tr>
        <w:trPr>
          <w:cantSplit w:val="true"/>
        </w:trPr>
        <w:tc>
          <w:tcPr>
            <w:tcW w:type="dxa" w:w="209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Consideration</w:t>
            </w:r>
          </w:p>
        </w:tc>
        <w:tc>
          <w:tcPr>
            <w:tcW w:type="dxa" w:w="373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 neutral data to compare plans</w:t>
            </w:r>
          </w:p>
        </w:tc>
        <w:tc>
          <w:tcPr>
            <w:tcW w:type="dxa" w:w="319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Peer benchmarks and plan simulator</w:t>
            </w:r>
          </w:p>
        </w:tc>
      </w:tr>
      <w:tr>
        <w:trPr>
          <w:cantSplit w:val="true"/>
        </w:trPr>
        <w:tc>
          <w:tcPr>
            <w:tcW w:type="dxa" w:w="209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Purchase / renewal</w:t>
            </w:r>
          </w:p>
        </w:tc>
        <w:tc>
          <w:tcPr>
            <w:tcW w:type="dxa" w:w="373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Quotes in different formats; slow comparison</w:t>
            </w:r>
          </w:p>
        </w:tc>
        <w:tc>
          <w:tcPr>
            <w:tcW w:type="dxa" w:w="31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Quote &amp; Renewal Desk</w:t>
            </w:r>
          </w:p>
        </w:tc>
      </w:tr>
      <w:tr>
        <w:trPr>
          <w:cantSplit w:val="true"/>
        </w:trPr>
        <w:tc>
          <w:tcPr>
            <w:tcW w:type="dxa" w:w="209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Onboarding</w:t>
            </w:r>
          </w:p>
        </w:tc>
        <w:tc>
          <w:tcPr>
            <w:tcW w:type="dxa" w:w="373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Census errors, missing dependants</w:t>
            </w:r>
          </w:p>
        </w:tc>
        <w:tc>
          <w:tcPr>
            <w:tcW w:type="dxa" w:w="319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Data validation and nudges</w:t>
            </w:r>
          </w:p>
        </w:tc>
      </w:tr>
      <w:tr>
        <w:trPr>
          <w:cantSplit w:val="true"/>
        </w:trPr>
        <w:tc>
          <w:tcPr>
            <w:tcW w:type="dxa" w:w="209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Support</w:t>
            </w:r>
          </w:p>
        </w:tc>
        <w:tc>
          <w:tcPr>
            <w:tcW w:type="dxa" w:w="373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Claims delays, unclear status</w:t>
            </w:r>
          </w:p>
        </w:tc>
        <w:tc>
          <w:tcPr>
            <w:tcW w:type="dxa" w:w="319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Vendor/TPA SLA tracking</w:t>
            </w:r>
          </w:p>
        </w:tc>
      </w:tr>
      <w:tr>
        <w:trPr>
          <w:cantSplit w:val="true"/>
        </w:trPr>
        <w:tc>
          <w:tcPr>
            <w:tcW w:type="dxa" w:w="209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Renewal</w:t>
            </w:r>
          </w:p>
        </w:tc>
        <w:tc>
          <w:tcPr>
            <w:tcW w:type="dxa" w:w="373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Surprise premium increases</w:t>
            </w:r>
          </w:p>
        </w:tc>
        <w:tc>
          <w:tcPr>
            <w:tcW w:type="dxa" w:w="319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Renewal forecast 90 days ahead</w:t>
            </w:r>
          </w:p>
        </w:tc>
      </w:tr>
    </w:tbl>
    <w:p>
      <w:pPr>
        <w:spacing w:before="160"/>
      </w:pPr>
      <w:r>
        <w:br w:type="page"/>
      </w:r>
    </w:p>
    <w:p>
      <w:pPr>
        <w:pStyle w:val="Heading1"/>
        <w:shd w:val="clear" w:color="auto" w:fill="3B3A73"/>
        <w:jc w:val="left"/>
      </w:pPr>
      <w:r>
        <w:rPr>
          <w:color w:val="FFFFFF"/>
          <w:sz w:val="28"/>
        </w:rPr>
        <w:t xml:space="preserve">SECTION G — DATA, TECHNOLOGY AND AI</w:t>
      </w:r>
    </w:p>
    <w:p>
      <w:pPr>
        <w:pStyle w:val="Heading1"/>
      </w:pPr>
      <w:r>
        <w:t xml:space="preserve">12. Data, Technology and AI Architecture</w:t>
      </w:r>
    </w:p>
    <w:p>
      <w:pPr>
        <w:pStyle w:val="Heading2"/>
      </w:pPr>
      <w:r>
        <w:t xml:space="preserve">12.1 Go-to-market data flow</w:t>
      </w:r>
    </w:p>
    <w:p>
      <w:pPr>
        <w:pStyle w:val="CaptionedFigure"/>
      </w:pPr>
      <w:r>
        <w:drawing>
          <wp:inline>
            <wp:extent cx="5334000" cy="1868352"/>
            <wp:effectExtent b="0" l="0" r="0" t="0"/>
            <wp:docPr descr="Recommended go-to-market data flow" title="" id="45" name="Picture"/>
            <a:graphic>
              <a:graphicData uri="http://schemas.openxmlformats.org/drawingml/2006/picture">
                <pic:pic>
                  <pic:nvPicPr>
                    <pic:cNvPr descr="fig/f6_dataflow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8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Recommended go-to-market data flow</w:t>
      </w:r>
    </w:p>
    <w:p>
      <w:pPr>
        <w:pStyle w:val="BodyText"/>
      </w:pPr>
      <w:r>
        <w:rPr>
          <w:b/>
          <w:bCs/>
        </w:rPr>
        <w:t xml:space="preserve">Recommended stack</w:t>
      </w:r>
      <w:r>
        <w:t xml:space="preserve"> </w:t>
      </w:r>
      <w:r>
        <w:t xml:space="preserve">(NivoTime’s current tools were not disclosed, so this is a proposal, not an audit)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265"/>
        <w:gridCol w:w="3318"/>
        <w:gridCol w:w="3444"/>
      </w:tblGrid>
      <w:tr>
        <w:trPr>
          <w:cantSplit w:val="true"/>
          <w:tblHeader w:val="true"/>
        </w:trPr>
        <w:tc>
          <w:tcPr>
            <w:tcW w:type="dxa" w:w="226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Layer</w:t>
            </w:r>
          </w:p>
        </w:tc>
        <w:tc>
          <w:tcPr>
            <w:tcW w:type="dxa" w:w="331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Recommended tool</w:t>
            </w:r>
          </w:p>
        </w:tc>
        <w:tc>
          <w:tcPr>
            <w:tcW w:type="dxa" w:w="344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Why</w:t>
            </w:r>
          </w:p>
        </w:tc>
      </w:tr>
      <w:tr>
        <w:trPr>
          <w:cantSplit w:val="true"/>
        </w:trPr>
        <w:tc>
          <w:tcPr>
            <w:tcW w:type="dxa" w:w="226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CRM</w:t>
            </w:r>
          </w:p>
        </w:tc>
        <w:tc>
          <w:tcPr>
            <w:tcW w:type="dxa" w:w="331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HubSpot (free/starter) or Zoho CRM</w:t>
            </w:r>
          </w:p>
        </w:tc>
        <w:tc>
          <w:tcPr>
            <w:tcW w:type="dxa" w:w="344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Low cost, fast to set up, good for a small team</w:t>
            </w:r>
          </w:p>
        </w:tc>
      </w:tr>
      <w:tr>
        <w:trPr>
          <w:cantSplit w:val="true"/>
        </w:trPr>
        <w:tc>
          <w:tcPr>
            <w:tcW w:type="dxa" w:w="226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Marketing automation</w:t>
            </w:r>
          </w:p>
        </w:tc>
        <w:tc>
          <w:tcPr>
            <w:tcW w:type="dxa" w:w="331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HubSpot sequences / Zoho Campaigns</w:t>
            </w:r>
          </w:p>
        </w:tc>
        <w:tc>
          <w:tcPr>
            <w:tcW w:type="dxa" w:w="344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Same record as the CRM</w:t>
            </w:r>
          </w:p>
        </w:tc>
      </w:tr>
      <w:tr>
        <w:trPr>
          <w:cantSplit w:val="true"/>
        </w:trPr>
        <w:tc>
          <w:tcPr>
            <w:tcW w:type="dxa" w:w="226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 analytics</w:t>
            </w:r>
          </w:p>
        </w:tc>
        <w:tc>
          <w:tcPr>
            <w:tcW w:type="dxa" w:w="331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Mixpanel or open-source PostHog</w:t>
            </w:r>
          </w:p>
        </w:tc>
        <w:tc>
          <w:tcPr>
            <w:tcW w:type="dxa" w:w="344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Track activation and feature use</w:t>
            </w:r>
          </w:p>
        </w:tc>
      </w:tr>
      <w:tr>
        <w:trPr>
          <w:cantSplit w:val="true"/>
        </w:trPr>
        <w:tc>
          <w:tcPr>
            <w:tcW w:type="dxa" w:w="226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BI and reporting</w:t>
            </w:r>
          </w:p>
        </w:tc>
        <w:tc>
          <w:tcPr>
            <w:tcW w:type="dxa" w:w="331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Power BI or Looker Studio</w:t>
            </w:r>
          </w:p>
        </w:tc>
        <w:tc>
          <w:tcPr>
            <w:tcW w:type="dxa" w:w="344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Pipeline, CAC, retention dashboards</w:t>
            </w:r>
          </w:p>
        </w:tc>
      </w:tr>
      <w:tr>
        <w:trPr>
          <w:cantSplit w:val="true"/>
        </w:trPr>
        <w:tc>
          <w:tcPr>
            <w:tcW w:type="dxa" w:w="226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Workflow automation</w:t>
            </w:r>
          </w:p>
        </w:tc>
        <w:tc>
          <w:tcPr>
            <w:tcW w:type="dxa" w:w="331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Zapier or Make</w:t>
            </w:r>
          </w:p>
        </w:tc>
        <w:tc>
          <w:tcPr>
            <w:tcW w:type="dxa" w:w="344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Connect forms, CRM and email without code</w:t>
            </w:r>
          </w:p>
        </w:tc>
      </w:tr>
      <w:tr>
        <w:trPr>
          <w:cantSplit w:val="true"/>
        </w:trPr>
        <w:tc>
          <w:tcPr>
            <w:tcW w:type="dxa" w:w="226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AI services</w:t>
            </w:r>
          </w:p>
        </w:tc>
        <w:tc>
          <w:tcPr>
            <w:tcW w:type="dxa" w:w="331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Cloud OCR + large language model APIs</w:t>
            </w:r>
          </w:p>
        </w:tc>
        <w:tc>
          <w:tcPr>
            <w:tcW w:type="dxa" w:w="344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Pay per use; no model training up front</w:t>
            </w:r>
          </w:p>
        </w:tc>
      </w:tr>
    </w:tbl>
    <w:p>
      <w:pPr>
        <w:pStyle w:val="Heading2"/>
        <w:spacing w:before="160"/>
      </w:pPr>
      <w:r>
        <w:t xml:space="preserve">12.2 Management dashboards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317"/>
        <w:gridCol w:w="6711"/>
      </w:tblGrid>
      <w:tr>
        <w:trPr>
          <w:cantSplit w:val="true"/>
          <w:tblHeader w:val="true"/>
        </w:trPr>
        <w:tc>
          <w:tcPr>
            <w:tcW w:type="dxa" w:w="231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Dashboard</w:t>
            </w:r>
          </w:p>
        </w:tc>
        <w:tc>
          <w:tcPr>
            <w:tcW w:type="dxa" w:w="671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Key measures</w:t>
            </w:r>
          </w:p>
        </w:tc>
      </w:tr>
      <w:tr>
        <w:trPr>
          <w:cantSplit w:val="true"/>
        </w:trPr>
        <w:tc>
          <w:tcPr>
            <w:tcW w:type="dxa" w:w="23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Sales</w:t>
            </w:r>
          </w:p>
        </w:tc>
        <w:tc>
          <w:tcPr>
            <w:tcW w:type="dxa" w:w="671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Pipeline by stage and path, win rate, sales cycle, average contract value, lost reasons</w:t>
            </w:r>
          </w:p>
        </w:tc>
      </w:tr>
      <w:tr>
        <w:trPr>
          <w:cantSplit w:val="true"/>
        </w:trPr>
        <w:tc>
          <w:tcPr>
            <w:tcW w:type="dxa" w:w="23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Marketing</w:t>
            </w:r>
          </w:p>
        </w:tc>
        <w:tc>
          <w:tcPr>
            <w:tcW w:type="dxa" w:w="671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Leads by source, cost per lead, CAC, content downloads, health checks booked</w:t>
            </w:r>
          </w:p>
        </w:tc>
      </w:tr>
      <w:tr>
        <w:trPr>
          <w:cantSplit w:val="true"/>
        </w:trPr>
        <w:tc>
          <w:tcPr>
            <w:tcW w:type="dxa" w:w="23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Customer</w:t>
            </w:r>
          </w:p>
        </w:tc>
        <w:tc>
          <w:tcPr>
            <w:tcW w:type="dxa" w:w="671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Activation, engagement, NPS/CSAT, renewal rate, net revenue retention</w:t>
            </w:r>
          </w:p>
        </w:tc>
      </w:tr>
      <w:tr>
        <w:trPr>
          <w:cantSplit w:val="true"/>
        </w:trPr>
        <w:tc>
          <w:tcPr>
            <w:tcW w:type="dxa" w:w="23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 and AI</w:t>
            </w:r>
          </w:p>
        </w:tc>
        <w:tc>
          <w:tcPr>
            <w:tcW w:type="dxa" w:w="671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Extraction accuracy, forecast error, time saved per renewal, model review overrides</w:t>
            </w:r>
          </w:p>
        </w:tc>
      </w:tr>
      <w:tr>
        <w:trPr>
          <w:cantSplit w:val="true"/>
        </w:trPr>
        <w:tc>
          <w:tcPr>
            <w:tcW w:type="dxa" w:w="23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Strategy</w:t>
            </w:r>
          </w:p>
        </w:tc>
        <w:tc>
          <w:tcPr>
            <w:tcW w:type="dxa" w:w="671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% revenue from the suite vs. services; % engineering time on reusable product</w:t>
            </w:r>
          </w:p>
        </w:tc>
      </w:tr>
    </w:tbl>
    <w:p>
      <w:pPr>
        <w:pStyle w:val="Heading2"/>
        <w:spacing w:before="160"/>
      </w:pPr>
      <w:r>
        <w:t xml:space="preserve">12.3 AI opportunity matrix for NivoTime’s own growth engine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418"/>
        <w:gridCol w:w="1792"/>
        <w:gridCol w:w="3465"/>
        <w:gridCol w:w="2352"/>
      </w:tblGrid>
      <w:tr>
        <w:trPr>
          <w:cantSplit w:val="true"/>
          <w:tblHeader w:val="true"/>
        </w:trPr>
        <w:tc>
          <w:tcPr>
            <w:tcW w:type="dxa" w:w="141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Area</w:t>
            </w:r>
          </w:p>
        </w:tc>
        <w:tc>
          <w:tcPr>
            <w:tcW w:type="dxa" w:w="179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AI use case</w:t>
            </w:r>
          </w:p>
        </w:tc>
        <w:tc>
          <w:tcPr>
            <w:tcW w:type="dxa" w:w="346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How it works</w:t>
            </w:r>
          </w:p>
        </w:tc>
        <w:tc>
          <w:tcPr>
            <w:tcW w:type="dxa" w:w="235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Estimated benefit (illustrative)</w:t>
            </w:r>
          </w:p>
        </w:tc>
      </w:tr>
      <w:tr>
        <w:trPr>
          <w:cantSplit w:val="true"/>
        </w:trPr>
        <w:tc>
          <w:tcPr>
            <w:tcW w:type="dxa" w:w="14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Marketing</w:t>
            </w:r>
          </w:p>
        </w:tc>
        <w:tc>
          <w:tcPr>
            <w:tcW w:type="dxa" w:w="179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Benchmark insight content</w:t>
            </w:r>
          </w:p>
        </w:tc>
        <w:tc>
          <w:tcPr>
            <w:tcW w:type="dxa" w:w="346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Model drafts the quarterly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“</w:t>
            </w:r>
            <w:r>
              <w:rPr>
                <w:rFonts w:ascii="Times New Roman" w:hAnsi="Times New Roman"/>
                <w:sz w:val="19"/>
              </w:rPr>
              <w:t xml:space="preserve">Benefits Pulse</w:t>
            </w:r>
            <w:r>
              <w:rPr>
                <w:rFonts w:ascii="Times New Roman" w:hAnsi="Times New Roman"/>
                <w:sz w:val="19"/>
              </w:rPr>
              <w:t xml:space="preserve">”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from anonymised data; human edits</w:t>
            </w:r>
          </w:p>
        </w:tc>
        <w:tc>
          <w:tcPr>
            <w:tcW w:type="dxa" w:w="235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~50% less writing time</w:t>
            </w:r>
          </w:p>
        </w:tc>
      </w:tr>
      <w:tr>
        <w:trPr>
          <w:cantSplit w:val="true"/>
        </w:trPr>
        <w:tc>
          <w:tcPr>
            <w:tcW w:type="dxa" w:w="14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Marketing</w:t>
            </w:r>
          </w:p>
        </w:tc>
        <w:tc>
          <w:tcPr>
            <w:tcW w:type="dxa" w:w="179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ABM account research</w:t>
            </w:r>
          </w:p>
        </w:tc>
        <w:tc>
          <w:tcPr>
            <w:tcW w:type="dxa" w:w="346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AI summarises each target broker’s website, news and LinkedIn before outreach</w:t>
            </w:r>
          </w:p>
        </w:tc>
        <w:tc>
          <w:tcPr>
            <w:tcW w:type="dxa" w:w="235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20–30 minutes saved per account</w:t>
            </w:r>
          </w:p>
        </w:tc>
      </w:tr>
      <w:tr>
        <w:trPr>
          <w:cantSplit w:val="true"/>
        </w:trPr>
        <w:tc>
          <w:tcPr>
            <w:tcW w:type="dxa" w:w="14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Sales</w:t>
            </w:r>
          </w:p>
        </w:tc>
        <w:tc>
          <w:tcPr>
            <w:tcW w:type="dxa" w:w="179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Account fit scoring</w:t>
            </w:r>
          </w:p>
        </w:tc>
        <w:tc>
          <w:tcPr>
            <w:tcW w:type="dxa" w:w="346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Scores accounts on ICP fit and trigger events</w:t>
            </w:r>
          </w:p>
        </w:tc>
        <w:tc>
          <w:tcPr>
            <w:tcW w:type="dxa" w:w="235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Better focus of founder time</w:t>
            </w:r>
          </w:p>
        </w:tc>
      </w:tr>
      <w:tr>
        <w:trPr>
          <w:cantSplit w:val="true"/>
        </w:trPr>
        <w:tc>
          <w:tcPr>
            <w:tcW w:type="dxa" w:w="14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Sales</w:t>
            </w:r>
          </w:p>
        </w:tc>
        <w:tc>
          <w:tcPr>
            <w:tcW w:type="dxa" w:w="179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Call notes to CRM</w:t>
            </w:r>
          </w:p>
        </w:tc>
        <w:tc>
          <w:tcPr>
            <w:tcW w:type="dxa" w:w="346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Automatic call summary and next steps</w:t>
            </w:r>
          </w:p>
        </w:tc>
        <w:tc>
          <w:tcPr>
            <w:tcW w:type="dxa" w:w="235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~1 hour saved per rep per day</w:t>
            </w:r>
          </w:p>
        </w:tc>
      </w:tr>
      <w:tr>
        <w:trPr>
          <w:cantSplit w:val="true"/>
        </w:trPr>
        <w:tc>
          <w:tcPr>
            <w:tcW w:type="dxa" w:w="14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Customer success</w:t>
            </w:r>
          </w:p>
        </w:tc>
        <w:tc>
          <w:tcPr>
            <w:tcW w:type="dxa" w:w="179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Census mapping assistant</w:t>
            </w:r>
          </w:p>
        </w:tc>
        <w:tc>
          <w:tcPr>
            <w:tcW w:type="dxa" w:w="346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Maps messy employer files to the standard template</w:t>
            </w:r>
          </w:p>
        </w:tc>
        <w:tc>
          <w:tcPr>
            <w:tcW w:type="dxa" w:w="235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Onboarding time cut from days to hours</w:t>
            </w:r>
          </w:p>
        </w:tc>
      </w:tr>
      <w:tr>
        <w:trPr>
          <w:cantSplit w:val="true"/>
        </w:trPr>
        <w:tc>
          <w:tcPr>
            <w:tcW w:type="dxa" w:w="14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Customer success</w:t>
            </w:r>
          </w:p>
        </w:tc>
        <w:tc>
          <w:tcPr>
            <w:tcW w:type="dxa" w:w="179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Renewal risk score</w:t>
            </w:r>
          </w:p>
        </w:tc>
        <w:tc>
          <w:tcPr>
            <w:tcW w:type="dxa" w:w="346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Flags low-engagement clients 90 days before renewal</w:t>
            </w:r>
          </w:p>
        </w:tc>
        <w:tc>
          <w:tcPr>
            <w:tcW w:type="dxa" w:w="235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Earlier save actions, lower churn</w:t>
            </w:r>
          </w:p>
        </w:tc>
      </w:tr>
    </w:tbl>
    <w:p>
      <w:pPr>
        <w:pStyle w:val="Heading2"/>
        <w:spacing w:before="160"/>
      </w:pPr>
      <w:r>
        <w:t xml:space="preserve">12.4 Security, privacy and governance</w:t>
      </w:r>
    </w:p>
    <w:p>
      <w:pPr>
        <w:pStyle w:val="Compact"/>
        <w:numPr>
          <w:ilvl w:val="0"/>
          <w:numId w:val="1024"/>
        </w:numPr>
        <w:spacing w:after="60" w:line="324" w:lineRule="auto"/>
      </w:pPr>
      <w:r>
        <w:t xml:space="preserve">Move all portals to a branded domain over HTTPS immediately (quick win).</w:t>
      </w:r>
    </w:p>
    <w:p>
      <w:pPr>
        <w:pStyle w:val="Compact"/>
        <w:numPr>
          <w:ilvl w:val="0"/>
          <w:numId w:val="1024"/>
        </w:numPr>
        <w:spacing w:after="60" w:line="324" w:lineRule="auto"/>
      </w:pPr>
      <w:r>
        <w:t xml:space="preserve">Role-based access, encryption at rest and in transit, full audit trail.</w:t>
      </w:r>
    </w:p>
    <w:p>
      <w:pPr>
        <w:pStyle w:val="Compact"/>
        <w:numPr>
          <w:ilvl w:val="0"/>
          <w:numId w:val="1024"/>
        </w:numPr>
        <w:spacing w:after="60" w:line="324" w:lineRule="auto"/>
      </w:pPr>
      <w:r>
        <w:t xml:space="preserve">DPDP readiness before May 2027: consent records, data-processing agreements with brokers, breach response plan, retention rules [31][32].</w:t>
      </w:r>
    </w:p>
    <w:p>
      <w:pPr>
        <w:pStyle w:val="Compact"/>
        <w:numPr>
          <w:ilvl w:val="0"/>
          <w:numId w:val="1024"/>
        </w:numPr>
        <w:spacing w:after="60" w:line="324" w:lineRule="auto"/>
      </w:pPr>
      <w:r>
        <w:t xml:space="preserve">CERT-In incident reporting within 6 hours; logs retained for 180 days [36].</w:t>
      </w:r>
    </w:p>
    <w:p>
      <w:pPr>
        <w:pStyle w:val="Compact"/>
        <w:numPr>
          <w:ilvl w:val="0"/>
          <w:numId w:val="1024"/>
        </w:numPr>
        <w:spacing w:after="60" w:line="324" w:lineRule="auto"/>
      </w:pPr>
      <w:r>
        <w:t xml:space="preserve">AI governance: human review, confidence scores, bias and accuracy checks each quarter, and a log of every client-facing AI output [35].</w:t>
      </w:r>
    </w:p>
    <w:p>
      <w:pPr>
        <w:pStyle w:val="Compact"/>
        <w:numPr>
          <w:ilvl w:val="0"/>
          <w:numId w:val="1024"/>
        </w:numPr>
        <w:spacing w:after="60" w:line="324" w:lineRule="auto"/>
      </w:pPr>
      <w:r>
        <w:t xml:space="preserve">Target ISO 27001 certification within 12–18 months.</w:t>
      </w:r>
    </w:p>
    <w:p>
      <w:r>
        <w:br w:type="page"/>
      </w:r>
    </w:p>
    <w:p>
      <w:pPr>
        <w:pStyle w:val="Heading1"/>
        <w:shd w:val="clear" w:color="auto" w:fill="3B3A73"/>
        <w:jc w:val="left"/>
      </w:pPr>
      <w:r>
        <w:rPr>
          <w:color w:val="FFFFFF"/>
          <w:sz w:val="28"/>
        </w:rPr>
        <w:t xml:space="preserve">SECTION H — IMPLEMENTATION, FINANCIALS AND RISK</w:t>
      </w:r>
    </w:p>
    <w:p>
      <w:pPr>
        <w:pStyle w:val="Heading1"/>
      </w:pPr>
      <w:r>
        <w:t xml:space="preserve">13. Implementation, Financials and Risk</w:t>
      </w:r>
    </w:p>
    <w:p>
      <w:pPr>
        <w:pStyle w:val="Heading2"/>
      </w:pPr>
      <w:r>
        <w:t xml:space="preserve">13.1 Gap analysis: current state vs. target state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782"/>
        <w:gridCol w:w="3461"/>
        <w:gridCol w:w="3785"/>
      </w:tblGrid>
      <w:tr>
        <w:trPr>
          <w:cantSplit w:val="true"/>
          <w:tblHeader w:val="true"/>
        </w:trPr>
        <w:tc>
          <w:tcPr>
            <w:tcW w:type="dxa" w:w="178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Area</w:t>
            </w:r>
          </w:p>
        </w:tc>
        <w:tc>
          <w:tcPr>
            <w:tcW w:type="dxa" w:w="346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Current state (public evidence)</w:t>
            </w:r>
          </w:p>
        </w:tc>
        <w:tc>
          <w:tcPr>
            <w:tcW w:type="dxa" w:w="378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Target state (12 months)</w:t>
            </w:r>
          </w:p>
        </w:tc>
      </w:tr>
      <w:tr>
        <w:trPr>
          <w:cantSplit w:val="true"/>
        </w:trPr>
        <w:tc>
          <w:tcPr>
            <w:tcW w:type="dxa" w:w="178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Positioning</w:t>
            </w:r>
          </w:p>
        </w:tc>
        <w:tc>
          <w:tcPr>
            <w:tcW w:type="dxa" w:w="346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Four business stories; deck leads with IT services</w:t>
            </w:r>
          </w:p>
        </w:tc>
        <w:tc>
          <w:tcPr>
            <w:tcW w:type="dxa" w:w="378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One story: benefits intelligence for brokers</w:t>
            </w:r>
          </w:p>
        </w:tc>
      </w:tr>
      <w:tr>
        <w:trPr>
          <w:cantSplit w:val="true"/>
        </w:trPr>
        <w:tc>
          <w:tcPr>
            <w:tcW w:type="dxa" w:w="178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</w:t>
            </w:r>
          </w:p>
        </w:tc>
        <w:tc>
          <w:tcPr>
            <w:tcW w:type="dxa" w:w="346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Features described, live status not public</w:t>
            </w:r>
          </w:p>
        </w:tc>
        <w:tc>
          <w:tcPr>
            <w:tcW w:type="dxa" w:w="378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Demoable suite; live vs. roadmap clearly labelled</w:t>
            </w:r>
          </w:p>
        </w:tc>
      </w:tr>
      <w:tr>
        <w:trPr>
          <w:cantSplit w:val="true"/>
        </w:trPr>
        <w:tc>
          <w:tcPr>
            <w:tcW w:type="dxa" w:w="178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Proof</w:t>
            </w:r>
          </w:p>
        </w:tc>
        <w:tc>
          <w:tcPr>
            <w:tcW w:type="dxa" w:w="346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 named clients or case studies</w:t>
            </w:r>
          </w:p>
        </w:tc>
        <w:tc>
          <w:tcPr>
            <w:tcW w:type="dxa" w:w="378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 case studies, 1 benchmark report</w:t>
            </w:r>
          </w:p>
        </w:tc>
      </w:tr>
      <w:tr>
        <w:trPr>
          <w:cantSplit w:val="true"/>
        </w:trPr>
        <w:tc>
          <w:tcPr>
            <w:tcW w:type="dxa" w:w="178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Pricing</w:t>
            </w:r>
          </w:p>
        </w:tc>
        <w:tc>
          <w:tcPr>
            <w:tcW w:type="dxa" w:w="346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Not published</w:t>
            </w:r>
          </w:p>
        </w:tc>
        <w:tc>
          <w:tcPr>
            <w:tcW w:type="dxa" w:w="378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 published packages</w:t>
            </w:r>
          </w:p>
        </w:tc>
      </w:tr>
      <w:tr>
        <w:trPr>
          <w:cantSplit w:val="true"/>
        </w:trPr>
        <w:tc>
          <w:tcPr>
            <w:tcW w:type="dxa" w:w="178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Sales process</w:t>
            </w:r>
          </w:p>
        </w:tc>
        <w:tc>
          <w:tcPr>
            <w:tcW w:type="dxa" w:w="346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Founder-led, CRM status unknown</w:t>
            </w:r>
          </w:p>
        </w:tc>
        <w:tc>
          <w:tcPr>
            <w:tcW w:type="dxa" w:w="378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CRM with defined stages; weekly pipeline review</w:t>
            </w:r>
          </w:p>
        </w:tc>
      </w:tr>
      <w:tr>
        <w:trPr>
          <w:cantSplit w:val="true"/>
        </w:trPr>
        <w:tc>
          <w:tcPr>
            <w:tcW w:type="dxa" w:w="178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Lead generation</w:t>
            </w:r>
          </w:p>
        </w:tc>
        <w:tc>
          <w:tcPr>
            <w:tcW w:type="dxa" w:w="346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Network and referrals</w:t>
            </w:r>
          </w:p>
        </w:tc>
        <w:tc>
          <w:tcPr>
            <w:tcW w:type="dxa" w:w="378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ABM + health-check offer + content</w:t>
            </w:r>
          </w:p>
        </w:tc>
      </w:tr>
      <w:tr>
        <w:trPr>
          <w:cantSplit w:val="true"/>
        </w:trPr>
        <w:tc>
          <w:tcPr>
            <w:tcW w:type="dxa" w:w="178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Security</w:t>
            </w:r>
          </w:p>
        </w:tc>
        <w:tc>
          <w:tcPr>
            <w:tcW w:type="dxa" w:w="346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Login on raw IP over HTTP at time of research</w:t>
            </w:r>
          </w:p>
        </w:tc>
        <w:tc>
          <w:tcPr>
            <w:tcW w:type="dxa" w:w="378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HTTPS, audit trail, DPDP controls, ISO 27001 in progress</w:t>
            </w:r>
          </w:p>
        </w:tc>
      </w:tr>
      <w:tr>
        <w:trPr>
          <w:cantSplit w:val="true"/>
        </w:trPr>
        <w:tc>
          <w:tcPr>
            <w:tcW w:type="dxa" w:w="178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Data</w:t>
            </w:r>
          </w:p>
        </w:tc>
        <w:tc>
          <w:tcPr>
            <w:tcW w:type="dxa" w:w="346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 benchmark dataset</w:t>
            </w:r>
          </w:p>
        </w:tc>
        <w:tc>
          <w:tcPr>
            <w:tcW w:type="dxa" w:w="378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Consented, anonymised benchmark pool</w:t>
            </w:r>
          </w:p>
        </w:tc>
      </w:tr>
      <w:tr>
        <w:trPr>
          <w:cantSplit w:val="true"/>
        </w:trPr>
        <w:tc>
          <w:tcPr>
            <w:tcW w:type="dxa" w:w="178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Reporting</w:t>
            </w:r>
          </w:p>
        </w:tc>
        <w:tc>
          <w:tcPr>
            <w:tcW w:type="dxa" w:w="346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Not visible</w:t>
            </w:r>
          </w:p>
        </w:tc>
        <w:tc>
          <w:tcPr>
            <w:tcW w:type="dxa" w:w="378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BI dashboards for sales, customers and product</w:t>
            </w:r>
          </w:p>
        </w:tc>
      </w:tr>
    </w:tbl>
    <w:p>
      <w:pPr>
        <w:pStyle w:val="Heading2"/>
        <w:spacing w:before="160"/>
      </w:pPr>
      <w:r>
        <w:t xml:space="preserve">13.2 Roadmap</w:t>
      </w:r>
    </w:p>
    <w:p>
      <w:pPr>
        <w:pStyle w:val="CaptionedFigure"/>
      </w:pPr>
      <w:r>
        <w:drawing>
          <wp:inline>
            <wp:extent cx="5334000" cy="2604267"/>
            <wp:effectExtent b="0" l="0" r="0" t="0"/>
            <wp:docPr descr="12-month roadmap" title="" id="48" name="Picture"/>
            <a:graphic>
              <a:graphicData uri="http://schemas.openxmlformats.org/drawingml/2006/picture">
                <pic:pic>
                  <pic:nvPicPr>
                    <pic:cNvPr descr="fig/f8_roadmap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4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12-month roadmap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577"/>
        <w:gridCol w:w="1271"/>
        <w:gridCol w:w="4491"/>
        <w:gridCol w:w="1687"/>
      </w:tblGrid>
      <w:tr>
        <w:trPr>
          <w:cantSplit w:val="true"/>
          <w:tblHeader w:val="true"/>
        </w:trPr>
        <w:tc>
          <w:tcPr>
            <w:tcW w:type="dxa" w:w="157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Phase</w:t>
            </w:r>
          </w:p>
        </w:tc>
        <w:tc>
          <w:tcPr>
            <w:tcW w:type="dxa" w:w="127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Timing</w:t>
            </w:r>
          </w:p>
        </w:tc>
        <w:tc>
          <w:tcPr>
            <w:tcW w:type="dxa" w:w="449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Actions</w:t>
            </w:r>
          </w:p>
        </w:tc>
        <w:tc>
          <w:tcPr>
            <w:tcW w:type="dxa" w:w="168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Owner</w:t>
            </w:r>
          </w:p>
        </w:tc>
      </w:tr>
      <w:tr>
        <w:trPr>
          <w:cantSplit w:val="true"/>
        </w:trPr>
        <w:tc>
          <w:tcPr>
            <w:tcW w:type="dxa" w:w="157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Quick wins</w:t>
            </w:r>
          </w:p>
        </w:tc>
        <w:tc>
          <w:tcPr>
            <w:tcW w:type="dxa" w:w="127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Months 0–3</w:t>
            </w:r>
          </w:p>
        </w:tc>
        <w:tc>
          <w:tcPr>
            <w:tcW w:type="dxa" w:w="449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Feature audit (live / pilot / roadmap); fix login security; set up CRM; build named lists; product governance rule</w:t>
            </w:r>
          </w:p>
        </w:tc>
        <w:tc>
          <w:tcPr>
            <w:tcW w:type="dxa" w:w="168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Founder, IT Head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Mid-term</w:t>
            </w:r>
          </w:p>
        </w:tc>
        <w:tc>
          <w:tcPr>
            <w:tcW w:type="dxa" w:w="127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Months 3–6</w:t>
            </w:r>
          </w:p>
        </w:tc>
        <w:tc>
          <w:tcPr>
            <w:tcW w:type="dxa" w:w="449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Benchmarking Cockpit MVP; 2 broker and 3 employer pilots; quote document AI prototype</w:t>
            </w:r>
          </w:p>
        </w:tc>
        <w:tc>
          <w:tcPr>
            <w:tcW w:type="dxa" w:w="168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Product, founder</w:t>
            </w:r>
          </w:p>
        </w:tc>
      </w:tr>
      <w:tr>
        <w:trPr>
          <w:cantSplit w:val="true"/>
        </w:trPr>
        <w:tc>
          <w:tcPr>
            <w:tcW w:type="dxa" w:w="157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Long-term</w:t>
            </w:r>
          </w:p>
        </w:tc>
        <w:tc>
          <w:tcPr>
            <w:tcW w:type="dxa" w:w="127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Months 6–12</w:t>
            </w:r>
          </w:p>
        </w:tc>
        <w:tc>
          <w:tcPr>
            <w:tcW w:type="dxa" w:w="449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Quote &amp; Renewal Desk live; first case study and benchmark report; renewal forecast model; industry playbooks; broker referral programme</w:t>
            </w:r>
          </w:p>
        </w:tc>
        <w:tc>
          <w:tcPr>
            <w:tcW w:type="dxa" w:w="168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Leadership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Beyond 12 months</w:t>
            </w:r>
          </w:p>
        </w:tc>
        <w:tc>
          <w:tcPr>
            <w:tcW w:type="dxa" w:w="127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Year 2+</w:t>
            </w:r>
          </w:p>
        </w:tc>
        <w:tc>
          <w:tcPr>
            <w:tcW w:type="dxa" w:w="449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Bima Sugam readiness features; more integrations; revisit GCC (ZOYAME) once India proof exists</w:t>
            </w:r>
          </w:p>
        </w:tc>
        <w:tc>
          <w:tcPr>
            <w:tcW w:type="dxa" w:w="168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Leadership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Product governance rule:</w:t>
      </w:r>
      <w:r>
        <w:t xml:space="preserve"> </w:t>
      </w:r>
      <w:r>
        <w:t xml:space="preserve">every custom request is classified as</w:t>
      </w:r>
      <w:r>
        <w:t xml:space="preserve"> </w:t>
      </w:r>
      <w:r>
        <w:rPr>
          <w:i/>
          <w:iCs/>
        </w:rPr>
        <w:t xml:space="preserve">Core product / Configurable / Paid customisation / Reject</w:t>
      </w:r>
      <w:r>
        <w:t xml:space="preserve">. Custom work is accepted only if it earns cash, wins a strategic account, creates reusable IP or adds integration capability. This stops one-off projects from pulling the roadmap apart.</w:t>
      </w:r>
    </w:p>
    <w:p>
      <w:pPr>
        <w:pStyle w:val="Heading2"/>
      </w:pPr>
      <w:r>
        <w:t xml:space="preserve">13.3 Financial case (illustrative)</w:t>
      </w:r>
    </w:p>
    <w:p>
      <w:pPr>
        <w:pStyle w:val="FirstParagraph"/>
      </w:pPr>
      <w:r>
        <w:rPr>
          <w:b/>
          <w:bCs/>
        </w:rPr>
        <w:t xml:space="preserve">Every number below is an outside-in estimate built on the assumptions in Appendix A. It shows the shape of the business and the key levers; it is not a forecast of NivoTime’s actual results.</w:t>
      </w:r>
    </w:p>
    <w:p>
      <w:pPr>
        <w:pStyle w:val="CaptionedFigure"/>
      </w:pPr>
      <w:r>
        <w:drawing>
          <wp:inline>
            <wp:extent cx="5334000" cy="2713789"/>
            <wp:effectExtent b="0" l="0" r="0" t="0"/>
            <wp:docPr descr="Illustrative three-year scenarios" title="" id="51" name="Picture"/>
            <a:graphic>
              <a:graphicData uri="http://schemas.openxmlformats.org/drawingml/2006/picture">
                <pic:pic>
                  <pic:nvPicPr>
                    <pic:cNvPr descr="fig/f9_scenario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3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Illustrative three-year scenarios</w:t>
      </w:r>
    </w:p>
    <w:p>
      <w:pPr>
        <w:pStyle w:val="BodyText"/>
        <w:keepNext/>
      </w:pPr>
      <w:r>
        <w:rPr>
          <w:b/>
          <w:bCs/>
        </w:rPr>
        <w:t xml:space="preserve">Base case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4968"/>
        <w:gridCol w:w="1240"/>
        <w:gridCol w:w="1240"/>
        <w:gridCol w:w="1579"/>
      </w:tblGrid>
      <w:tr>
        <w:trPr>
          <w:cantSplit w:val="true"/>
          <w:tblHeader w:val="true"/>
        </w:trPr>
        <w:tc>
          <w:tcPr>
            <w:tcW w:type="dxa" w:w="4969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₹ lakh</w:t>
            </w:r>
          </w:p>
        </w:tc>
        <w:tc>
          <w:tcPr>
            <w:tcW w:type="dxa" w:w="124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Year 1</w:t>
            </w:r>
          </w:p>
        </w:tc>
        <w:tc>
          <w:tcPr>
            <w:tcW w:type="dxa" w:w="124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Year 2</w:t>
            </w:r>
          </w:p>
        </w:tc>
        <w:tc>
          <w:tcPr>
            <w:tcW w:type="dxa" w:w="158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Year 3</w:t>
            </w:r>
          </w:p>
        </w:tc>
      </w:tr>
      <w:tr>
        <w:trPr>
          <w:cantSplit w:val="true"/>
        </w:trPr>
        <w:tc>
          <w:tcPr>
            <w:tcW w:type="dxa" w:w="496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Brokers on platform (cumulative)</w:t>
            </w:r>
          </w:p>
        </w:tc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8</w:t>
            </w:r>
          </w:p>
        </w:tc>
        <w:tc>
          <w:tcPr>
            <w:tcW w:type="dxa" w:w="158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15</w:t>
            </w:r>
          </w:p>
        </w:tc>
      </w:tr>
      <w:tr>
        <w:trPr>
          <w:cantSplit w:val="true"/>
        </w:trPr>
        <w:tc>
          <w:tcPr>
            <w:tcW w:type="dxa" w:w="496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Direct employers (cumulative)</w:t>
            </w:r>
          </w:p>
        </w:tc>
        <w:tc>
          <w:tcPr>
            <w:tcW w:type="dxa" w:w="124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W w:type="dxa" w:w="124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10</w:t>
            </w:r>
          </w:p>
        </w:tc>
        <w:tc>
          <w:tcPr>
            <w:tcW w:type="dxa" w:w="158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18</w:t>
            </w:r>
          </w:p>
        </w:tc>
      </w:tr>
      <w:tr>
        <w:trPr>
          <w:cantSplit w:val="true"/>
        </w:trPr>
        <w:tc>
          <w:tcPr>
            <w:tcW w:type="dxa" w:w="496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Covered lives on platform</w:t>
            </w:r>
          </w:p>
        </w:tc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18,550</w:t>
            </w:r>
          </w:p>
        </w:tc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70,000</w:t>
            </w:r>
          </w:p>
        </w:tc>
        <w:tc>
          <w:tcPr>
            <w:tcW w:type="dxa" w:w="158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1,63,100</w:t>
            </w:r>
          </w:p>
        </w:tc>
      </w:tr>
      <w:tr>
        <w:trPr>
          <w:cantSplit w:val="true"/>
        </w:trPr>
        <w:tc>
          <w:tcPr>
            <w:tcW w:type="dxa" w:w="496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Recurring revenue</w:t>
            </w:r>
          </w:p>
        </w:tc>
        <w:tc>
          <w:tcPr>
            <w:tcW w:type="dxa" w:w="124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7.1</w:t>
            </w:r>
          </w:p>
        </w:tc>
        <w:tc>
          <w:tcPr>
            <w:tcW w:type="dxa" w:w="124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29.4</w:t>
            </w:r>
          </w:p>
        </w:tc>
        <w:tc>
          <w:tcPr>
            <w:tcW w:type="dxa" w:w="158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60.4</w:t>
            </w:r>
          </w:p>
        </w:tc>
      </w:tr>
      <w:tr>
        <w:trPr>
          <w:cantSplit w:val="true"/>
        </w:trPr>
        <w:tc>
          <w:tcPr>
            <w:tcW w:type="dxa" w:w="496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Implementation fees</w:t>
            </w:r>
          </w:p>
        </w:tc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12.0</w:t>
            </w:r>
          </w:p>
        </w:tc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19.5</w:t>
            </w:r>
          </w:p>
        </w:tc>
        <w:tc>
          <w:tcPr>
            <w:tcW w:type="dxa" w:w="158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27.0</w:t>
            </w:r>
          </w:p>
        </w:tc>
      </w:tr>
      <w:tr>
        <w:trPr>
          <w:cantSplit w:val="true"/>
        </w:trPr>
        <w:tc>
          <w:tcPr>
            <w:tcW w:type="dxa" w:w="496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Advisory packs</w:t>
            </w:r>
          </w:p>
        </w:tc>
        <w:tc>
          <w:tcPr>
            <w:tcW w:type="dxa" w:w="124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3.8</w:t>
            </w:r>
          </w:p>
        </w:tc>
        <w:tc>
          <w:tcPr>
            <w:tcW w:type="dxa" w:w="124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9.8</w:t>
            </w:r>
          </w:p>
        </w:tc>
        <w:tc>
          <w:tcPr>
            <w:tcW w:type="dxa" w:w="158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18.0</w:t>
            </w:r>
          </w:p>
        </w:tc>
      </w:tr>
      <w:tr>
        <w:trPr>
          <w:cantSplit w:val="true"/>
        </w:trPr>
        <w:tc>
          <w:tcPr>
            <w:tcW w:type="dxa" w:w="496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Total revenue</w:t>
            </w:r>
          </w:p>
        </w:tc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22.8</w:t>
            </w:r>
          </w:p>
        </w:tc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58.6</w:t>
            </w:r>
          </w:p>
        </w:tc>
        <w:tc>
          <w:tcPr>
            <w:tcW w:type="dxa" w:w="158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105.4</w:t>
            </w:r>
          </w:p>
        </w:tc>
      </w:tr>
      <w:tr>
        <w:trPr>
          <w:cantSplit w:val="true"/>
        </w:trPr>
        <w:tc>
          <w:tcPr>
            <w:tcW w:type="dxa" w:w="4969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Incremental cost (team, cloud and AI, sales, security)</w:t>
            </w:r>
          </w:p>
        </w:tc>
        <w:tc>
          <w:tcPr>
            <w:tcW w:type="dxa" w:w="124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62.0</w:t>
            </w:r>
          </w:p>
        </w:tc>
        <w:tc>
          <w:tcPr>
            <w:tcW w:type="dxa" w:w="124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77.0</w:t>
            </w:r>
          </w:p>
        </w:tc>
        <w:tc>
          <w:tcPr>
            <w:tcW w:type="dxa" w:w="158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99.0</w:t>
            </w:r>
          </w:p>
        </w:tc>
      </w:tr>
      <w:tr>
        <w:trPr>
          <w:cantSplit w:val="true"/>
        </w:trPr>
        <w:tc>
          <w:tcPr>
            <w:tcW w:type="dxa" w:w="496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Operating result</w:t>
            </w:r>
          </w:p>
        </w:tc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−39.2</w:t>
            </w:r>
          </w:p>
        </w:tc>
        <w:tc>
          <w:tcPr>
            <w:tcW w:type="dxa" w:w="124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−18.4</w:t>
            </w:r>
          </w:p>
        </w:tc>
        <w:tc>
          <w:tcPr>
            <w:tcW w:type="dxa" w:w="158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+6.4</w:t>
            </w:r>
          </w:p>
        </w:tc>
      </w:tr>
    </w:tbl>
    <w:p>
      <w:pPr>
        <w:pStyle w:val="BodyText"/>
        <w:keepNext/>
        <w:spacing w:before="160"/>
      </w:pPr>
      <w:r>
        <w:rPr>
          <w:b/>
          <w:bCs/>
        </w:rPr>
        <w:t xml:space="preserve">Scenarios (Year 3)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3016"/>
        <w:gridCol w:w="2004"/>
        <w:gridCol w:w="2004"/>
        <w:gridCol w:w="2004"/>
      </w:tblGrid>
      <w:tr>
        <w:trPr>
          <w:cantSplit w:val="true"/>
          <w:tblHeader w:val="true"/>
        </w:trPr>
        <w:tc>
          <w:tcPr>
            <w:tcW w:type="dxa" w:w="3016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200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Downside</w:t>
            </w:r>
          </w:p>
        </w:tc>
        <w:tc>
          <w:tcPr>
            <w:tcW w:type="dxa" w:w="200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Base</w:t>
            </w:r>
          </w:p>
        </w:tc>
        <w:tc>
          <w:tcPr>
            <w:tcW w:type="dxa" w:w="200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Upside</w:t>
            </w:r>
          </w:p>
        </w:tc>
      </w:tr>
      <w:tr>
        <w:trPr>
          <w:cantSplit w:val="true"/>
        </w:trPr>
        <w:tc>
          <w:tcPr>
            <w:tcW w:type="dxa" w:w="301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Brokers / employers</w:t>
            </w:r>
          </w:p>
        </w:tc>
        <w:tc>
          <w:tcPr>
            <w:tcW w:type="dxa" w:w="20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 / 14</w:t>
            </w:r>
          </w:p>
        </w:tc>
        <w:tc>
          <w:tcPr>
            <w:tcW w:type="dxa" w:w="20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15 / 18</w:t>
            </w:r>
          </w:p>
        </w:tc>
        <w:tc>
          <w:tcPr>
            <w:tcW w:type="dxa" w:w="20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24 / 26</w:t>
            </w:r>
          </w:p>
        </w:tc>
      </w:tr>
      <w:tr>
        <w:trPr>
          <w:cantSplit w:val="true"/>
        </w:trPr>
        <w:tc>
          <w:tcPr>
            <w:tcW w:type="dxa" w:w="3016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Revenue</w:t>
            </w:r>
          </w:p>
        </w:tc>
        <w:tc>
          <w:tcPr>
            <w:tcW w:type="dxa" w:w="20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₹47.6 lakh</w:t>
            </w:r>
          </w:p>
        </w:tc>
        <w:tc>
          <w:tcPr>
            <w:tcW w:type="dxa" w:w="20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₹105.4 lakh</w:t>
            </w:r>
          </w:p>
        </w:tc>
        <w:tc>
          <w:tcPr>
            <w:tcW w:type="dxa" w:w="20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₹168.7 lakh</w:t>
            </w:r>
          </w:p>
        </w:tc>
      </w:tr>
      <w:tr>
        <w:trPr>
          <w:cantSplit w:val="true"/>
        </w:trPr>
        <w:tc>
          <w:tcPr>
            <w:tcW w:type="dxa" w:w="3016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Operating result</w:t>
            </w:r>
          </w:p>
        </w:tc>
        <w:tc>
          <w:tcPr>
            <w:tcW w:type="dxa" w:w="20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−₹51.4 lakh</w:t>
            </w:r>
          </w:p>
        </w:tc>
        <w:tc>
          <w:tcPr>
            <w:tcW w:type="dxa" w:w="20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+₹6.4 lakh</w:t>
            </w:r>
          </w:p>
        </w:tc>
        <w:tc>
          <w:tcPr>
            <w:tcW w:type="dxa" w:w="20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+₹69.7 lakh</w:t>
            </w:r>
          </w:p>
        </w:tc>
      </w:tr>
    </w:tbl>
    <w:p>
      <w:pPr>
        <w:pStyle w:val="BodyText"/>
        <w:keepNext/>
        <w:spacing w:before="160"/>
      </w:pPr>
      <w:r>
        <w:rPr>
          <w:b/>
          <w:bCs/>
        </w:rPr>
        <w:t xml:space="preserve">Sensitivity of Year-3 base result (₹6.4 lakh)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5341"/>
        <w:gridCol w:w="3687"/>
      </w:tblGrid>
      <w:tr>
        <w:trPr>
          <w:cantSplit w:val="true"/>
          <w:tblHeader w:val="true"/>
        </w:trPr>
        <w:tc>
          <w:tcPr>
            <w:tcW w:type="dxa" w:w="534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Change</w:t>
            </w:r>
          </w:p>
        </w:tc>
        <w:tc>
          <w:tcPr>
            <w:tcW w:type="dxa" w:w="368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Year-3 result</w:t>
            </w:r>
          </w:p>
        </w:tc>
      </w:tr>
      <w:tr>
        <w:trPr>
          <w:cantSplit w:val="true"/>
        </w:trPr>
        <w:tc>
          <w:tcPr>
            <w:tcW w:type="dxa" w:w="534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Recurring prices −20%</w:t>
            </w:r>
          </w:p>
        </w:tc>
        <w:tc>
          <w:tcPr>
            <w:tcW w:type="dxa" w:w="368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−₹5.7 lakh</w:t>
            </w:r>
          </w:p>
        </w:tc>
      </w:tr>
      <w:tr>
        <w:trPr>
          <w:cantSplit w:val="true"/>
        </w:trPr>
        <w:tc>
          <w:tcPr>
            <w:tcW w:type="dxa" w:w="534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Recurring prices +20%</w:t>
            </w:r>
          </w:p>
        </w:tc>
        <w:tc>
          <w:tcPr>
            <w:tcW w:type="dxa" w:w="368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+₹18.4 lakh</w:t>
            </w:r>
          </w:p>
        </w:tc>
      </w:tr>
      <w:tr>
        <w:trPr>
          <w:cantSplit w:val="true"/>
        </w:trPr>
        <w:tc>
          <w:tcPr>
            <w:tcW w:type="dxa" w:w="534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30% fewer brokers</w:t>
            </w:r>
          </w:p>
        </w:tc>
        <w:tc>
          <w:tcPr>
            <w:tcW w:type="dxa" w:w="368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−₹22.5 lakh</w:t>
            </w:r>
          </w:p>
        </w:tc>
      </w:tr>
      <w:tr>
        <w:trPr>
          <w:cantSplit w:val="true"/>
        </w:trPr>
        <w:tc>
          <w:tcPr>
            <w:tcW w:type="dxa" w:w="534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Costs +20%</w:t>
            </w:r>
          </w:p>
        </w:tc>
        <w:tc>
          <w:tcPr>
            <w:tcW w:type="dxa" w:w="368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−₹13.4 lakh</w:t>
            </w:r>
          </w:p>
        </w:tc>
      </w:tr>
      <w:tr>
        <w:trPr>
          <w:cantSplit w:val="true"/>
        </w:trPr>
        <w:tc>
          <w:tcPr>
            <w:tcW w:type="dxa" w:w="534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 advisory revenue</w:t>
            </w:r>
          </w:p>
        </w:tc>
        <w:tc>
          <w:tcPr>
            <w:tcW w:type="dxa" w:w="368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−₹11.6 lakh</w:t>
            </w:r>
          </w:p>
        </w:tc>
      </w:tr>
    </w:tbl>
    <w:p>
      <w:pPr>
        <w:pStyle w:val="BodyText"/>
        <w:keepNext/>
        <w:spacing w:before="160"/>
      </w:pPr>
      <w:r>
        <w:rPr>
          <w:b/>
          <w:bCs/>
        </w:rPr>
        <w:t xml:space="preserve">What the numbers say</w:t>
      </w:r>
    </w:p>
    <w:p>
      <w:pPr>
        <w:pStyle w:val="Compact"/>
        <w:numPr>
          <w:ilvl w:val="0"/>
          <w:numId w:val="1025"/>
        </w:numPr>
        <w:spacing w:after="60" w:line="324" w:lineRule="auto"/>
      </w:pPr>
      <w:r>
        <w:rPr>
          <w:b/>
          <w:bCs/>
        </w:rPr>
        <w:t xml:space="preserve">Investment need:</w:t>
      </w:r>
      <w:r>
        <w:t xml:space="preserve"> </w:t>
      </w:r>
      <w:r>
        <w:t xml:space="preserve">about ₹58 lakh of cumulative losses in Years 1–2 in the base case. This is fundable from services cash flow, which is exactly why services should be kept as a controlled</w:t>
      </w:r>
      <w:r>
        <w:t xml:space="preserve"> </w:t>
      </w:r>
      <w:r>
        <w:t xml:space="preserve">“</w:t>
      </w:r>
      <w:r>
        <w:t xml:space="preserve">funding engine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25"/>
        </w:numPr>
        <w:spacing w:after="60" w:line="324" w:lineRule="auto"/>
      </w:pPr>
      <w:r>
        <w:rPr>
          <w:b/>
          <w:bCs/>
        </w:rPr>
        <w:t xml:space="preserve">The biggest lever is broker count, not price.</w:t>
      </w:r>
      <w:r>
        <w:t xml:space="preserve"> </w:t>
      </w:r>
      <w:r>
        <w:t xml:space="preserve">A 30% shortfall in brokers hurts more than a 20% price cut. Go-to-market execution matters most.</w:t>
      </w:r>
    </w:p>
    <w:p>
      <w:pPr>
        <w:pStyle w:val="Compact"/>
        <w:numPr>
          <w:ilvl w:val="0"/>
          <w:numId w:val="1025"/>
        </w:numPr>
        <w:spacing w:after="60" w:line="324" w:lineRule="auto"/>
      </w:pPr>
      <w:r>
        <w:rPr>
          <w:b/>
          <w:bCs/>
        </w:rPr>
        <w:t xml:space="preserve">Advisory revenue matters early.</w:t>
      </w:r>
      <w:r>
        <w:t xml:space="preserve"> </w:t>
      </w:r>
      <w:r>
        <w:t xml:space="preserve">Human-led renewal advisory bridges the gap until recurring revenue scales, and it uses NivoTime’s existing consulting strength.</w:t>
      </w:r>
    </w:p>
    <w:p>
      <w:pPr>
        <w:pStyle w:val="Compact"/>
        <w:numPr>
          <w:ilvl w:val="0"/>
          <w:numId w:val="1025"/>
        </w:numPr>
        <w:spacing w:after="60" w:line="324" w:lineRule="auto"/>
      </w:pPr>
      <w:r>
        <w:rPr>
          <w:b/>
          <w:bCs/>
        </w:rPr>
        <w:t xml:space="preserve">In the downside case, stop and rethink by month 18</w:t>
      </w:r>
      <w:r>
        <w:t xml:space="preserve"> </w:t>
      </w:r>
      <w:r>
        <w:t xml:space="preserve">if fewer than 3 brokers have converted (see kill criteria in Section 15).</w:t>
      </w:r>
    </w:p>
    <w:p>
      <w:pPr>
        <w:pStyle w:val="Heading2"/>
      </w:pPr>
      <w:r>
        <w:t xml:space="preserve">13.4 KPI scorecard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1703"/>
        <w:gridCol w:w="4332"/>
        <w:gridCol w:w="2993"/>
      </w:tblGrid>
      <w:tr>
        <w:trPr>
          <w:cantSplit w:val="true"/>
          <w:tblHeader w:val="true"/>
        </w:trPr>
        <w:tc>
          <w:tcPr>
            <w:tcW w:type="dxa" w:w="170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Dimension</w:t>
            </w:r>
          </w:p>
        </w:tc>
        <w:tc>
          <w:tcPr>
            <w:tcW w:type="dxa" w:w="433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KPI</w:t>
            </w:r>
          </w:p>
        </w:tc>
        <w:tc>
          <w:tcPr>
            <w:tcW w:type="dxa" w:w="299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12-month target</w:t>
            </w:r>
          </w:p>
        </w:tc>
      </w:tr>
      <w:tr>
        <w:trPr>
          <w:cantSplit w:val="true"/>
        </w:trPr>
        <w:tc>
          <w:tcPr>
            <w:tcW w:type="dxa" w:w="17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Growth</w:t>
            </w:r>
          </w:p>
        </w:tc>
        <w:tc>
          <w:tcPr>
            <w:tcW w:type="dxa" w:w="43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Brokers signed / employers signed</w:t>
            </w:r>
          </w:p>
        </w:tc>
        <w:tc>
          <w:tcPr>
            <w:tcW w:type="dxa" w:w="299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 / 4</w:t>
            </w:r>
          </w:p>
        </w:tc>
      </w:tr>
      <w:tr>
        <w:trPr>
          <w:cantSplit w:val="true"/>
        </w:trPr>
        <w:tc>
          <w:tcPr>
            <w:tcW w:type="dxa" w:w="17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Pipeline</w:t>
            </w:r>
          </w:p>
        </w:tc>
        <w:tc>
          <w:tcPr>
            <w:tcW w:type="dxa" w:w="433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Qualified broker opportunities</w:t>
            </w:r>
          </w:p>
        </w:tc>
        <w:tc>
          <w:tcPr>
            <w:tcW w:type="dxa" w:w="299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18</w:t>
            </w:r>
          </w:p>
        </w:tc>
      </w:tr>
      <w:tr>
        <w:trPr>
          <w:cantSplit w:val="true"/>
        </w:trPr>
        <w:tc>
          <w:tcPr>
            <w:tcW w:type="dxa" w:w="17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</w:t>
            </w:r>
          </w:p>
        </w:tc>
        <w:tc>
          <w:tcPr>
            <w:tcW w:type="dxa" w:w="43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Quote extraction accuracy</w:t>
            </w:r>
          </w:p>
        </w:tc>
        <w:tc>
          <w:tcPr>
            <w:tcW w:type="dxa" w:w="299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≥95%</w:t>
            </w:r>
          </w:p>
        </w:tc>
      </w:tr>
      <w:tr>
        <w:trPr>
          <w:cantSplit w:val="true"/>
        </w:trPr>
        <w:tc>
          <w:tcPr>
            <w:tcW w:type="dxa" w:w="17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</w:t>
            </w:r>
          </w:p>
        </w:tc>
        <w:tc>
          <w:tcPr>
            <w:tcW w:type="dxa" w:w="433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Time saved per renewal (pilot)</w:t>
            </w:r>
          </w:p>
        </w:tc>
        <w:tc>
          <w:tcPr>
            <w:tcW w:type="dxa" w:w="299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≥50%</w:t>
            </w:r>
          </w:p>
        </w:tc>
      </w:tr>
      <w:tr>
        <w:trPr>
          <w:cantSplit w:val="true"/>
        </w:trPr>
        <w:tc>
          <w:tcPr>
            <w:tcW w:type="dxa" w:w="17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Customer</w:t>
            </w:r>
          </w:p>
        </w:tc>
        <w:tc>
          <w:tcPr>
            <w:tcW w:type="dxa" w:w="43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Pilot-to-paid conversion</w:t>
            </w:r>
          </w:p>
        </w:tc>
        <w:tc>
          <w:tcPr>
            <w:tcW w:type="dxa" w:w="299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≥50%</w:t>
            </w:r>
          </w:p>
        </w:tc>
      </w:tr>
      <w:tr>
        <w:trPr>
          <w:cantSplit w:val="true"/>
        </w:trPr>
        <w:tc>
          <w:tcPr>
            <w:tcW w:type="dxa" w:w="17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Customer</w:t>
            </w:r>
          </w:p>
        </w:tc>
        <w:tc>
          <w:tcPr>
            <w:tcW w:type="dxa" w:w="433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Employee activation (zero-login)</w:t>
            </w:r>
          </w:p>
        </w:tc>
        <w:tc>
          <w:tcPr>
            <w:tcW w:type="dxa" w:w="299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≥60% of eligible employees</w:t>
            </w:r>
          </w:p>
        </w:tc>
      </w:tr>
      <w:tr>
        <w:trPr>
          <w:cantSplit w:val="true"/>
        </w:trPr>
        <w:tc>
          <w:tcPr>
            <w:tcW w:type="dxa" w:w="17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Proof</w:t>
            </w:r>
          </w:p>
        </w:tc>
        <w:tc>
          <w:tcPr>
            <w:tcW w:type="dxa" w:w="43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Public case studies</w:t>
            </w:r>
          </w:p>
        </w:tc>
        <w:tc>
          <w:tcPr>
            <w:tcW w:type="dxa" w:w="299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</w:tr>
      <w:tr>
        <w:trPr>
          <w:cantSplit w:val="true"/>
        </w:trPr>
        <w:tc>
          <w:tcPr>
            <w:tcW w:type="dxa" w:w="170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Strategy</w:t>
            </w:r>
          </w:p>
        </w:tc>
        <w:tc>
          <w:tcPr>
            <w:tcW w:type="dxa" w:w="433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Share of engineering time on reusable product</w:t>
            </w:r>
          </w:p>
        </w:tc>
        <w:tc>
          <w:tcPr>
            <w:tcW w:type="dxa" w:w="299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≥60%</w:t>
            </w:r>
          </w:p>
        </w:tc>
      </w:tr>
      <w:tr>
        <w:trPr>
          <w:cantSplit w:val="true"/>
        </w:trPr>
        <w:tc>
          <w:tcPr>
            <w:tcW w:type="dxa" w:w="170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Economics</w:t>
            </w:r>
          </w:p>
        </w:tc>
        <w:tc>
          <w:tcPr>
            <w:tcW w:type="dxa" w:w="433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CAC payback</w:t>
            </w:r>
          </w:p>
        </w:tc>
        <w:tc>
          <w:tcPr>
            <w:tcW w:type="dxa" w:w="299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≤12 months</w:t>
            </w:r>
          </w:p>
        </w:tc>
      </w:tr>
    </w:tbl>
    <w:p>
      <w:pPr>
        <w:pStyle w:val="Heading2"/>
        <w:spacing w:before="160"/>
      </w:pPr>
      <w:r>
        <w:t xml:space="preserve">13.5 Risk register</w:t>
      </w:r>
    </w:p>
    <w:p>
      <w:pPr>
        <w:pStyle w:val="CaptionedFigure"/>
      </w:pPr>
      <w:r>
        <w:drawing>
          <wp:inline>
            <wp:extent cx="4572000" cy="3265098"/>
            <wp:effectExtent b="0" l="0" r="0" t="0"/>
            <wp:docPr descr="Risk heat map" title="" id="54" name="Picture"/>
            <a:graphic>
              <a:graphicData uri="http://schemas.openxmlformats.org/drawingml/2006/picture">
                <pic:pic>
                  <pic:nvPicPr>
                    <pic:cNvPr descr="fig/f10_risk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5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Risk heat map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561"/>
        <w:gridCol w:w="2010"/>
        <w:gridCol w:w="1540"/>
        <w:gridCol w:w="2774"/>
        <w:gridCol w:w="2141"/>
      </w:tblGrid>
      <w:tr>
        <w:trPr>
          <w:cantSplit w:val="true"/>
          <w:tblHeader w:val="true"/>
        </w:trPr>
        <w:tc>
          <w:tcPr>
            <w:tcW w:type="dxa" w:w="56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#</w:t>
            </w:r>
          </w:p>
        </w:tc>
        <w:tc>
          <w:tcPr>
            <w:tcW w:type="dxa" w:w="201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Risk</w:t>
            </w:r>
          </w:p>
        </w:tc>
        <w:tc>
          <w:tcPr>
            <w:tcW w:type="dxa" w:w="154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Likelihood / impact</w:t>
            </w:r>
          </w:p>
        </w:tc>
        <w:tc>
          <w:tcPr>
            <w:tcW w:type="dxa" w:w="277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Mitigation</w:t>
            </w:r>
          </w:p>
        </w:tc>
        <w:tc>
          <w:tcPr>
            <w:tcW w:type="dxa" w:w="214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Early warning</w:t>
            </w:r>
          </w:p>
        </w:tc>
      </w:tr>
      <w:tr>
        <w:trPr>
          <w:cantSplit w:val="true"/>
        </w:trPr>
        <w:tc>
          <w:tcPr>
            <w:tcW w:type="dxa" w:w="56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R1</w:t>
            </w:r>
          </w:p>
        </w:tc>
        <w:tc>
          <w:tcPr>
            <w:tcW w:type="dxa" w:w="201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Benchmark cold start: not enough data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High / High</w:t>
            </w:r>
          </w:p>
        </w:tc>
        <w:tc>
          <w:tcPr>
            <w:tcW w:type="dxa" w:w="27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Start with portfolio benchmarking and public data; pooled-data clause in contracts (7.5)</w:t>
            </w:r>
          </w:p>
        </w:tc>
        <w:tc>
          <w:tcPr>
            <w:tcW w:type="dxa" w:w="214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Peer sets below 10 companies</w:t>
            </w:r>
          </w:p>
        </w:tc>
      </w:tr>
      <w:tr>
        <w:trPr>
          <w:cantSplit w:val="true"/>
        </w:trPr>
        <w:tc>
          <w:tcPr>
            <w:tcW w:type="dxa" w:w="56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R2</w:t>
            </w:r>
          </w:p>
        </w:tc>
        <w:tc>
          <w:tcPr>
            <w:tcW w:type="dxa" w:w="201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No proof points slows every deal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High / High</w:t>
            </w:r>
          </w:p>
        </w:tc>
        <w:tc>
          <w:tcPr>
            <w:tcW w:type="dxa" w:w="27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Pilot-first offer; case study by month 9</w:t>
            </w:r>
          </w:p>
        </w:tc>
        <w:tc>
          <w:tcPr>
            <w:tcW w:type="dxa" w:w="214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Pilots decline to be named</w:t>
            </w:r>
          </w:p>
        </w:tc>
      </w:tr>
      <w:tr>
        <w:trPr>
          <w:cantSplit w:val="true"/>
        </w:trPr>
        <w:tc>
          <w:tcPr>
            <w:tcW w:type="dxa" w:w="56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R3</w:t>
            </w:r>
          </w:p>
        </w:tc>
        <w:tc>
          <w:tcPr>
            <w:tcW w:type="dxa" w:w="201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Brokers build or buy elsewhere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Medium / High</w:t>
            </w:r>
          </w:p>
        </w:tc>
        <w:tc>
          <w:tcPr>
            <w:tcW w:type="dxa" w:w="27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Move fast on the mid-size segment; network-effect pricing</w:t>
            </w:r>
          </w:p>
        </w:tc>
        <w:tc>
          <w:tcPr>
            <w:tcW w:type="dxa" w:w="214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Target broker announces own tool</w:t>
            </w:r>
          </w:p>
        </w:tc>
      </w:tr>
      <w:tr>
        <w:trPr>
          <w:cantSplit w:val="true"/>
        </w:trPr>
        <w:tc>
          <w:tcPr>
            <w:tcW w:type="dxa" w:w="56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R4</w:t>
            </w:r>
          </w:p>
        </w:tc>
        <w:tc>
          <w:tcPr>
            <w:tcW w:type="dxa" w:w="201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Regulatory boundary on comparison and advice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Medium / Medium</w:t>
            </w:r>
          </w:p>
        </w:tc>
        <w:tc>
          <w:tcPr>
            <w:tcW w:type="dxa" w:w="27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Broker-facing tool only; legal opinion before launch [33]</w:t>
            </w:r>
          </w:p>
        </w:tc>
        <w:tc>
          <w:tcPr>
            <w:tcW w:type="dxa" w:w="214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Any client-facing comparison without a broker</w:t>
            </w:r>
          </w:p>
        </w:tc>
      </w:tr>
      <w:tr>
        <w:trPr>
          <w:cantSplit w:val="true"/>
        </w:trPr>
        <w:tc>
          <w:tcPr>
            <w:tcW w:type="dxa" w:w="56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R5</w:t>
            </w:r>
          </w:p>
        </w:tc>
        <w:tc>
          <w:tcPr>
            <w:tcW w:type="dxa" w:w="201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Data privacy breach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Low / High</w:t>
            </w:r>
          </w:p>
        </w:tc>
        <w:tc>
          <w:tcPr>
            <w:tcW w:type="dxa" w:w="27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Security-by-design, DPDP controls, ISO 27001 [31][36]</w:t>
            </w:r>
          </w:p>
        </w:tc>
        <w:tc>
          <w:tcPr>
            <w:tcW w:type="dxa" w:w="214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Security review findings</w:t>
            </w:r>
          </w:p>
        </w:tc>
      </w:tr>
      <w:tr>
        <w:trPr>
          <w:cantSplit w:val="true"/>
        </w:trPr>
        <w:tc>
          <w:tcPr>
            <w:tcW w:type="dxa" w:w="56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R6</w:t>
            </w:r>
          </w:p>
        </w:tc>
        <w:tc>
          <w:tcPr>
            <w:tcW w:type="dxa" w:w="201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Small team stretched across four lines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High / Medium</w:t>
            </w:r>
          </w:p>
        </w:tc>
        <w:tc>
          <w:tcPr>
            <w:tcW w:type="dxa" w:w="27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 governance rule; ring-fenced suite team</w:t>
            </w:r>
          </w:p>
        </w:tc>
        <w:tc>
          <w:tcPr>
            <w:tcW w:type="dxa" w:w="214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Pilot deadlines slip</w:t>
            </w:r>
          </w:p>
        </w:tc>
      </w:tr>
      <w:tr>
        <w:trPr>
          <w:cantSplit w:val="true"/>
        </w:trPr>
        <w:tc>
          <w:tcPr>
            <w:tcW w:type="dxa" w:w="56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R7</w:t>
            </w:r>
          </w:p>
        </w:tc>
        <w:tc>
          <w:tcPr>
            <w:tcW w:type="dxa" w:w="201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AI error reaches a client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Medium / Medium</w:t>
            </w:r>
          </w:p>
        </w:tc>
        <w:tc>
          <w:tcPr>
            <w:tcW w:type="dxa" w:w="277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Confidence scores, human review, audit log [35]</w:t>
            </w:r>
          </w:p>
        </w:tc>
        <w:tc>
          <w:tcPr>
            <w:tcW w:type="dxa" w:w="214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Rising review overrides</w:t>
            </w:r>
          </w:p>
        </w:tc>
      </w:tr>
      <w:tr>
        <w:trPr>
          <w:cantSplit w:val="true"/>
        </w:trPr>
        <w:tc>
          <w:tcPr>
            <w:tcW w:type="dxa" w:w="56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R8</w:t>
            </w:r>
          </w:p>
        </w:tc>
        <w:tc>
          <w:tcPr>
            <w:tcW w:type="dxa" w:w="201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Bima Sugam delay or scope change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Medium / Low</w:t>
            </w:r>
          </w:p>
        </w:tc>
        <w:tc>
          <w:tcPr>
            <w:tcW w:type="dxa" w:w="277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Treat as a feature, not the core pitch [30]</w:t>
            </w:r>
          </w:p>
        </w:tc>
        <w:tc>
          <w:tcPr>
            <w:tcW w:type="dxa" w:w="214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Launch date moves again</w:t>
            </w:r>
          </w:p>
        </w:tc>
      </w:tr>
    </w:tbl>
    <w:p>
      <w:pPr>
        <w:pStyle w:val="Heading2"/>
        <w:spacing w:before="160"/>
      </w:pPr>
      <w:r>
        <w:t xml:space="preserve">13.6 Governance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638"/>
        <w:gridCol w:w="1701"/>
        <w:gridCol w:w="1663"/>
        <w:gridCol w:w="1485"/>
        <w:gridCol w:w="1540"/>
      </w:tblGrid>
      <w:tr>
        <w:trPr>
          <w:cantSplit w:val="true"/>
          <w:tblHeader w:val="true"/>
        </w:trPr>
        <w:tc>
          <w:tcPr>
            <w:tcW w:type="dxa" w:w="263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Activity</w:t>
            </w:r>
          </w:p>
        </w:tc>
        <w:tc>
          <w:tcPr>
            <w:tcW w:type="dxa" w:w="170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Responsible</w:t>
            </w:r>
          </w:p>
        </w:tc>
        <w:tc>
          <w:tcPr>
            <w:tcW w:type="dxa" w:w="1663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Accountable</w:t>
            </w:r>
          </w:p>
        </w:tc>
        <w:tc>
          <w:tcPr>
            <w:tcW w:type="dxa" w:w="1485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Consulted</w:t>
            </w:r>
          </w:p>
        </w:tc>
        <w:tc>
          <w:tcPr>
            <w:tcW w:type="dxa" w:w="154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Informed</w:t>
            </w:r>
          </w:p>
        </w:tc>
      </w:tr>
      <w:tr>
        <w:trPr>
          <w:cantSplit w:val="true"/>
        </w:trPr>
        <w:tc>
          <w:tcPr>
            <w:tcW w:type="dxa" w:w="263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 roadmap and governance rule</w:t>
            </w:r>
          </w:p>
        </w:tc>
        <w:tc>
          <w:tcPr>
            <w:tcW w:type="dxa" w:w="170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 lead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 / CEO</w:t>
            </w:r>
          </w:p>
        </w:tc>
        <w:tc>
          <w:tcPr>
            <w:tcW w:type="dxa" w:w="148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Sales, IT Head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Team</w:t>
            </w:r>
          </w:p>
        </w:tc>
      </w:tr>
      <w:tr>
        <w:trPr>
          <w:cantSplit w:val="true"/>
        </w:trPr>
        <w:tc>
          <w:tcPr>
            <w:tcW w:type="dxa" w:w="263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sales and pilots</w:t>
            </w:r>
          </w:p>
        </w:tc>
        <w:tc>
          <w:tcPr>
            <w:tcW w:type="dxa" w:w="170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Sales lead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 / CEO</w:t>
            </w:r>
          </w:p>
        </w:tc>
        <w:tc>
          <w:tcPr>
            <w:tcW w:type="dxa" w:w="148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Leadership</w:t>
            </w:r>
          </w:p>
        </w:tc>
      </w:tr>
      <w:tr>
        <w:trPr>
          <w:cantSplit w:val="true"/>
        </w:trPr>
        <w:tc>
          <w:tcPr>
            <w:tcW w:type="dxa" w:w="263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Data, security and DPDP</w:t>
            </w:r>
          </w:p>
        </w:tc>
        <w:tc>
          <w:tcPr>
            <w:tcW w:type="dxa" w:w="170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IT Head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 / CEO</w:t>
            </w:r>
          </w:p>
        </w:tc>
        <w:tc>
          <w:tcPr>
            <w:tcW w:type="dxa" w:w="148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Legal counsel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Brokers</w:t>
            </w:r>
          </w:p>
        </w:tc>
      </w:tr>
      <w:tr>
        <w:trPr>
          <w:cantSplit w:val="true"/>
        </w:trPr>
        <w:tc>
          <w:tcPr>
            <w:tcW w:type="dxa" w:w="263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AI model quality</w:t>
            </w:r>
          </w:p>
        </w:tc>
        <w:tc>
          <w:tcPr>
            <w:tcW w:type="dxa" w:w="170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Data / AI engineer</w:t>
            </w:r>
          </w:p>
        </w:tc>
        <w:tc>
          <w:tcPr>
            <w:tcW w:type="dxa" w:w="1663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IT Head</w:t>
            </w:r>
          </w:p>
        </w:tc>
        <w:tc>
          <w:tcPr>
            <w:tcW w:type="dxa" w:w="1485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Brokers (pilot)</w:t>
            </w:r>
          </w:p>
        </w:tc>
        <w:tc>
          <w:tcPr>
            <w:tcW w:type="dxa" w:w="154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Leadership</w:t>
            </w:r>
          </w:p>
        </w:tc>
      </w:tr>
      <w:tr>
        <w:trPr>
          <w:cantSplit w:val="true"/>
        </w:trPr>
        <w:tc>
          <w:tcPr>
            <w:tcW w:type="dxa" w:w="263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KPI review (monthly)</w:t>
            </w:r>
          </w:p>
        </w:tc>
        <w:tc>
          <w:tcPr>
            <w:tcW w:type="dxa" w:w="170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Sales lead</w:t>
            </w:r>
          </w:p>
        </w:tc>
        <w:tc>
          <w:tcPr>
            <w:tcW w:type="dxa" w:w="166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Founder / CEO</w:t>
            </w:r>
          </w:p>
        </w:tc>
        <w:tc>
          <w:tcPr>
            <w:tcW w:type="dxa" w:w="1485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All leads</w:t>
            </w:r>
          </w:p>
        </w:tc>
        <w:tc>
          <w:tcPr>
            <w:tcW w:type="dxa" w:w="154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Team</w:t>
            </w:r>
          </w:p>
        </w:tc>
      </w:tr>
    </w:tbl>
    <w:p>
      <w:pPr>
        <w:spacing w:before="160"/>
      </w:pPr>
      <w:r>
        <w:br w:type="page"/>
      </w:r>
    </w:p>
    <w:p>
      <w:pPr>
        <w:pStyle w:val="Heading1"/>
      </w:pPr>
      <w:r>
        <w:t xml:space="preserve">14. Conclusion and Recommendations</w:t>
      </w:r>
    </w:p>
    <w:p>
      <w:pPr>
        <w:pStyle w:val="FirstParagraph"/>
      </w:pPr>
      <w:r>
        <w:t xml:space="preserve">NivoTime does not lack ideas or features. It lacks</w:t>
      </w:r>
      <w:r>
        <w:t xml:space="preserve"> </w:t>
      </w:r>
      <w:r>
        <w:rPr>
          <w:b/>
          <w:bCs/>
        </w:rPr>
        <w:t xml:space="preserve">focus and proof</w:t>
      </w:r>
      <w:r>
        <w:t xml:space="preserve">. The research points to one clear direction:</w:t>
      </w:r>
    </w:p>
    <w:p>
      <w:pPr>
        <w:pStyle w:val="Compact"/>
        <w:numPr>
          <w:ilvl w:val="0"/>
          <w:numId w:val="1026"/>
        </w:numPr>
        <w:spacing w:after="60" w:line="324" w:lineRule="auto"/>
      </w:pPr>
      <w:r>
        <w:rPr>
          <w:b/>
          <w:bCs/>
        </w:rPr>
        <w:t xml:space="preserve">Focus on benefits intelligence.</w:t>
      </w:r>
      <w:r>
        <w:t xml:space="preserve"> </w:t>
      </w:r>
      <w:r>
        <w:t xml:space="preserve">Make the InsurTech / employee-benefits platform the core; run IT services as a controlled funding and implementation engine.</w:t>
      </w:r>
    </w:p>
    <w:p>
      <w:pPr>
        <w:pStyle w:val="Compact"/>
        <w:numPr>
          <w:ilvl w:val="0"/>
          <w:numId w:val="1026"/>
        </w:numPr>
        <w:spacing w:after="60" w:line="324" w:lineRule="auto"/>
      </w:pPr>
      <w:r>
        <w:rPr>
          <w:b/>
          <w:bCs/>
        </w:rPr>
        <w:t xml:space="preserve">Build the Benefits Intelligence Suite</w:t>
      </w:r>
      <w:r>
        <w:t xml:space="preserve"> </w:t>
      </w:r>
      <w:r>
        <w:t xml:space="preserve">around the capabilities NivoTime already describes (benchmarking dashboard with co-pay, company-size, family and sum-insured filters; vendor management; quote comparison; consulting), made smarter with six practical AI/ML models.</w:t>
      </w:r>
    </w:p>
    <w:p>
      <w:pPr>
        <w:pStyle w:val="Compact"/>
        <w:numPr>
          <w:ilvl w:val="0"/>
          <w:numId w:val="1026"/>
        </w:numPr>
        <w:spacing w:after="60" w:line="324" w:lineRule="auto"/>
      </w:pPr>
      <w:r>
        <w:rPr>
          <w:b/>
          <w:bCs/>
        </w:rPr>
        <w:t xml:space="preserve">Sell through mid-size brokers first.</w:t>
      </w:r>
      <w:r>
        <w:t xml:space="preserve"> </w:t>
      </w:r>
      <w:r>
        <w:t xml:space="preserve">They cannot build this, they are under pressure from tech-first brokers, and each one brings many employer accounts. Use direct employer wins as proof.</w:t>
      </w:r>
    </w:p>
    <w:p>
      <w:pPr>
        <w:pStyle w:val="Compact"/>
        <w:numPr>
          <w:ilvl w:val="0"/>
          <w:numId w:val="1026"/>
        </w:numPr>
        <w:spacing w:after="60" w:line="324" w:lineRule="auto"/>
      </w:pPr>
      <w:r>
        <w:rPr>
          <w:b/>
          <w:bCs/>
        </w:rPr>
        <w:t xml:space="preserve">Win on data, not code.</w:t>
      </w:r>
      <w:r>
        <w:t xml:space="preserve"> </w:t>
      </w:r>
      <w:r>
        <w:t xml:space="preserve">A consented, anonymised benchmark pool that grows with every broker is the moat.</w:t>
      </w:r>
    </w:p>
    <w:p>
      <w:pPr>
        <w:pStyle w:val="Compact"/>
        <w:numPr>
          <w:ilvl w:val="0"/>
          <w:numId w:val="1026"/>
        </w:numPr>
        <w:spacing w:after="60" w:line="324" w:lineRule="auto"/>
      </w:pPr>
      <w:r>
        <w:rPr>
          <w:b/>
          <w:bCs/>
        </w:rPr>
        <w:t xml:space="preserve">Prove before scaling.</w:t>
      </w:r>
      <w:r>
        <w:t xml:space="preserve"> </w:t>
      </w:r>
      <w:r>
        <w:t xml:space="preserve">Pilots, a case study and a benchmark report within 9 months; clear kill criteria if the broker channel does not convert.</w:t>
      </w:r>
    </w:p>
    <w:p>
      <w:pPr>
        <w:pStyle w:val="FirstParagraph"/>
      </w:pPr>
      <w:r>
        <w:t xml:space="preserve">If executed well, the base case reaches break-even for the suite in Year 3 with 15 brokers and 18 direct employers, and positions NivoTime as the neutral intelligence layer for India’s mid-size broker community.</w:t>
      </w:r>
    </w:p>
    <w:p>
      <w:pPr>
        <w:pStyle w:val="Heading1"/>
      </w:pPr>
      <w:r>
        <w:t xml:space="preserve">15. Limitations and Validation Plan</w:t>
      </w:r>
    </w:p>
    <w:p>
      <w:pPr>
        <w:pStyle w:val="FirstParagraph"/>
        <w:keepNext/>
      </w:pPr>
      <w:r>
        <w:rPr>
          <w:b/>
          <w:bCs/>
        </w:rPr>
        <w:t xml:space="preserve">Limitations</w:t>
      </w:r>
    </w:p>
    <w:p>
      <w:pPr>
        <w:pStyle w:val="Compact"/>
        <w:numPr>
          <w:ilvl w:val="0"/>
          <w:numId w:val="1027"/>
        </w:numPr>
        <w:spacing w:after="60" w:line="324" w:lineRule="auto"/>
      </w:pPr>
      <w:r>
        <w:t xml:space="preserve">NivoTime’s internal data (pricing, costs, customers, pipeline, win/loss, live feature status and integration count) was not available. Financials are therefore illustrative, and all assumptions are listed in Appendix A.</w:t>
      </w:r>
    </w:p>
    <w:p>
      <w:pPr>
        <w:pStyle w:val="Compact"/>
        <w:numPr>
          <w:ilvl w:val="0"/>
          <w:numId w:val="1027"/>
        </w:numPr>
        <w:spacing w:after="60" w:line="324" w:lineRule="auto"/>
      </w:pPr>
      <w:r>
        <w:t xml:space="preserve">Some features (benchmarking dashboard filters, vendor management, quote comparison) are based on company inputs and could not be verified publicly.</w:t>
      </w:r>
    </w:p>
    <w:p>
      <w:pPr>
        <w:pStyle w:val="Compact"/>
        <w:numPr>
          <w:ilvl w:val="0"/>
          <w:numId w:val="1027"/>
        </w:numPr>
        <w:spacing w:after="60" w:line="324" w:lineRule="auto"/>
      </w:pPr>
      <w:r>
        <w:t xml:space="preserve">Regulatory interpretations are based on published summaries and should be confirmed by legal counsel.</w:t>
      </w:r>
    </w:p>
    <w:p>
      <w:pPr>
        <w:pStyle w:val="Compact"/>
        <w:numPr>
          <w:ilvl w:val="0"/>
          <w:numId w:val="1027"/>
        </w:numPr>
        <w:spacing w:after="60" w:line="324" w:lineRule="auto"/>
      </w:pPr>
      <w:r>
        <w:t xml:space="preserve">Competitor information reflects public websites and press as of September 2026 and may be incomplete.</w:t>
      </w:r>
    </w:p>
    <w:p>
      <w:pPr>
        <w:pStyle w:val="FirstParagraph"/>
        <w:keepNext/>
      </w:pPr>
      <w:r>
        <w:rPr>
          <w:b/>
          <w:bCs/>
        </w:rPr>
        <w:t xml:space="preserve">Validation plan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2460"/>
        <w:gridCol w:w="2670"/>
        <w:gridCol w:w="3897"/>
      </w:tblGrid>
      <w:tr>
        <w:trPr>
          <w:cantSplit w:val="true"/>
          <w:tblHeader w:val="true"/>
        </w:trPr>
        <w:tc>
          <w:tcPr>
            <w:tcW w:type="dxa" w:w="246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What to validate</w:t>
            </w:r>
          </w:p>
        </w:tc>
        <w:tc>
          <w:tcPr>
            <w:tcW w:type="dxa" w:w="267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Method</w:t>
            </w:r>
          </w:p>
        </w:tc>
        <w:tc>
          <w:tcPr>
            <w:tcW w:type="dxa" w:w="389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Decision rule</w:t>
            </w:r>
          </w:p>
        </w:tc>
      </w:tr>
      <w:tr>
        <w:trPr>
          <w:cantSplit w:val="true"/>
        </w:trPr>
        <w:tc>
          <w:tcPr>
            <w:tcW w:type="dxa" w:w="246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pain and willingness to pay</w:t>
            </w:r>
          </w:p>
        </w:tc>
        <w:tc>
          <w:tcPr>
            <w:tcW w:type="dxa" w:w="267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10–15 broker interviews; 2 pilots</w:t>
            </w:r>
          </w:p>
        </w:tc>
        <w:tc>
          <w:tcPr>
            <w:tcW w:type="dxa" w:w="389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≥60% rate the renewal pain 4/5 or higher; ≥1 pilot converts</w:t>
            </w:r>
          </w:p>
        </w:tc>
      </w:tr>
      <w:tr>
        <w:trPr>
          <w:cantSplit w:val="true"/>
        </w:trPr>
        <w:tc>
          <w:tcPr>
            <w:tcW w:type="dxa" w:w="246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Employer value</w:t>
            </w:r>
          </w:p>
        </w:tc>
        <w:tc>
          <w:tcPr>
            <w:tcW w:type="dxa" w:w="267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5–10 HR/CFO interviews; 3 health checks</w:t>
            </w:r>
          </w:p>
        </w:tc>
        <w:tc>
          <w:tcPr>
            <w:tcW w:type="dxa" w:w="389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≥2 health checks lead to a pilot</w:t>
            </w:r>
          </w:p>
        </w:tc>
      </w:tr>
      <w:tr>
        <w:trPr>
          <w:cantSplit w:val="true"/>
        </w:trPr>
        <w:tc>
          <w:tcPr>
            <w:tcW w:type="dxa" w:w="246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 performance</w:t>
            </w:r>
          </w:p>
        </w:tc>
        <w:tc>
          <w:tcPr>
            <w:tcW w:type="dxa" w:w="267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Pilot measurement</w:t>
            </w:r>
          </w:p>
        </w:tc>
        <w:tc>
          <w:tcPr>
            <w:tcW w:type="dxa" w:w="389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≥50% renewal time saved; ≥95% extraction accuracy</w:t>
            </w:r>
          </w:p>
        </w:tc>
      </w:tr>
      <w:tr>
        <w:trPr>
          <w:cantSplit w:val="true"/>
        </w:trPr>
        <w:tc>
          <w:tcPr>
            <w:tcW w:type="dxa" w:w="246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Economics</w:t>
            </w:r>
          </w:p>
        </w:tc>
        <w:tc>
          <w:tcPr>
            <w:tcW w:type="dxa" w:w="267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Actual CAC, pricing and cost data</w:t>
            </w:r>
          </w:p>
        </w:tc>
        <w:tc>
          <w:tcPr>
            <w:tcW w:type="dxa" w:w="389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CAC payback ≤12 months</w:t>
            </w:r>
          </w:p>
        </w:tc>
      </w:tr>
      <w:tr>
        <w:trPr>
          <w:cantSplit w:val="true"/>
        </w:trPr>
        <w:tc>
          <w:tcPr>
            <w:tcW w:type="dxa" w:w="246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Kill / pivot criteria</w:t>
            </w:r>
          </w:p>
        </w:tc>
        <w:tc>
          <w:tcPr>
            <w:tcW w:type="dxa" w:w="267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Month-18 review</w:t>
            </w:r>
          </w:p>
        </w:tc>
        <w:tc>
          <w:tcPr>
            <w:tcW w:type="dxa" w:w="389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Fewer than 3 paying brokers → pivot to direct employer analytics or advisory-led model</w:t>
            </w:r>
          </w:p>
        </w:tc>
      </w:tr>
    </w:tbl>
    <w:p>
      <w:pPr>
        <w:spacing w:before="160"/>
      </w:pPr>
      <w:r>
        <w:br w:type="page"/>
      </w:r>
    </w:p>
    <w:p>
      <w:pPr>
        <w:pStyle w:val="Heading1"/>
      </w:pPr>
      <w:r>
        <w:t xml:space="preserve">Appendix A: Assumptions Register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684"/>
        <w:gridCol w:w="2030"/>
        <w:gridCol w:w="3117"/>
        <w:gridCol w:w="3196"/>
      </w:tblGrid>
      <w:tr>
        <w:trPr>
          <w:cantSplit w:val="true"/>
          <w:tblHeader w:val="true"/>
        </w:trPr>
        <w:tc>
          <w:tcPr>
            <w:tcW w:type="dxa" w:w="684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#</w:t>
            </w:r>
          </w:p>
        </w:tc>
        <w:tc>
          <w:tcPr>
            <w:tcW w:type="dxa" w:w="2030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Assumption</w:t>
            </w:r>
          </w:p>
        </w:tc>
        <w:tc>
          <w:tcPr>
            <w:tcW w:type="dxa" w:w="3118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Value used</w:t>
            </w:r>
          </w:p>
        </w:tc>
        <w:tc>
          <w:tcPr>
            <w:tcW w:type="dxa" w:w="319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Reasoning / source</w:t>
            </w:r>
          </w:p>
        </w:tc>
      </w:tr>
      <w:tr>
        <w:trPr>
          <w:cantSplit w:val="true"/>
        </w:trPr>
        <w:tc>
          <w:tcPr>
            <w:tcW w:type="dxa" w:w="68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A1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Average group premium per life</w:t>
            </w:r>
          </w:p>
        </w:tc>
        <w:tc>
          <w:tcPr>
            <w:tcW w:type="dxa" w:w="31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₹2,233/year</w:t>
            </w:r>
          </w:p>
        </w:tc>
        <w:tc>
          <w:tcPr>
            <w:tcW w:type="dxa" w:w="319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₹61,435 cr ÷ 27.51 cr lives, FY25 [5]</w:t>
            </w:r>
          </w:p>
        </w:tc>
      </w:tr>
      <w:tr>
        <w:trPr>
          <w:cantSplit w:val="true"/>
        </w:trPr>
        <w:tc>
          <w:tcPr>
            <w:tcW w:type="dxa" w:w="68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A2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Addressable mid-size brokers</w:t>
            </w:r>
          </w:p>
        </w:tc>
        <w:tc>
          <w:tcPr>
            <w:tcW w:type="dxa" w:w="31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~600</w:t>
            </w:r>
          </w:p>
        </w:tc>
        <w:tc>
          <w:tcPr>
            <w:tcW w:type="dxa" w:w="319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751 licensed [10], minus reinsurance, large and tech-first brokers (Est.)</w:t>
            </w:r>
          </w:p>
        </w:tc>
      </w:tr>
      <w:tr>
        <w:trPr>
          <w:cantSplit w:val="true"/>
        </w:trPr>
        <w:tc>
          <w:tcPr>
            <w:tcW w:type="dxa" w:w="68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A3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brokerage on group health</w:t>
            </w:r>
          </w:p>
        </w:tc>
        <w:tc>
          <w:tcPr>
            <w:tcW w:type="dxa" w:w="31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7.5% of premium</w:t>
            </w:r>
          </w:p>
        </w:tc>
        <w:tc>
          <w:tcPr>
            <w:tcW w:type="dxa" w:w="319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Conservative planning figure; actual rates vary by contract</w:t>
            </w:r>
          </w:p>
        </w:tc>
      </w:tr>
      <w:tr>
        <w:trPr>
          <w:cantSplit w:val="true"/>
        </w:trPr>
        <w:tc>
          <w:tcPr>
            <w:tcW w:type="dxa" w:w="68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A4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pricing</w:t>
            </w:r>
          </w:p>
        </w:tc>
        <w:tc>
          <w:tcPr>
            <w:tcW w:type="dxa" w:w="31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₹1.8 lakh/yr + ₹5,000/account + ₹10/engaged life</w:t>
            </w:r>
          </w:p>
        </w:tc>
        <w:tc>
          <w:tcPr>
            <w:tcW w:type="dxa" w:w="319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Set at ~15–20% of broker revenue on the lives served</w:t>
            </w:r>
          </w:p>
        </w:tc>
      </w:tr>
      <w:tr>
        <w:trPr>
          <w:cantSplit w:val="true"/>
        </w:trPr>
        <w:tc>
          <w:tcPr>
            <w:tcW w:type="dxa" w:w="68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A5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Direct employer pricing</w:t>
            </w:r>
          </w:p>
        </w:tc>
        <w:tc>
          <w:tcPr>
            <w:tcW w:type="dxa" w:w="31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₹60 per life per year</w:t>
            </w:r>
          </w:p>
        </w:tc>
        <w:tc>
          <w:tcPr>
            <w:tcW w:type="dxa" w:w="319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~2.7% of premium per life; must be covered by renewal savings</w:t>
            </w:r>
          </w:p>
        </w:tc>
      </w:tr>
      <w:tr>
        <w:trPr>
          <w:cantSplit w:val="true"/>
        </w:trPr>
        <w:tc>
          <w:tcPr>
            <w:tcW w:type="dxa" w:w="68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A6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Implementation fees</w:t>
            </w:r>
          </w:p>
        </w:tc>
        <w:tc>
          <w:tcPr>
            <w:tcW w:type="dxa" w:w="31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₹3 lakh broker; ₹75,000 employer</w:t>
            </w:r>
          </w:p>
        </w:tc>
        <w:tc>
          <w:tcPr>
            <w:tcW w:type="dxa" w:w="319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Covers data mapping and set-up effort</w:t>
            </w:r>
          </w:p>
        </w:tc>
      </w:tr>
      <w:tr>
        <w:trPr>
          <w:cantSplit w:val="true"/>
        </w:trPr>
        <w:tc>
          <w:tcPr>
            <w:tcW w:type="dxa" w:w="68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A7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Advisory pack</w:t>
            </w:r>
          </w:p>
        </w:tc>
        <w:tc>
          <w:tcPr>
            <w:tcW w:type="dxa" w:w="31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₹75,000 per engagement</w:t>
            </w:r>
          </w:p>
        </w:tc>
        <w:tc>
          <w:tcPr>
            <w:tcW w:type="dxa" w:w="319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Priced below typical consulting day rates</w:t>
            </w:r>
          </w:p>
        </w:tc>
      </w:tr>
      <w:tr>
        <w:trPr>
          <w:cantSplit w:val="true"/>
        </w:trPr>
        <w:tc>
          <w:tcPr>
            <w:tcW w:type="dxa" w:w="68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A8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Mature broker size on platform</w:t>
            </w:r>
          </w:p>
        </w:tc>
        <w:tc>
          <w:tcPr>
            <w:tcW w:type="dxa" w:w="31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25 accounts × 700 lives</w:t>
            </w:r>
          </w:p>
        </w:tc>
        <w:tc>
          <w:tcPr>
            <w:tcW w:type="dxa" w:w="319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Mid-size broker assumption</w:t>
            </w:r>
          </w:p>
        </w:tc>
      </w:tr>
      <w:tr>
        <w:trPr>
          <w:cantSplit w:val="true"/>
        </w:trPr>
        <w:tc>
          <w:tcPr>
            <w:tcW w:type="dxa" w:w="68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A9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ramp-up</w:t>
            </w:r>
          </w:p>
        </w:tc>
        <w:tc>
          <w:tcPr>
            <w:tcW w:type="dxa" w:w="31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30% / 70% / 100% of mature lives in years 1/2/3</w:t>
            </w:r>
          </w:p>
        </w:tc>
        <w:tc>
          <w:tcPr>
            <w:tcW w:type="dxa" w:w="319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Gradual client rollout</w:t>
            </w:r>
          </w:p>
        </w:tc>
      </w:tr>
      <w:tr>
        <w:trPr>
          <w:cantSplit w:val="true"/>
        </w:trPr>
        <w:tc>
          <w:tcPr>
            <w:tcW w:type="dxa" w:w="68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A10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Gross margin</w:t>
            </w:r>
          </w:p>
        </w:tc>
        <w:tc>
          <w:tcPr>
            <w:tcW w:type="dxa" w:w="31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~70%</w:t>
            </w:r>
          </w:p>
        </w:tc>
        <w:tc>
          <w:tcPr>
            <w:tcW w:type="dxa" w:w="319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Cloud, AI usage and support costs</w:t>
            </w:r>
          </w:p>
        </w:tc>
      </w:tr>
      <w:tr>
        <w:trPr>
          <w:cantSplit w:val="true"/>
        </w:trPr>
        <w:tc>
          <w:tcPr>
            <w:tcW w:type="dxa" w:w="68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A11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Customer lifetime</w:t>
            </w:r>
          </w:p>
        </w:tc>
        <w:tc>
          <w:tcPr>
            <w:tcW w:type="dxa" w:w="31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 years</w:t>
            </w:r>
          </w:p>
        </w:tc>
        <w:tc>
          <w:tcPr>
            <w:tcW w:type="dxa" w:w="319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~20% annual churn</w:t>
            </w:r>
          </w:p>
        </w:tc>
      </w:tr>
      <w:tr>
        <w:trPr>
          <w:cantSplit w:val="true"/>
        </w:trPr>
        <w:tc>
          <w:tcPr>
            <w:tcW w:type="dxa" w:w="68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A12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Incremental cost</w:t>
            </w:r>
          </w:p>
        </w:tc>
        <w:tc>
          <w:tcPr>
            <w:tcW w:type="dxa" w:w="31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₹62 / ₹77 / ₹99 lakh (Y1–Y3)</w:t>
            </w:r>
          </w:p>
        </w:tc>
        <w:tc>
          <w:tcPr>
            <w:tcW w:type="dxa" w:w="319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3–5 new hires plus reallocated staff, cloud/AI, sales, security</w:t>
            </w:r>
          </w:p>
        </w:tc>
      </w:tr>
      <w:tr>
        <w:trPr>
          <w:cantSplit w:val="true"/>
        </w:trPr>
        <w:tc>
          <w:tcPr>
            <w:tcW w:type="dxa" w:w="684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A13</w:t>
            </w:r>
          </w:p>
        </w:tc>
        <w:tc>
          <w:tcPr>
            <w:tcW w:type="dxa" w:w="2030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value inputs</w:t>
            </w:r>
          </w:p>
        </w:tc>
        <w:tc>
          <w:tcPr>
            <w:tcW w:type="dxa" w:w="3118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30 hours per account per renewal cycle; 50% saved; ₹700/hour; +2 retained and +3 won accounts</w:t>
            </w:r>
          </w:p>
        </w:tc>
        <w:tc>
          <w:tcPr>
            <w:tcW w:type="dxa" w:w="319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Time-saving anchored to published broker-tech results [26][45]</w:t>
            </w:r>
          </w:p>
        </w:tc>
      </w:tr>
      <w:tr>
        <w:trPr>
          <w:cantSplit w:val="true"/>
        </w:trPr>
        <w:tc>
          <w:tcPr>
            <w:tcW w:type="dxa" w:w="684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A14</w:t>
            </w:r>
          </w:p>
        </w:tc>
        <w:tc>
          <w:tcPr>
            <w:tcW w:type="dxa" w:w="2030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Funnel rates</w:t>
            </w:r>
          </w:p>
        </w:tc>
        <w:tc>
          <w:tcPr>
            <w:tcW w:type="dxa" w:w="3118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Brokers: 30% meeting, 60% demo, 33% pilot, 50% win</w:t>
            </w:r>
          </w:p>
        </w:tc>
        <w:tc>
          <w:tcPr>
            <w:tcW w:type="dxa" w:w="319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Planning figures; replace with CRM data</w:t>
            </w:r>
          </w:p>
        </w:tc>
      </w:tr>
    </w:tbl>
    <w:p>
      <w:pPr>
        <w:pStyle w:val="Heading1"/>
        <w:spacing w:before="160"/>
      </w:pPr>
      <w:r>
        <w:t xml:space="preserve">Appendix B: Management Validation Checklist</w:t>
      </w:r>
    </w:p>
    <w:p>
      <w:pPr>
        <w:pStyle w:val="FirstParagraph"/>
      </w:pPr>
      <w:r>
        <w:t xml:space="preserve">Questions to close the remaining evidence gaps (grouped so one answer closes several gaps):</w:t>
      </w:r>
    </w:p>
    <w:p>
      <w:pPr>
        <w:pStyle w:val="Compact"/>
        <w:numPr>
          <w:ilvl w:val="0"/>
          <w:numId w:val="1028"/>
        </w:numPr>
        <w:spacing w:after="60" w:line="324" w:lineRule="auto"/>
      </w:pPr>
      <w:r>
        <w:rPr>
          <w:b/>
          <w:bCs/>
        </w:rPr>
        <w:t xml:space="preserve">Customers and pricing:</w:t>
      </w:r>
      <w:r>
        <w:t xml:space="preserve"> </w:t>
      </w:r>
      <w:r>
        <w:t xml:space="preserve">How many paying InsurTech clients are there, split by broker and direct? What is the current pricing and average contract value?</w:t>
      </w:r>
    </w:p>
    <w:p>
      <w:pPr>
        <w:pStyle w:val="Compact"/>
        <w:numPr>
          <w:ilvl w:val="0"/>
          <w:numId w:val="1028"/>
        </w:numPr>
        <w:spacing w:after="60" w:line="324" w:lineRule="auto"/>
      </w:pPr>
      <w:r>
        <w:rPr>
          <w:b/>
          <w:bCs/>
        </w:rPr>
        <w:t xml:space="preserve">Costs:</w:t>
      </w:r>
      <w:r>
        <w:t xml:space="preserve"> </w:t>
      </w:r>
      <w:r>
        <w:t xml:space="preserve">What are the monthly engineering, hosting and sales costs? What does it cost to win a broker vs. an employer?</w:t>
      </w:r>
    </w:p>
    <w:p>
      <w:pPr>
        <w:pStyle w:val="Compact"/>
        <w:numPr>
          <w:ilvl w:val="0"/>
          <w:numId w:val="1028"/>
        </w:numPr>
        <w:spacing w:after="60" w:line="324" w:lineRule="auto"/>
      </w:pPr>
      <w:r>
        <w:rPr>
          <w:b/>
          <w:bCs/>
        </w:rPr>
        <w:t xml:space="preserve">Product reality:</w:t>
      </w:r>
      <w:r>
        <w:t xml:space="preserve"> </w:t>
      </w:r>
      <w:r>
        <w:t xml:space="preserve">Which features are live, in pilot, or on the roadmap? How many insurers and TPAs are integrated in production? Is the mobile app live?</w:t>
      </w:r>
    </w:p>
    <w:p>
      <w:pPr>
        <w:pStyle w:val="Compact"/>
        <w:numPr>
          <w:ilvl w:val="0"/>
          <w:numId w:val="1028"/>
        </w:numPr>
        <w:spacing w:after="60" w:line="324" w:lineRule="auto"/>
      </w:pPr>
      <w:r>
        <w:rPr>
          <w:b/>
          <w:bCs/>
        </w:rPr>
        <w:t xml:space="preserve">Pipeline:</w:t>
      </w:r>
      <w:r>
        <w:t xml:space="preserve"> </w:t>
      </w:r>
      <w:r>
        <w:t xml:space="preserve">Is there a CRM or lead list? What happened in the last 10–20 opportunities, and why were deals lost?</w:t>
      </w:r>
    </w:p>
    <w:p>
      <w:pPr>
        <w:pStyle w:val="Compact"/>
        <w:numPr>
          <w:ilvl w:val="0"/>
          <w:numId w:val="1028"/>
        </w:numPr>
        <w:spacing w:after="60" w:line="324" w:lineRule="auto"/>
      </w:pPr>
      <w:r>
        <w:rPr>
          <w:b/>
          <w:bCs/>
        </w:rPr>
        <w:t xml:space="preserve">Brokers:</w:t>
      </w:r>
      <w:r>
        <w:t xml:space="preserve"> </w:t>
      </w:r>
      <w:r>
        <w:t xml:space="preserve">Which brokers have been approached, and with what outcome?</w:t>
      </w:r>
    </w:p>
    <w:p>
      <w:pPr>
        <w:pStyle w:val="Compact"/>
        <w:numPr>
          <w:ilvl w:val="0"/>
          <w:numId w:val="1028"/>
        </w:numPr>
        <w:spacing w:after="60" w:line="324" w:lineRule="auto"/>
      </w:pPr>
      <w:r>
        <w:rPr>
          <w:b/>
          <w:bCs/>
        </w:rPr>
        <w:t xml:space="preserve">Focus:</w:t>
      </w:r>
      <w:r>
        <w:t xml:space="preserve"> </w:t>
      </w:r>
      <w:r>
        <w:t xml:space="preserve">How is the team split across IT services, digital marketing, InsurTech and HealthTech? Is custom work a funding engine or a distraction?</w:t>
      </w:r>
    </w:p>
    <w:p>
      <w:pPr>
        <w:pStyle w:val="Compact"/>
        <w:numPr>
          <w:ilvl w:val="0"/>
          <w:numId w:val="1028"/>
        </w:numPr>
        <w:spacing w:after="60" w:line="324" w:lineRule="auto"/>
      </w:pPr>
      <w:r>
        <w:rPr>
          <w:b/>
          <w:bCs/>
        </w:rPr>
        <w:t xml:space="preserve">Regulation:</w:t>
      </w:r>
      <w:r>
        <w:t xml:space="preserve"> </w:t>
      </w:r>
      <w:r>
        <w:t xml:space="preserve">Does NivoTime hold, or plan to seek, any IRDAI registration? Is any Bima Sugam work planned?</w:t>
      </w:r>
    </w:p>
    <w:p>
      <w:pPr>
        <w:pStyle w:val="Compact"/>
        <w:numPr>
          <w:ilvl w:val="0"/>
          <w:numId w:val="1028"/>
        </w:numPr>
        <w:spacing w:after="60" w:line="324" w:lineRule="auto"/>
      </w:pPr>
      <w:r>
        <w:rPr>
          <w:b/>
          <w:bCs/>
        </w:rPr>
        <w:t xml:space="preserve">International:</w:t>
      </w:r>
      <w:r>
        <w:t xml:space="preserve"> </w:t>
      </w:r>
      <w:r>
        <w:t xml:space="preserve">What resources are committed to ZOYAME?</w:t>
      </w:r>
    </w:p>
    <w:p>
      <w:pPr>
        <w:pStyle w:val="Heading1"/>
      </w:pPr>
      <w:r>
        <w:t xml:space="preserve">Appendix C: Pilot Scorecard</w:t>
      </w:r>
    </w:p>
    <w:tbl>
      <w:tblPr>
        <w:tblStyle w:val="Table"/>
        <w:tblW w:type="dxa" w:w="9028"/>
        <w:jc w:val="start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ayout w:type="fixed"/>
        <w:tblLook w:firstRow="1" w:lastRow="0" w:firstColumn="0" w:lastColumn="0" w:noHBand="0" w:noVBand="0" w:val="0020"/>
      </w:tblPr>
      <w:tblGrid>
        <w:gridCol w:w="3836"/>
        <w:gridCol w:w="1322"/>
        <w:gridCol w:w="1767"/>
        <w:gridCol w:w="1051"/>
        <w:gridCol w:w="1051"/>
      </w:tblGrid>
      <w:tr>
        <w:trPr>
          <w:cantSplit w:val="true"/>
          <w:tblHeader w:val="true"/>
        </w:trPr>
        <w:tc>
          <w:tcPr>
            <w:tcW w:type="dxa" w:w="383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Pilot measure</w:t>
            </w:r>
          </w:p>
        </w:tc>
        <w:tc>
          <w:tcPr>
            <w:tcW w:type="dxa" w:w="1322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Baseline</w:t>
            </w:r>
          </w:p>
        </w:tc>
        <w:tc>
          <w:tcPr>
            <w:tcW w:type="dxa" w:w="1767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Target (90 days)</w:t>
            </w:r>
          </w:p>
        </w:tc>
        <w:tc>
          <w:tcPr>
            <w:tcW w:type="dxa" w:w="105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Actual</w:t>
            </w:r>
          </w:p>
        </w:tc>
        <w:tc>
          <w:tcPr>
            <w:tcW w:type="dxa" w:w="1051"/>
            <w:shd w:val="clear" w:color="auto" w:fill="3B3A73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Status</w:t>
            </w:r>
          </w:p>
        </w:tc>
      </w:tr>
      <w:tr>
        <w:trPr>
          <w:cantSplit w:val="true"/>
        </w:trPr>
        <w:tc>
          <w:tcPr>
            <w:tcW w:type="dxa" w:w="383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Hours to prepare one renewal pack</w:t>
            </w:r>
          </w:p>
        </w:tc>
        <w:tc>
          <w:tcPr>
            <w:tcW w:type="dxa" w:w="132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76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−50%</w:t>
            </w:r>
          </w:p>
        </w:tc>
        <w:tc>
          <w:tcPr>
            <w:tcW w:type="dxa" w:w="10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0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</w:tr>
      <w:tr>
        <w:trPr>
          <w:cantSplit w:val="true"/>
        </w:trPr>
        <w:tc>
          <w:tcPr>
            <w:tcW w:type="dxa" w:w="383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Quote fields extracted correctly</w:t>
            </w:r>
          </w:p>
        </w:tc>
        <w:tc>
          <w:tcPr>
            <w:tcW w:type="dxa" w:w="132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76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≥95%</w:t>
            </w:r>
          </w:p>
        </w:tc>
        <w:tc>
          <w:tcPr>
            <w:tcW w:type="dxa" w:w="105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05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</w:tr>
      <w:tr>
        <w:trPr>
          <w:cantSplit w:val="true"/>
        </w:trPr>
        <w:tc>
          <w:tcPr>
            <w:tcW w:type="dxa" w:w="383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Broker users active weekly</w:t>
            </w:r>
          </w:p>
        </w:tc>
        <w:tc>
          <w:tcPr>
            <w:tcW w:type="dxa" w:w="132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76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≥70%</w:t>
            </w:r>
          </w:p>
        </w:tc>
        <w:tc>
          <w:tcPr>
            <w:tcW w:type="dxa" w:w="10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0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</w:tr>
      <w:tr>
        <w:trPr>
          <w:cantSplit w:val="true"/>
        </w:trPr>
        <w:tc>
          <w:tcPr>
            <w:tcW w:type="dxa" w:w="383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Employee activation</w:t>
            </w:r>
          </w:p>
        </w:tc>
        <w:tc>
          <w:tcPr>
            <w:tcW w:type="dxa" w:w="132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76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≥60%</w:t>
            </w:r>
          </w:p>
        </w:tc>
        <w:tc>
          <w:tcPr>
            <w:tcW w:type="dxa" w:w="105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05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</w:tr>
      <w:tr>
        <w:trPr>
          <w:cantSplit w:val="true"/>
        </w:trPr>
        <w:tc>
          <w:tcPr>
            <w:tcW w:type="dxa" w:w="383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HR queries per 100 employees</w:t>
            </w:r>
          </w:p>
        </w:tc>
        <w:tc>
          <w:tcPr>
            <w:tcW w:type="dxa" w:w="132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76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−30%</w:t>
            </w:r>
          </w:p>
        </w:tc>
        <w:tc>
          <w:tcPr>
            <w:tcW w:type="dxa" w:w="10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0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</w:tr>
      <w:tr>
        <w:trPr>
          <w:cantSplit w:val="true"/>
        </w:trPr>
        <w:tc>
          <w:tcPr>
            <w:tcW w:type="dxa" w:w="383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Client-facing insights accepted without edits</w:t>
            </w:r>
          </w:p>
        </w:tc>
        <w:tc>
          <w:tcPr>
            <w:tcW w:type="dxa" w:w="1322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767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≥80%</w:t>
            </w:r>
          </w:p>
        </w:tc>
        <w:tc>
          <w:tcPr>
            <w:tcW w:type="dxa" w:w="105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051"/>
            <w:shd w:val="clear" w:color="auto" w:fill="F4F5F9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</w:tr>
      <w:tr>
        <w:trPr>
          <w:cantSplit w:val="true"/>
        </w:trPr>
        <w:tc>
          <w:tcPr>
            <w:tcW w:type="dxa" w:w="383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Pilot converted to paid contract</w:t>
            </w:r>
          </w:p>
        </w:tc>
        <w:tc>
          <w:tcPr>
            <w:tcW w:type="dxa" w:w="1322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767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Yes</w:t>
            </w:r>
          </w:p>
        </w:tc>
        <w:tc>
          <w:tcPr>
            <w:tcW w:type="dxa" w:w="10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  <w:tc>
          <w:tcPr>
            <w:tcW w:type="dxa" w:w="1051"/>
            <w:tcMar>
              <w:top w:w="40" w:type="dxa"/>
              <w:bottom w:w="40" w:type="dxa"/>
            </w:tcMar>
          </w:tcPr>
          <w:p>
            <w:pPr>
              <w:pStyle w:val="Compact"/>
              <w:spacing w:line="252" w:lineRule="auto" w:after="20" w:before="20"/>
              <w:jc w:val="left"/>
            </w:pPr>
          </w:p>
        </w:tc>
      </w:tr>
    </w:tbl>
    <w:p>
      <w:pPr>
        <w:pStyle w:val="Heading1"/>
        <w:spacing w:before="160"/>
      </w:pPr>
      <w:r>
        <w:t xml:space="preserve">Appendix D: Broker Pitch (60 seconds)</w:t>
      </w:r>
    </w:p>
    <w:p>
      <w:pPr>
        <w:pStyle w:val="BlockText"/>
      </w:pPr>
      <w:r>
        <w:t xml:space="preserve">“</w:t>
      </w:r>
      <w:r>
        <w:t xml:space="preserve">Your biggest clients are being pitched by tech-first brokers who show them dashboards and benchmarks. You don’t need to build that. NivoTime gives you a white-label benefits intelligence platform: peer benchmarks by co-pay, company size, family cover and sum insured; AI that turns five insurer quotes into one comparison in minutes; and renewal forecasts before the insurer calls. Your brand, your client, our technology. Let’s run it on three of your clients for 90 days and measure the hours saved.</w:t>
      </w:r>
      <w:r>
        <w:t xml:space="preserve">”</w:t>
      </w:r>
    </w:p>
    <w:p>
      <w:r>
        <w:br w:type="page"/>
      </w:r>
    </w:p>
    <w:p>
      <w:pPr>
        <w:pStyle w:val="Heading1"/>
      </w:pPr>
      <w:r>
        <w:t xml:space="preserve">References</w:t>
      </w:r>
    </w:p>
    <w:p>
      <w:pPr>
        <w:pStyle w:val="FirstParagraph"/>
        <w:spacing w:line="276" w:lineRule="auto"/>
        <w:jc w:val="left"/>
      </w:pPr>
      <w:r>
        <w:t xml:space="preserve">All sources accessed September 2026 unless a date is shown.</w:t>
      </w:r>
    </w:p>
    <w:p>
      <w:pPr>
        <w:pStyle w:val="BodyText"/>
        <w:keepNext/>
        <w:spacing w:line="276" w:lineRule="auto"/>
        <w:jc w:val="left"/>
      </w:pPr>
      <w:r>
        <w:rPr>
          <w:b/>
          <w:bCs/>
        </w:rPr>
        <w:t xml:space="preserve">Company sources</w:t>
      </w:r>
    </w:p>
    <w:p>
      <w:pPr>
        <w:pStyle w:val="Compact"/>
        <w:numPr>
          <w:ilvl w:val="0"/>
          <w:numId w:val="1029"/>
        </w:numPr>
        <w:spacing w:after="60" w:line="276" w:lineRule="auto"/>
        <w:jc w:val="left"/>
      </w:pPr>
      <w:r>
        <w:t xml:space="preserve">NivoTime Pvt Ltd website: Home, About, Director Desk, InsurTech, Flex, Analytics, HealthTech, Employer and Employee pages. https://www.nivotime.com/</w:t>
      </w:r>
    </w:p>
    <w:p>
      <w:pPr>
        <w:pStyle w:val="Compact"/>
        <w:numPr>
          <w:ilvl w:val="0"/>
          <w:numId w:val="1029"/>
        </w:numPr>
        <w:spacing w:after="60" w:line="276" w:lineRule="auto"/>
        <w:jc w:val="left"/>
      </w:pPr>
      <w:r>
        <w:t xml:space="preserve">NivoTime corporate pitch deck (company-provided), slides 2–6 and 8.</w:t>
      </w:r>
    </w:p>
    <w:p>
      <w:pPr>
        <w:pStyle w:val="Compact"/>
        <w:numPr>
          <w:ilvl w:val="0"/>
          <w:numId w:val="1029"/>
        </w:numPr>
        <w:spacing w:after="60" w:line="276" w:lineRule="auto"/>
        <w:jc w:val="left"/>
      </w:pPr>
      <w:r>
        <w:t xml:space="preserve">ZaubaCorp, NivoTime Private Limited company record (CIN U72900MH2018PTC314348). https://www.zaubacorp.com/NIVOTIME-PRIVATE-LIMITED-U72900MH2018PTC314348</w:t>
      </w:r>
    </w:p>
    <w:p>
      <w:pPr>
        <w:pStyle w:val="Compact"/>
        <w:numPr>
          <w:ilvl w:val="0"/>
          <w:numId w:val="1029"/>
        </w:numPr>
        <w:spacing w:after="60" w:line="276" w:lineRule="auto"/>
        <w:jc w:val="left"/>
      </w:pPr>
      <w:r>
        <w:t xml:space="preserve">NivoTime LinkedIn company page. https://in.linkedin.com/company/nivotime</w:t>
      </w:r>
    </w:p>
    <w:p>
      <w:pPr>
        <w:pStyle w:val="FirstParagraph"/>
        <w:keepNext/>
        <w:spacing w:line="276" w:lineRule="auto"/>
        <w:jc w:val="left"/>
      </w:pPr>
      <w:r>
        <w:rPr>
          <w:b/>
          <w:bCs/>
        </w:rPr>
        <w:t xml:space="preserve">Market and industry data</w:t>
      </w:r>
    </w:p>
    <w:p>
      <w:pPr>
        <w:pStyle w:val="Compact"/>
        <w:numPr>
          <w:ilvl w:val="0"/>
          <w:numId w:val="1030"/>
        </w:numPr>
        <w:spacing w:after="60" w:line="276" w:lineRule="auto"/>
        <w:jc w:val="left"/>
      </w:pPr>
      <w:r>
        <w:t xml:space="preserve">Outlook,</w:t>
      </w:r>
      <w:r>
        <w:t xml:space="preserve"> </w:t>
      </w:r>
      <w:r>
        <w:t xml:space="preserve">“</w:t>
      </w:r>
      <w:r>
        <w:t xml:space="preserve">Employer-led insurance becomes India’s main coverage engine: IRDAI Annual Report</w:t>
      </w:r>
      <w:r>
        <w:t xml:space="preserve">”</w:t>
      </w:r>
      <w:r>
        <w:t xml:space="preserve">, 17 Feb 2026. https://www.outlookindia.com/xhub/featured-insights/employer-led-insurance-becomes-indias-main-coverage-engine-irdai-annual-report</w:t>
      </w:r>
    </w:p>
    <w:p>
      <w:pPr>
        <w:pStyle w:val="Compact"/>
        <w:numPr>
          <w:ilvl w:val="0"/>
          <w:numId w:val="1030"/>
        </w:numPr>
        <w:spacing w:after="60" w:line="276" w:lineRule="auto"/>
        <w:jc w:val="left"/>
      </w:pPr>
      <w:r>
        <w:t xml:space="preserve">CareEdge Ratings,</w:t>
      </w:r>
      <w:r>
        <w:t xml:space="preserve"> </w:t>
      </w:r>
      <w:r>
        <w:t xml:space="preserve">“</w:t>
      </w:r>
      <w:r>
        <w:t xml:space="preserve">Non-Life Premiums in FY26 End at Rs 3.4 Lakh Cr; Health Segment Drives the Growth</w:t>
      </w:r>
      <w:r>
        <w:t xml:space="preserve">”</w:t>
      </w:r>
      <w:r>
        <w:t xml:space="preserve">, 21 Apr 2026. https://www.careratings.com/</w:t>
      </w:r>
    </w:p>
    <w:p>
      <w:pPr>
        <w:pStyle w:val="Compact"/>
        <w:numPr>
          <w:ilvl w:val="0"/>
          <w:numId w:val="1030"/>
        </w:numPr>
        <w:spacing w:after="60" w:line="276" w:lineRule="auto"/>
        <w:jc w:val="left"/>
      </w:pPr>
      <w:r>
        <w:t xml:space="preserve">IRDAI Annual Report 2024-25, Table I.14 (claims ratios). https://lifeinscouncil.org/component/IRDAI%20Annual%20Report%202024-25.pdf</w:t>
      </w:r>
    </w:p>
    <w:p>
      <w:pPr>
        <w:pStyle w:val="Compact"/>
        <w:numPr>
          <w:ilvl w:val="0"/>
          <w:numId w:val="1030"/>
        </w:numPr>
        <w:spacing w:after="60" w:line="276" w:lineRule="auto"/>
        <w:jc w:val="left"/>
      </w:pPr>
      <w:r>
        <w:t xml:space="preserve">Aon,</w:t>
      </w:r>
      <w:r>
        <w:t xml:space="preserve"> </w:t>
      </w:r>
      <w:r>
        <w:t xml:space="preserve">“</w:t>
      </w:r>
      <w:r>
        <w:t xml:space="preserve">India outpaces global average with 2026 medical trend at 11.5 percent</w:t>
      </w:r>
      <w:r>
        <w:t xml:space="preserve">”</w:t>
      </w:r>
      <w:r>
        <w:t xml:space="preserve">, 11 Dec 2025. https://www.aon.com/apac/in-the-press/asia-newsroom/2025/india-outpaces-global-average-with-2026-medical-trend-at-11-5-percent-aon-reports</w:t>
      </w:r>
    </w:p>
    <w:p>
      <w:pPr>
        <w:pStyle w:val="Compact"/>
        <w:numPr>
          <w:ilvl w:val="0"/>
          <w:numId w:val="1030"/>
        </w:numPr>
        <w:spacing w:after="60" w:line="276" w:lineRule="auto"/>
        <w:jc w:val="left"/>
      </w:pPr>
      <w:r>
        <w:t xml:space="preserve">WTW,</w:t>
      </w:r>
      <w:r>
        <w:t xml:space="preserve"> </w:t>
      </w:r>
      <w:r>
        <w:t xml:space="preserve">“</w:t>
      </w:r>
      <w:r>
        <w:t xml:space="preserve">Asia Pacific medical inflation continues to soar in 2026</w:t>
      </w:r>
      <w:r>
        <w:t xml:space="preserve">”</w:t>
      </w:r>
      <w:r>
        <w:t xml:space="preserve">, Dec 2025. https://www.wtwco.com/en-in/insights/2025/12/asia-pacific-medical-inflation-continues-to-soar-in-2026</w:t>
      </w:r>
    </w:p>
    <w:p>
      <w:pPr>
        <w:pStyle w:val="Compact"/>
        <w:numPr>
          <w:ilvl w:val="0"/>
          <w:numId w:val="1030"/>
        </w:numPr>
        <w:spacing w:after="60" w:line="276" w:lineRule="auto"/>
        <w:jc w:val="left"/>
      </w:pPr>
      <w:r>
        <w:t xml:space="preserve">Vaatun,</w:t>
      </w:r>
      <w:r>
        <w:t xml:space="preserve"> </w:t>
      </w:r>
      <w:r>
        <w:t xml:space="preserve">“</w:t>
      </w:r>
      <w:r>
        <w:t xml:space="preserve">Insurance brokers in India</w:t>
      </w:r>
      <w:r>
        <w:t xml:space="preserve">”</w:t>
      </w:r>
      <w:r>
        <w:t xml:space="preserve"> </w:t>
      </w:r>
      <w:r>
        <w:t xml:space="preserve">(count derived from the IRDAI broker register), Jul 2026. https://www.vaatun.com/insurance-brokers-india</w:t>
      </w:r>
    </w:p>
    <w:p>
      <w:pPr>
        <w:pStyle w:val="Compact"/>
        <w:numPr>
          <w:ilvl w:val="0"/>
          <w:numId w:val="1030"/>
        </w:numPr>
        <w:spacing w:after="60" w:line="276" w:lineRule="auto"/>
        <w:jc w:val="left"/>
      </w:pPr>
      <w:r>
        <w:t xml:space="preserve">Business Standard, EPFO contributing establishments rise to 7.66 lakh in FY24 (Labour Ministry statement, EPFO Annual Report 2023-24), 11 Nov 2024.</w:t>
      </w:r>
    </w:p>
    <w:p>
      <w:pPr>
        <w:pStyle w:val="Compact"/>
        <w:numPr>
          <w:ilvl w:val="0"/>
          <w:numId w:val="1030"/>
        </w:numPr>
        <w:spacing w:after="60" w:line="276" w:lineRule="auto"/>
        <w:jc w:val="left"/>
      </w:pPr>
      <w:r>
        <w:t xml:space="preserve">BusinessToday,</w:t>
      </w:r>
      <w:r>
        <w:t xml:space="preserve"> </w:t>
      </w:r>
      <w:r>
        <w:t xml:space="preserve">“</w:t>
      </w:r>
      <w:r>
        <w:t xml:space="preserve">Insurance commissions grew up to 6 times faster than premiums: what IRDAI wants to change</w:t>
      </w:r>
      <w:r>
        <w:t xml:space="preserve">”</w:t>
      </w:r>
      <w:r>
        <w:t xml:space="preserve">, 26 Sep 2026. https://www.businesstoday.in/latest/corporate/story/insurance-commissions-grew-up-to-6-times-faster-than-premiums-what-irdai-wants-to-change-558050-2026-09-26</w:t>
      </w:r>
    </w:p>
    <w:p>
      <w:pPr>
        <w:pStyle w:val="Compact"/>
        <w:numPr>
          <w:ilvl w:val="0"/>
          <w:numId w:val="1030"/>
        </w:numPr>
        <w:spacing w:after="60" w:line="276" w:lineRule="auto"/>
        <w:jc w:val="left"/>
      </w:pPr>
      <w:r>
        <w:t xml:space="preserve">Zee News,</w:t>
      </w:r>
      <w:r>
        <w:t xml:space="preserve"> </w:t>
      </w:r>
      <w:r>
        <w:t xml:space="preserve">“</w:t>
      </w:r>
      <w:r>
        <w:t xml:space="preserve">Flexible health insurance surges by 300% in last 5 years in India: report</w:t>
      </w:r>
      <w:r>
        <w:t xml:space="preserve">”</w:t>
      </w:r>
      <w:r>
        <w:t xml:space="preserve"> </w:t>
      </w:r>
      <w:r>
        <w:t xml:space="preserve">(Mercer Marsh Benefits), 11 Mar 2025. https://zeenews.india.com/personal-finance/flexible-health-insurance-surges-by-300-in-last-5-years-in-india-report-2870732.html</w:t>
      </w:r>
    </w:p>
    <w:p>
      <w:pPr>
        <w:pStyle w:val="FirstParagraph"/>
        <w:keepNext/>
        <w:spacing w:line="276" w:lineRule="auto"/>
        <w:jc w:val="left"/>
      </w:pPr>
      <w:r>
        <w:rPr>
          <w:b/>
          <w:bCs/>
        </w:rPr>
        <w:t xml:space="preserve">Competitors and global analogs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Indian Startup News,</w:t>
      </w:r>
      <w:r>
        <w:t xml:space="preserve"> </w:t>
      </w:r>
      <w:r>
        <w:t xml:space="preserve">“</w:t>
      </w:r>
      <w:r>
        <w:t xml:space="preserve">Insurtech startup Plum raises Rs 193 crore to scale AI-driven claims and employee benefits</w:t>
      </w:r>
      <w:r>
        <w:t xml:space="preserve">”</w:t>
      </w:r>
      <w:r>
        <w:t xml:space="preserve">, 26 Mar 2026. https://indianstartupnews.com/funding/insurtech-startup-plum-raises-rs-193-crore-to-scale-ai-driven-claims-and-employee-benefits-11265409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ANI,</w:t>
      </w:r>
      <w:r>
        <w:t xml:space="preserve"> </w:t>
      </w:r>
      <w:r>
        <w:t xml:space="preserve">“</w:t>
      </w:r>
      <w:r>
        <w:t xml:space="preserve">Loop Health hits 1 million lives as employers bet on prevention-led healthcare</w:t>
      </w:r>
      <w:r>
        <w:t xml:space="preserve">”</w:t>
      </w:r>
      <w:r>
        <w:t xml:space="preserve">, 12 Jan 2026. https://www.aninews.in/news/business/loop-health-hits-1-million-lives-as-employers-bet-on-prevention-led-healthcare20260112165407/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Onsurity website. https://www.onsurity.com/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Pazcare,</w:t>
      </w:r>
      <w:r>
        <w:t xml:space="preserve"> </w:t>
      </w:r>
      <w:r>
        <w:t xml:space="preserve">“</w:t>
      </w:r>
      <w:r>
        <w:t xml:space="preserve">Product updates: simplifying group health insurance at scale</w:t>
      </w:r>
      <w:r>
        <w:t xml:space="preserve">”</w:t>
      </w:r>
      <w:r>
        <w:t xml:space="preserve"> </w:t>
      </w:r>
      <w:r>
        <w:t xml:space="preserve">(Claims IQ), 8 Jun 2026. https://www.pazcare.com/blog/product-updates-simplifying-group-health-insurance-at-scale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Bharatsure website. https://bharatsure.com/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Turtlefin website. https://www.turtlefin.com/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Business Standard,</w:t>
      </w:r>
      <w:r>
        <w:t xml:space="preserve"> </w:t>
      </w:r>
      <w:r>
        <w:t xml:space="preserve">“</w:t>
      </w:r>
      <w:r>
        <w:t xml:space="preserve">Policybazaar for Business introduces ClaimSetu</w:t>
      </w:r>
      <w:r>
        <w:t xml:space="preserve">”</w:t>
      </w:r>
      <w:r>
        <w:t xml:space="preserve">, 1 Aug 2025. https://www.business-standard.com/content/press-releases-ani/policybazaar-for-business-introduces-claimsetu-india-s-first-ai-led-claims-insights-scoring-engine-for-group-health-insurance-claims-125080101370_1.html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Indian Pharma Post,</w:t>
      </w:r>
      <w:r>
        <w:t xml:space="preserve"> </w:t>
      </w:r>
      <w:r>
        <w:t xml:space="preserve">“</w:t>
      </w:r>
      <w:r>
        <w:t xml:space="preserve">Medi Assist unveils AI-powered platforms to accelerate cashless health insurance claims</w:t>
      </w:r>
      <w:r>
        <w:t xml:space="preserve">”</w:t>
      </w:r>
      <w:r>
        <w:t xml:space="preserve">, 5 Aug 2026. https://www.indianpharmapost.com/healthcare/medi-assist-unveils-ai-powered-platforms-to-accelerate-cashless-health-insurance-claims-21252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MediaBrief,</w:t>
      </w:r>
      <w:r>
        <w:t xml:space="preserve"> </w:t>
      </w:r>
      <w:r>
        <w:t xml:space="preserve">“</w:t>
      </w:r>
      <w:r>
        <w:t xml:space="preserve">Prudent Insurance Brokers Annual Benefits Scorecard 2025-26</w:t>
      </w:r>
      <w:r>
        <w:t xml:space="preserve">”</w:t>
      </w:r>
      <w:r>
        <w:t xml:space="preserve">, 1 Nov 2025. https://mediabrief.com/prudent-insurance-brokers-annual-benefits-scorecard-2025-26/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IndiaMedToday,</w:t>
      </w:r>
      <w:r>
        <w:t xml:space="preserve"> </w:t>
      </w:r>
      <w:r>
        <w:t xml:space="preserve">“</w:t>
      </w:r>
      <w:r>
        <w:t xml:space="preserve">Mercer Marsh Benefits releases 2026 Health Trends report</w:t>
      </w:r>
      <w:r>
        <w:t xml:space="preserve">”</w:t>
      </w:r>
      <w:r>
        <w:t xml:space="preserve">, 1 Dec 2025. https://indiamedtoday.com/mercer-marsh-benefits-releases-2026-health-trends-report/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Employee Navigator, About page. https://www.employeenavigator.com/about/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Yahoo Finance,</w:t>
      </w:r>
      <w:r>
        <w:t xml:space="preserve"> </w:t>
      </w:r>
      <w:r>
        <w:t xml:space="preserve">“</w:t>
      </w:r>
      <w:r>
        <w:t xml:space="preserve">Zywave introduces exclusive end-to-end quoting and proposal solution</w:t>
      </w:r>
      <w:r>
        <w:t xml:space="preserve">”</w:t>
      </w:r>
      <w:r>
        <w:t xml:space="preserve">, 22 Jul 2020; Zywave Decision Master Warehouse page. https://www.zywave.com/employee-benefits/dmw-pa/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Quandri,</w:t>
      </w:r>
      <w:r>
        <w:t xml:space="preserve"> </w:t>
      </w:r>
      <w:r>
        <w:t xml:space="preserve">“</w:t>
      </w:r>
      <w:r>
        <w:t xml:space="preserve">Mackay Insurance cut renewal review time</w:t>
      </w:r>
      <w:r>
        <w:t xml:space="preserve">”</w:t>
      </w:r>
      <w:r>
        <w:t xml:space="preserve"> </w:t>
      </w:r>
      <w:r>
        <w:t xml:space="preserve">(vendor case study). https://www.quandri.io/us/customer-story/mackay-insurance-cut-renewal-review-time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Insurance Journal, Applied acquires Cytora, 9 Sep 2025. https://www.insurancejournal.com/news/national/2025/09/09/838445.htm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McKinsey &amp; Company,</w:t>
      </w:r>
      <w:r>
        <w:t xml:space="preserve"> </w:t>
      </w:r>
      <w:r>
        <w:t xml:space="preserve">“</w:t>
      </w:r>
      <w:r>
        <w:t xml:space="preserve">How AI will reshape the economics of insurance: a CEO’s guide to strategy</w:t>
      </w:r>
      <w:r>
        <w:t xml:space="preserve">”</w:t>
      </w:r>
      <w:r>
        <w:t xml:space="preserve">, 23 Jul 2026. https://www.mckinsey.com/industries/financial-services/our-insights/how-ai-will-reshape-the-economics-of-insurance-a-ceos-guide-to-strategy</w:t>
      </w:r>
    </w:p>
    <w:p>
      <w:pPr>
        <w:pStyle w:val="Compact"/>
        <w:numPr>
          <w:ilvl w:val="0"/>
          <w:numId w:val="1031"/>
        </w:numPr>
        <w:spacing w:after="60" w:line="276" w:lineRule="auto"/>
        <w:jc w:val="left"/>
      </w:pPr>
      <w:r>
        <w:t xml:space="preserve">BCG,</w:t>
      </w:r>
      <w:r>
        <w:t xml:space="preserve"> </w:t>
      </w:r>
      <w:r>
        <w:t xml:space="preserve">“</w:t>
      </w:r>
      <w:r>
        <w:t xml:space="preserve">Insurance leads AI adoption: now it’s time to scale</w:t>
      </w:r>
      <w:r>
        <w:t xml:space="preserve">”</w:t>
      </w:r>
      <w:r>
        <w:t xml:space="preserve">, 2025. https://www.bcg.com/publications/2025/insurance-leads-ai-adoption-now-time-to-scale</w:t>
      </w:r>
    </w:p>
    <w:p>
      <w:pPr>
        <w:pStyle w:val="FirstParagraph"/>
        <w:keepNext/>
        <w:spacing w:line="276" w:lineRule="auto"/>
        <w:jc w:val="left"/>
      </w:pPr>
      <w:r>
        <w:rPr>
          <w:b/>
          <w:bCs/>
        </w:rPr>
        <w:t xml:space="preserve">Regulation and policy</w:t>
      </w:r>
    </w:p>
    <w:p>
      <w:pPr>
        <w:pStyle w:val="Compact"/>
        <w:numPr>
          <w:ilvl w:val="0"/>
          <w:numId w:val="1032"/>
        </w:numPr>
        <w:spacing w:after="60" w:line="276" w:lineRule="auto"/>
        <w:jc w:val="left"/>
      </w:pPr>
      <w:r>
        <w:t xml:space="preserve">NewsBytes,</w:t>
      </w:r>
      <w:r>
        <w:t xml:space="preserve"> </w:t>
      </w:r>
      <w:r>
        <w:t xml:space="preserve">“</w:t>
      </w:r>
      <w:r>
        <w:t xml:space="preserve">IRDAI’s digital insurance marketplace Bima Sugam to go live soon</w:t>
      </w:r>
      <w:r>
        <w:t xml:space="preserve">”</w:t>
      </w:r>
      <w:r>
        <w:t xml:space="preserve">, 27 Sep 2026. https://www.newsbytesapp.com/news/business/irdai-s-digital-insurance-marketplace-bima-sugam-to-go-live-soon/story</w:t>
      </w:r>
    </w:p>
    <w:p>
      <w:pPr>
        <w:pStyle w:val="Compact"/>
        <w:numPr>
          <w:ilvl w:val="0"/>
          <w:numId w:val="1032"/>
        </w:numPr>
        <w:spacing w:after="60" w:line="276" w:lineRule="auto"/>
        <w:jc w:val="left"/>
      </w:pPr>
      <w:r>
        <w:t xml:space="preserve">Press Information Bureau, Digital Personal Data Protection Rules 2025, Nov 2025. https://static.pib.gov.in/WriteReadData/specificdocs/documents/2025/nov/doc20251117695301.pdf</w:t>
      </w:r>
    </w:p>
    <w:p>
      <w:pPr>
        <w:pStyle w:val="Compact"/>
        <w:numPr>
          <w:ilvl w:val="0"/>
          <w:numId w:val="1032"/>
        </w:numPr>
        <w:spacing w:after="60" w:line="276" w:lineRule="auto"/>
        <w:jc w:val="left"/>
      </w:pPr>
      <w:r>
        <w:t xml:space="preserve">Shardul Amarchand Mangaldas,</w:t>
      </w:r>
      <w:r>
        <w:t xml:space="preserve"> </w:t>
      </w:r>
      <w:r>
        <w:t xml:space="preserve">“</w:t>
      </w:r>
      <w:r>
        <w:t xml:space="preserve">Enforcement of the DPDP Act and notification of the DPDP Rules</w:t>
      </w:r>
      <w:r>
        <w:t xml:space="preserve">”</w:t>
      </w:r>
      <w:r>
        <w:t xml:space="preserve">, 21 Nov 2025. https://www.amsshardul.com/insight/enforcement-of-the-dpdp-act-and-notification-of-the-dpdp-rules/</w:t>
      </w:r>
    </w:p>
    <w:p>
      <w:pPr>
        <w:pStyle w:val="Compact"/>
        <w:numPr>
          <w:ilvl w:val="0"/>
          <w:numId w:val="1032"/>
        </w:numPr>
        <w:spacing w:after="60" w:line="276" w:lineRule="auto"/>
        <w:jc w:val="left"/>
      </w:pPr>
      <w:r>
        <w:t xml:space="preserve">Chambers and Partners, Insurance &amp; Reinsurance 2026: India, Trends and Developments, 22 Jan 2026. https://practiceguides.chambers.com/practice-guides/insurance-reinsurance-2026/india/trends-and-developments</w:t>
      </w:r>
    </w:p>
    <w:p>
      <w:pPr>
        <w:pStyle w:val="Compact"/>
        <w:numPr>
          <w:ilvl w:val="0"/>
          <w:numId w:val="1032"/>
        </w:numPr>
        <w:spacing w:after="60" w:line="276" w:lineRule="auto"/>
        <w:jc w:val="left"/>
      </w:pPr>
      <w:r>
        <w:t xml:space="preserve">PwC India,</w:t>
      </w:r>
      <w:r>
        <w:t xml:space="preserve"> </w:t>
      </w:r>
      <w:r>
        <w:t xml:space="preserve">“</w:t>
      </w:r>
      <w:r>
        <w:t xml:space="preserve">IRDAI streamlines regulatory framework for insurers and insurance intermediaries</w:t>
      </w:r>
      <w:r>
        <w:t xml:space="preserve">”</w:t>
      </w:r>
      <w:r>
        <w:t xml:space="preserve">, 30 Jul 2026. https://www.pwc.in/research-insights/news_alert/regulatory-insights/irdai-streamlines-regulatory-framework-for-insurers-and-insurance-intermediaries.html</w:t>
      </w:r>
    </w:p>
    <w:p>
      <w:pPr>
        <w:pStyle w:val="Compact"/>
        <w:numPr>
          <w:ilvl w:val="0"/>
          <w:numId w:val="1032"/>
        </w:numPr>
        <w:spacing w:after="60" w:line="276" w:lineRule="auto"/>
        <w:jc w:val="left"/>
      </w:pPr>
      <w:r>
        <w:t xml:space="preserve">Business Standard,</w:t>
      </w:r>
      <w:r>
        <w:t xml:space="preserve"> </w:t>
      </w:r>
      <w:r>
        <w:t xml:space="preserve">“</w:t>
      </w:r>
      <w:r>
        <w:t xml:space="preserve">IRDAI sets up working group to guide AI adoption in insurance sector</w:t>
      </w:r>
      <w:r>
        <w:t xml:space="preserve">”</w:t>
      </w:r>
      <w:r>
        <w:t xml:space="preserve">, 18 Jun 2026. https://www.business-standard.com/finance/insurance/irdai-sets-up-working-group-to-guide-ai-adoption-in-insurance-sector-126061801084_1.html</w:t>
      </w:r>
    </w:p>
    <w:p>
      <w:pPr>
        <w:pStyle w:val="Compact"/>
        <w:numPr>
          <w:ilvl w:val="0"/>
          <w:numId w:val="1032"/>
        </w:numPr>
        <w:spacing w:after="60" w:line="276" w:lineRule="auto"/>
        <w:jc w:val="left"/>
      </w:pPr>
      <w:r>
        <w:t xml:space="preserve">CERT-In, Directions under Section 70B(6) of the IT Act, 28 Apr 2022. https://www.cert-in.org.in/PDF/CERT-In_Directions_70B_28.04.2022.pdf</w:t>
      </w:r>
    </w:p>
    <w:p>
      <w:pPr>
        <w:pStyle w:val="Compact"/>
        <w:numPr>
          <w:ilvl w:val="0"/>
          <w:numId w:val="1032"/>
        </w:numPr>
        <w:spacing w:after="60" w:line="276" w:lineRule="auto"/>
        <w:jc w:val="left"/>
      </w:pPr>
      <w:r>
        <w:t xml:space="preserve">NYVO,</w:t>
      </w:r>
      <w:r>
        <w:t xml:space="preserve"> </w:t>
      </w:r>
      <w:r>
        <w:t xml:space="preserve">“</w:t>
      </w:r>
      <w:r>
        <w:t xml:space="preserve">IRDAI Master Circular on Health Insurance 2024</w:t>
      </w:r>
      <w:r>
        <w:t xml:space="preserve">”</w:t>
      </w:r>
      <w:r>
        <w:t xml:space="preserve"> </w:t>
      </w:r>
      <w:r>
        <w:t xml:space="preserve">(summary). https://nyvo.in/health-insurance/irdai-master-circular-2024</w:t>
      </w:r>
    </w:p>
    <w:p>
      <w:pPr>
        <w:pStyle w:val="FirstParagraph"/>
        <w:keepNext/>
        <w:spacing w:line="276" w:lineRule="auto"/>
        <w:jc w:val="left"/>
      </w:pPr>
      <w:r>
        <w:rPr>
          <w:b/>
          <w:bCs/>
        </w:rPr>
        <w:t xml:space="preserve">Other</w:t>
      </w:r>
    </w:p>
    <w:p>
      <w:pPr>
        <w:pStyle w:val="Compact"/>
        <w:numPr>
          <w:ilvl w:val="0"/>
          <w:numId w:val="1033"/>
        </w:numPr>
        <w:spacing w:after="60" w:line="276" w:lineRule="auto"/>
        <w:jc w:val="left"/>
      </w:pPr>
      <w:r>
        <w:t xml:space="preserve">Tracxn, InsurTech startups in India (717 tracked companies), Aug 2026. https://tracxn.com/</w:t>
      </w:r>
    </w:p>
    <w:p>
      <w:pPr>
        <w:pStyle w:val="Compact"/>
        <w:numPr>
          <w:ilvl w:val="0"/>
          <w:numId w:val="1033"/>
        </w:numPr>
        <w:spacing w:after="60" w:line="276" w:lineRule="auto"/>
        <w:jc w:val="left"/>
      </w:pPr>
      <w:r>
        <w:t xml:space="preserve">Pacific Prime,</w:t>
      </w:r>
      <w:r>
        <w:t xml:space="preserve"> </w:t>
      </w:r>
      <w:r>
        <w:t xml:space="preserve">“</w:t>
      </w:r>
      <w:r>
        <w:t xml:space="preserve">The complete guide to flexible benefits</w:t>
      </w:r>
      <w:r>
        <w:t xml:space="preserve">”</w:t>
      </w:r>
      <w:r>
        <w:t xml:space="preserve">. https://www.pacificprime.com/blog/the-complete-guide-to-flexible-benefits.html</w:t>
      </w:r>
    </w:p>
    <w:p>
      <w:pPr>
        <w:pStyle w:val="Compact"/>
        <w:numPr>
          <w:ilvl w:val="0"/>
          <w:numId w:val="1033"/>
        </w:numPr>
        <w:spacing w:after="60" w:line="276" w:lineRule="auto"/>
        <w:jc w:val="left"/>
      </w:pPr>
      <w:r>
        <w:t xml:space="preserve">Aon, Employee Sentiment Study 2025, via Aon APAC insights blog on flexible benefits. https://www.aon.com/apac/insights/</w:t>
      </w:r>
    </w:p>
    <w:p>
      <w:pPr>
        <w:pStyle w:val="Compact"/>
        <w:numPr>
          <w:ilvl w:val="0"/>
          <w:numId w:val="1033"/>
        </w:numPr>
        <w:spacing w:after="60" w:line="276" w:lineRule="auto"/>
        <w:jc w:val="left"/>
      </w:pPr>
      <w:r>
        <w:t xml:space="preserve">Business Standard,</w:t>
      </w:r>
      <w:r>
        <w:t xml:space="preserve"> </w:t>
      </w:r>
      <w:r>
        <w:t xml:space="preserve">“</w:t>
      </w:r>
      <w:r>
        <w:t xml:space="preserve">Insurance for All 2047: IRDAI roadmap and the penetration gap</w:t>
      </w:r>
      <w:r>
        <w:t xml:space="preserve">”</w:t>
      </w:r>
      <w:r>
        <w:t xml:space="preserve">, 28 Apr 2026. https://www.business-standard.com/economy/analysis/insurance-for-all-2047-india-irda-roadmap-penetration-gap-126042800528_1.html</w:t>
      </w:r>
    </w:p>
    <w:p>
      <w:pPr>
        <w:pStyle w:val="Compact"/>
        <w:numPr>
          <w:ilvl w:val="0"/>
          <w:numId w:val="1033"/>
        </w:numPr>
        <w:spacing w:after="60" w:line="276" w:lineRule="auto"/>
        <w:jc w:val="left"/>
      </w:pPr>
      <w:r>
        <w:t xml:space="preserve">Plum (Plum Benefits Insurance Brokers Pvt Ltd, IRDAI Reg. 897) and Pazcare (Get Paz Insurance Brokers Pvt Ltd, Cert. 780), website footers. https://www.plumhq.com/ · https://www.pazcare.com/</w:t>
      </w:r>
    </w:p>
    <w:p>
      <w:pPr>
        <w:pStyle w:val="Compact"/>
        <w:numPr>
          <w:ilvl w:val="0"/>
          <w:numId w:val="1033"/>
        </w:numPr>
        <w:spacing w:after="60" w:line="276" w:lineRule="auto"/>
        <w:jc w:val="left"/>
      </w:pPr>
      <w:r>
        <w:t xml:space="preserve">Pramod Pandey, LinkedIn announcement on founding NivoTime. https://www.linkedin.com/posts/pramod-pandey-92b24014_im-happy-to-share-that-im-starting-new-activity-7062725162399391744-DIYn</w:t>
      </w:r>
    </w:p>
    <w:p>
      <w:pPr>
        <w:pStyle w:val="Compact"/>
        <w:numPr>
          <w:ilvl w:val="0"/>
          <w:numId w:val="1033"/>
        </w:numPr>
        <w:spacing w:after="60" w:line="276" w:lineRule="auto"/>
        <w:jc w:val="left"/>
      </w:pPr>
      <w:r>
        <w:t xml:space="preserve">LinkedIn post announcing ZOYAME (NivoTime venture in Dubai, UAE and GCC), via NivoTime team profiles. https://www.linkedin.com/in/kiran-kale-a55380112/</w:t>
      </w:r>
    </w:p>
    <w:p>
      <w:pPr>
        <w:pStyle w:val="Compact"/>
        <w:numPr>
          <w:ilvl w:val="0"/>
          <w:numId w:val="1033"/>
        </w:numPr>
        <w:spacing w:after="60" w:line="276" w:lineRule="auto"/>
        <w:jc w:val="left"/>
      </w:pPr>
      <w:r>
        <w:t xml:space="preserve">IA Magazine,</w:t>
      </w:r>
      <w:r>
        <w:t xml:space="preserve"> </w:t>
      </w:r>
      <w:r>
        <w:t xml:space="preserve">“</w:t>
      </w:r>
      <w:r>
        <w:t xml:space="preserve">Vertafore unveils commercial quoting solution for independent insurance agents</w:t>
      </w:r>
      <w:r>
        <w:t xml:space="preserve">”</w:t>
      </w:r>
      <w:r>
        <w:t xml:space="preserve">, 31 Mar 2022. https://www.iamagazine.com/news/vertafore-unveils-commercial-quoting-solution-for-independent-insurance-agents/</w:t>
      </w:r>
    </w:p>
    <w:p>
      <w:pPr>
        <w:pStyle w:val="Compact"/>
        <w:numPr>
          <w:ilvl w:val="0"/>
          <w:numId w:val="1033"/>
        </w:numPr>
        <w:spacing w:after="60" w:line="276" w:lineRule="auto"/>
        <w:jc w:val="left"/>
      </w:pPr>
      <w:r>
        <w:t xml:space="preserve">Aon, Employee benefits benchmarking. https://www.aon.com/en/capabilities/health-and-benefits/employee-benefits-benchmarking</w:t>
      </w:r>
    </w:p>
    <w:sectPr>
      <w:headerReference w:type="default" r:id="rId9"/>
      <w:footerReference w:type="default" r:id="rId10"/>
      <w:pgSz w:w="11906" w:h="16838"/>
      <w:pgMar w:left="1440" w:right="1440" w:top="1512" w:bottom="1368" w:header="648" w:footer="576" w:gutter="0"/>
      <w:pgBorders w:offsetFrom="page">
        <w:top w:val="thinThickSmallGap" w:sz="18" w:space="24" w:color="3B3A73"/>
        <w:left w:val="thinThickSmallGap" w:sz="18" w:space="24" w:color="3B3A73"/>
        <w:bottom w:val="thinThickSmallGap" w:sz="18" w:space="24" w:color="3B3A73"/>
        <w:right w:val="thinThickSmallGap" w:sz="18" w:space="24" w:color="3B3A73"/>
      </w:pgBorders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/>
    <w:r>
      <w:rPr>
        <w:rFonts w:ascii="Times New Roman" w:hAnsi="Times New Roman"/>
        <w:color w:val="4A4D5E"/>
        <w:sz w:val="17"/>
      </w:rPr>
      <w:t>NivoTime Pvt. Ltd.  ·  WeSchool PGDM (E-Business) 2025–27</w:t>
    </w:r>
    <w:r>
      <w:rPr>
        <w:rFonts w:ascii="Times New Roman" w:hAnsi="Times New Roman"/>
        <w:b/>
        <w:color w:val="3B3A73"/>
        <w:sz w:val="18"/>
      </w:rPr>
      <w:tab/>
      <w:t xml:space="preserve">Page </w:t>
    </w:r>
    <w:r>
      <w:rPr>
        <w:rFonts w:ascii="Times New Roman" w:hAnsi="Times New Roman"/>
        <w:b/>
        <w:color w:val="3B3A73"/>
        <w:sz w:val="18"/>
      </w:rPr>
      <w:fldChar w:fldCharType="begin"/>
    </w:r>
    <w:r>
      <w:rPr>
        <w:rFonts w:ascii="Times New Roman" w:hAnsi="Times New Roman"/>
        <w:b/>
        <w:color w:val="3B3A73"/>
        <w:sz w:val="18"/>
      </w:rPr>
      <w:instrText xml:space="preserve"> PAGE </w:instrText>
    </w:r>
    <w:r>
      <w:rPr>
        <w:rFonts w:ascii="Times New Roman" w:hAnsi="Times New Roman"/>
        <w:b/>
        <w:color w:val="3B3A73"/>
        <w:sz w:val="18"/>
      </w:rPr>
      <w:fldChar w:fldCharType="separate"/>
    </w:r>
    <w:r>
      <w:rPr>
        <w:rFonts w:ascii="Times New Roman" w:hAnsi="Times New Roman"/>
        <w:b/>
        <w:color w:val="3B3A73"/>
        <w:sz w:val="18"/>
      </w:rPr>
      <w:t>1</w:t>
    </w:r>
    <w:r>
      <w:rPr>
        <w:rFonts w:ascii="Times New Roman" w:hAnsi="Times New Roman"/>
        <w:b/>
        <w:color w:val="3B3A73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87B549"/>
      </w:pBdr>
      <w:tabs>
        <w:tab w:pos="9029" w:val="right"/>
      </w:tabs>
    </w:pPr>
    <w:r/>
    <w:r>
      <w:drawing>
        <wp:inline xmlns:a="http://schemas.openxmlformats.org/drawingml/2006/main" xmlns:pic="http://schemas.openxmlformats.org/drawingml/2006/picture">
          <wp:extent cx="8240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ne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4080" cy="27432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/>
        <w:i/>
        <w:color w:val="4A4D5E"/>
        <w:sz w:val="18"/>
      </w:rPr>
      <w:tab/>
      <w:t>Benefits Intelligence Strategy  |  Live Company Project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480"/>
      </w:pPr>
    </w:lvl>
    <w:lvl w:ilvl="1">
      <w:start w:val="38"/>
      <w:numFmt w:val="decimal"/>
      <w:lvlText w:val="%2."/>
      <w:lvlJc w:val="left"/>
      <w:pPr>
        <w:ind w:left="1440" w:hanging="480"/>
      </w:pPr>
    </w:lvl>
    <w:lvl w:ilvl="2">
      <w:start w:val="38"/>
      <w:numFmt w:val="decimal"/>
      <w:lvlText w:val="%3."/>
      <w:lvlJc w:val="left"/>
      <w:pPr>
        <w:ind w:left="2160" w:hanging="480"/>
      </w:pPr>
    </w:lvl>
    <w:lvl w:ilvl="3">
      <w:start w:val="38"/>
      <w:numFmt w:val="decimal"/>
      <w:lvlText w:val="%4."/>
      <w:lvlJc w:val="left"/>
      <w:pPr>
        <w:ind w:left="2880" w:hanging="480"/>
      </w:pPr>
    </w:lvl>
    <w:lvl w:ilvl="4">
      <w:start w:val="38"/>
      <w:numFmt w:val="decimal"/>
      <w:lvlText w:val="%5."/>
      <w:lvlJc w:val="left"/>
      <w:pPr>
        <w:ind w:left="3600" w:hanging="480"/>
      </w:pPr>
    </w:lvl>
    <w:lvl w:ilvl="5">
      <w:start w:val="38"/>
      <w:numFmt w:val="decimal"/>
      <w:lvlText w:val="%6."/>
      <w:lvlJc w:val="left"/>
      <w:pPr>
        <w:ind w:left="4320" w:hanging="480"/>
      </w:pPr>
    </w:lvl>
    <w:lvl w:ilvl="6">
      <w:start w:val="38"/>
      <w:numFmt w:val="decimal"/>
      <w:lvlText w:val="%7."/>
      <w:lvlJc w:val="left"/>
      <w:pPr>
        <w:ind w:left="5040" w:hanging="480"/>
      </w:pPr>
    </w:lvl>
    <w:lvl w:ilvl="7">
      <w:start w:val="38"/>
      <w:numFmt w:val="decimal"/>
      <w:lvlText w:val="%8."/>
      <w:lvlJc w:val="left"/>
      <w:pPr>
        <w:ind w:left="5760" w:hanging="480"/>
      </w:pPr>
    </w:lvl>
    <w:lvl w:ilvl="8">
      <w:start w:val="3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2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33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60" w:before="0" w:line="360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0" w:line="276" w:lineRule="auto"/>
      <w:jc w:val="left"/>
      <w:outlineLvl w:val="0"/>
    </w:pPr>
    <w:rPr>
      <w:rFonts w:ascii="Times New Roman" w:cs="Times New Roman" w:eastAsia="Times New Roman" w:hAnsi="Times New Roman"/>
      <w:b/>
      <w:bCs/>
      <w:i w:val="0"/>
      <w:color w:val="3B3A73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 w:line="276" w:lineRule="auto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3B3A73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5E8A2E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87B549" w:space="10" w:sz="24" w:val="single"/>
      </w:pBdr>
      <w:shd w:color="auto" w:fill="F3F7EC" w:val="clear"/>
      <w:spacing w:after="160" w:before="120" w:line="312" w:lineRule="auto"/>
      <w:ind w:firstLine="0" w:left="504" w:right="432"/>
    </w:pPr>
    <w:rPr>
      <w:rFonts w:ascii="Times New Roman" w:cs="Times New Roman" w:eastAsia="Times New Roman" w:hAnsi="Times New Roman"/>
      <w:i w:val="0"/>
      <w:color w:val="3B3A73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0" w:line="240" w:lineRule="auto"/>
      <w:jc w:val="center"/>
    </w:pPr>
    <w:rPr>
      <w:rFonts w:ascii="Times New Roman" w:cs="Times New Roman" w:eastAsia="Times New Roman" w:hAnsi="Times New Roman"/>
      <w:i/>
      <w:color w:val="4A4D5E"/>
      <w:sz w:val="20"/>
    </w:rPr>
  </w:style>
  <w:style w:customStyle="1" w:styleId="TableCaption" w:type="paragraph">
    <w:name w:val="Table Caption"/>
    <w:basedOn w:val="Caption"/>
    <w:pPr>
      <w:keepNext/>
      <w:spacing w:after="200" w:line="240" w:lineRule="auto"/>
      <w:jc w:val="center"/>
    </w:pPr>
    <w:rPr>
      <w:rFonts w:ascii="Times New Roman" w:cs="Times New Roman" w:eastAsia="Times New Roman" w:hAnsi="Times New Roman"/>
      <w:i/>
      <w:color w:val="4A4D5E"/>
      <w:sz w:val="20"/>
    </w:rPr>
  </w:style>
  <w:style w:customStyle="1" w:styleId="ImageCaption" w:type="paragraph">
    <w:name w:val="Image Caption"/>
    <w:basedOn w:val="Caption"/>
    <w:pPr>
      <w:spacing w:after="200" w:line="240" w:lineRule="auto"/>
      <w:jc w:val="center"/>
    </w:pPr>
    <w:rPr>
      <w:rFonts w:ascii="Times New Roman" w:cs="Times New Roman" w:eastAsia="Times New Roman" w:hAnsi="Times New Roman"/>
      <w:i/>
      <w:color w:val="4A4D5E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3" Type="http://schemas.openxmlformats.org/officeDocument/2006/relationships/image" Target="media/rId53.png"/><Relationship Id="rId38" Type="http://schemas.openxmlformats.org/officeDocument/2006/relationships/image" Target="media/rId38.png"/><Relationship Id="rId41" Type="http://schemas.openxmlformats.org/officeDocument/2006/relationships/image" Target="media/rId41.png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44" Type="http://schemas.openxmlformats.org/officeDocument/2006/relationships/image" Target="media/rId44.png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50" Type="http://schemas.openxmlformats.org/officeDocument/2006/relationships/image" Target="media/rId50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2026-09-28T04:37:33Z</dcterms:created>
  <dcterms:modified xsi:type="dcterms:W3CDTF">2026-09-28T04:37:33Z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