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EB6834"/>
          <w:sz w:val="28"/>
          <w:szCs w:val="28"/>
        </w:rPr>
        <w:t xml:space="preserve">Proposal</w:t>
      </w:r>
    </w:p>
    <w:p>
      <w:pPr>
        <w:spacing w:after="200"/>
      </w:pPr>
      <w:r>
        <w:rPr>
          <w:b/>
          <w:bCs/>
          <w:color w:val="1F3A5F"/>
          <w:sz w:val="52"/>
          <w:szCs w:val="52"/>
        </w:rPr>
        <w:t xml:space="preserve">Protecting the Chakan Plant 2 press line</w:t>
      </w:r>
    </w:p>
    <w:p>
      <w:pPr>
        <w:spacing w:after="600"/>
      </w:pPr>
      <w:r>
        <w:rPr>
          <w:color w:val="52514E"/>
          <w:sz w:val="28"/>
          <w:szCs w:val="28"/>
        </w:rPr>
        <w:t xml:space="preserve">A paid pilot, then scale: a business case built on Ranganath’s own numbers</w:t>
      </w:r>
    </w:p>
    <w:p>
      <w:pPr>
        <w:spacing w:after="90" w:line="264"/>
      </w:pPr>
      <w:r>
        <w:rPr>
          <w:b/>
          <w:bCs/>
        </w:rPr>
        <w:t xml:space="preserve">Prepared for: </w:t>
      </w:r>
      <w:r>
        <w:t xml:space="preserve">Kavita Rao, Chief Financial Officer · Suresh Kulkarni, Plant Head, Chakan Plant 2</w:t>
      </w:r>
    </w:p>
    <w:p>
      <w:pPr>
        <w:spacing w:after="90" w:line="264"/>
      </w:pPr>
      <w:r>
        <w:rPr>
          <w:b/>
          <w:bCs/>
        </w:rPr>
        <w:t xml:space="preserve">Copy: </w:t>
      </w:r>
      <w:r>
        <w:t xml:space="preserve">Prakash Iyer, VP Manufacturing Operations · Arvind Menon, CIO · Neha Joshi, Head of Procurement</w:t>
      </w:r>
    </w:p>
    <w:p>
      <w:pPr>
        <w:spacing w:after="90" w:line="264"/>
      </w:pPr>
      <w:r>
        <w:rPr>
          <w:b/>
          <w:bCs/>
        </w:rPr>
        <w:t xml:space="preserve">From: </w:t>
      </w:r>
      <w:r>
        <w:t xml:space="preserve">Strata Sense Technologies · Week 4, FY27 (April 2026)</w:t>
      </w:r>
    </w:p>
    <w:p>
      <w:pPr>
        <w:spacing w:before="1600"/>
      </w:pPr>
      <w:r>
        <w:rPr>
          <w:i/>
          <w:iCs/>
          <w:color w:val="52514E"/>
          <w:sz w:val="16"/>
          <w:szCs w:val="16"/>
        </w:rPr>
        <w:t xml:space="preserve">Strata Sense Technologies and Ranganath Precision Components are fictional; all data synthetic (MBA capstone).</w:t>
      </w:r>
    </w:p>
    <w:p>
      <w:r>
        <w:br w:type="page"/>
      </w:r>
    </w:p>
    <w:p>
      <w:pPr>
        <w:pStyle w:val="Heading1"/>
        <w:keepNext/>
        <w:spacing w:after="70" w:before="180"/>
      </w:pPr>
      <w:r>
        <w:t xml:space="preserve">Summary</w:t>
      </w:r>
    </w:p>
    <w:p>
      <w:pPr>
        <w:spacing w:after="90" w:line="264"/>
      </w:pPr>
      <w:r>
        <w:t xml:space="preserve">Three press failures cost Chakan Plant 2 between 36 and 60 hours each last year. One of them stopped an OEM customer’s line and cost ₹1.2 crore in penalties. None of the assets that failed is covered by today’s monitoring: handheld rounds are monthly, and the HelixAsset pilot sees only CNC spindles wired to Helix controls.</w:t>
      </w:r>
    </w:p>
    <w:p>
      <w:pPr>
        <w:spacing w:after="90" w:line="264"/>
      </w:pPr>
      <w:r>
        <w:rPr>
          <w:b/>
          <w:bCs/>
        </w:rPr>
        <w:t xml:space="preserve">We propose </w:t>
      </w:r>
      <w:r>
        <w:t xml:space="preserve">a four-month paid pilot on the press line (162 assets), then conversion to the "Better" scope (422 assets: presses, compressors and critical utilities). The pilot fee is credited in full on conversion. The contract stays inside the CFO’s own approval limit.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2000"/>
        <w:gridCol w:w="2006"/>
      </w:tblGrid>
      <w:tr>
        <w:trPr>
          <w:cantSplit/>
          <w:tblHeader/>
        </w:trPr>
        <w:tc>
          <w:tcPr>
            <w:tcW w:type="dxa" w:w="42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
            </w:r>
          </w:p>
        </w:tc>
        <w:tc>
          <w:tcPr>
            <w:tcW w:type="dxa" w:w="20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Conservative</w:t>
            </w:r>
          </w:p>
        </w:tc>
        <w:tc>
          <w:tcPr>
            <w:tcW w:type="dxa" w:w="20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Base</w:t>
            </w:r>
          </w:p>
        </w:tc>
        <w:tc>
          <w:tcPr>
            <w:tcW w:type="dxa" w:w="2006"/>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Upside</w:t>
            </w:r>
          </w:p>
        </w:tc>
      </w:tr>
      <w:tr>
        <w:trPr>
          <w:cantSplit/>
          <w:tblHeader w:val="false"/>
        </w:trPr>
        <w:tc>
          <w:tcPr>
            <w:tcW w:type="dxa" w:w="42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Annual value, Better scope (₹ cr)</w:t>
            </w:r>
          </w:p>
        </w:tc>
        <w:tc>
          <w:tcPr>
            <w:tcW w:type="dxa" w:w="2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1.30</w:t>
            </w:r>
          </w:p>
        </w:tc>
        <w:tc>
          <w:tcPr>
            <w:tcW w:type="dxa" w:w="2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3.99</w:t>
            </w:r>
          </w:p>
        </w:tc>
        <w:tc>
          <w:tcPr>
            <w:tcW w:type="dxa" w:w="20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7.48</w:t>
            </w:r>
          </w:p>
        </w:tc>
      </w:tr>
      <w:tr>
        <w:trPr>
          <w:cantSplit/>
          <w:tblHeader w:val="false"/>
        </w:trPr>
        <w:tc>
          <w:tcPr>
            <w:tcW w:type="dxa" w:w="42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Annual fee incl. hardware as a service (₹ cr)</w:t>
            </w:r>
          </w:p>
        </w:tc>
        <w:tc>
          <w:tcPr>
            <w:tcW w:type="dxa" w:w="2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0.78</w:t>
            </w:r>
          </w:p>
        </w:tc>
        <w:tc>
          <w:tcPr>
            <w:tcW w:type="dxa" w:w="2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0.78</w:t>
            </w:r>
          </w:p>
        </w:tc>
        <w:tc>
          <w:tcPr>
            <w:tcW w:type="dxa" w:w="20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0.78</w:t>
            </w:r>
          </w:p>
        </w:tc>
      </w:tr>
      <w:tr>
        <w:trPr>
          <w:cantSplit/>
          <w:tblHeader w:val="false"/>
        </w:trPr>
        <w:tc>
          <w:tcPr>
            <w:tcW w:type="dxa" w:w="42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Payback (months)</w:t>
            </w:r>
          </w:p>
        </w:tc>
        <w:tc>
          <w:tcPr>
            <w:tcW w:type="dxa" w:w="2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7.1</w:t>
            </w:r>
          </w:p>
        </w:tc>
        <w:tc>
          <w:tcPr>
            <w:tcW w:type="dxa" w:w="2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2.3</w:t>
            </w:r>
          </w:p>
        </w:tc>
        <w:tc>
          <w:tcPr>
            <w:tcW w:type="dxa" w:w="20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1.2</w:t>
            </w:r>
          </w:p>
        </w:tc>
      </w:tr>
    </w:tbl>
    <w:p>
      <w:pPr>
        <w:spacing w:after="100"/>
      </w:pPr>
      <w:r>
        <w:rPr>
          <w:i/>
          <w:iCs/>
          <w:color w:val="52514E"/>
          <w:sz w:val="15"/>
          <w:szCs w:val="15"/>
        </w:rPr>
        <w:t xml:space="preserve">Conservative case: no OEM penalties, no energy savings, the shortest outages Suresh reported, and one in three press failures caught early. It meets RPC’s 12-month payback rule.</w:t>
      </w:r>
    </w:p>
    <w:p>
      <w:pPr>
        <w:pStyle w:val="Heading1"/>
        <w:keepNext/>
        <w:spacing w:after="70" w:before="180"/>
      </w:pPr>
      <w:r>
        <w:t xml:space="preserve">What we heard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0"/>
        <w:gridCol w:w="2406"/>
      </w:tblGrid>
      <w:tr>
        <w:trPr>
          <w:cantSplit/>
          <w:tblHeader/>
        </w:trPr>
        <w:tc>
          <w:tcPr>
            <w:tcW w:type="dxa" w:w="78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What RPC told us</w:t>
            </w:r>
          </w:p>
        </w:tc>
        <w:tc>
          <w:tcPr>
            <w:tcW w:type="dxa" w:w="2406"/>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Who</w:t>
            </w:r>
          </w:p>
        </w:tc>
      </w:tr>
      <w:tr>
        <w:trPr>
          <w:cantSplit/>
          <w:tblHeader w:val="false"/>
        </w:trPr>
        <w:tc>
          <w:tcPr>
            <w:tcW w:type="dxa" w:w="78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3 major press failures in FY26, 36–60 hours each; November: 52 hours, OEM line stopped</w:t>
            </w:r>
          </w:p>
        </w:tc>
        <w:tc>
          <w:tcPr>
            <w:tcW w:type="dxa" w:w="24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Suresh Kulkarni</w:t>
            </w:r>
          </w:p>
        </w:tc>
      </w:tr>
      <w:tr>
        <w:trPr>
          <w:cantSplit/>
          <w:tblHeader w:val="false"/>
        </w:trPr>
        <w:tc>
          <w:tcPr>
            <w:tcW w:type="dxa" w:w="78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Press line loses ₹5.5 lakh of contribution per hour; machining ₹2.4 lakh</w:t>
            </w:r>
          </w:p>
        </w:tc>
        <w:tc>
          <w:tcPr>
            <w:tcW w:type="dxa" w:w="24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Kavita Rao</w:t>
            </w:r>
          </w:p>
        </w:tc>
      </w:tr>
      <w:tr>
        <w:trPr>
          <w:cantSplit/>
          <w:tblHeader w:val="false"/>
        </w:trPr>
        <w:tc>
          <w:tcPr>
            <w:tcW w:type="dxa" w:w="78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OEM penalty ₹8 lakh per hour of their line stoppage; ₹1.2 crore in November</w:t>
            </w:r>
          </w:p>
        </w:tc>
        <w:tc>
          <w:tcPr>
            <w:tcW w:type="dxa" w:w="24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Kavita Rao</w:t>
            </w:r>
          </w:p>
        </w:tc>
      </w:tr>
      <w:tr>
        <w:trPr>
          <w:cantSplit/>
          <w:tblHeader w:val="false"/>
        </w:trPr>
        <w:tc>
          <w:tcPr>
            <w:tcW w:type="dxa" w:w="78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MES downtime codes are unreliable (~40% "Other"); the press team keeps a paper log</w:t>
            </w:r>
          </w:p>
        </w:tc>
        <w:tc>
          <w:tcPr>
            <w:tcW w:type="dxa" w:w="24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Suresh / Kavita</w:t>
            </w:r>
          </w:p>
        </w:tc>
      </w:tr>
      <w:tr>
        <w:trPr>
          <w:cantSplit/>
          <w:tblHeader w:val="false"/>
        </w:trPr>
        <w:tc>
          <w:tcPr>
            <w:tcW w:type="dxa" w:w="78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Maintenance ₹6.5 crore a year, about 55% reactive; monthly handheld rounds on 400 assets</w:t>
            </w:r>
          </w:p>
        </w:tc>
        <w:tc>
          <w:tcPr>
            <w:tcW w:type="dxa" w:w="24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Suresh Kulkarni</w:t>
            </w:r>
          </w:p>
        </w:tc>
      </w:tr>
      <w:tr>
        <w:trPr>
          <w:cantSplit/>
          <w:tblHeader w:val="false"/>
        </w:trPr>
        <w:tc>
          <w:tcPr>
            <w:tcW w:type="dxa" w:w="78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HelixAsset pilot: CNC spindles only, free to Dec 2026 with a 3-year MES renewal</w:t>
            </w:r>
          </w:p>
        </w:tc>
        <w:tc>
          <w:tcPr>
            <w:tcW w:type="dxa" w:w="24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Suresh / Kavita</w:t>
            </w:r>
          </w:p>
        </w:tc>
      </w:tr>
      <w:tr>
        <w:trPr>
          <w:cantSplit/>
          <w:tblHeader w:val="false"/>
        </w:trPr>
        <w:tc>
          <w:tcPr>
            <w:tcW w:type="dxa" w:w="78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Security: edge buffering only, ISO 27001 + SOC 2 Type II, data in India, 8–10 week review</w:t>
            </w:r>
          </w:p>
        </w:tc>
        <w:tc>
          <w:tcPr>
            <w:tcW w:type="dxa" w:w="24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Kavita Rao</w:t>
            </w:r>
          </w:p>
        </w:tc>
      </w:tr>
      <w:tr>
        <w:trPr>
          <w:cantSplit/>
          <w:tblHeader w:val="false"/>
        </w:trPr>
        <w:tc>
          <w:tcPr>
            <w:tcW w:type="dxa" w:w="78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Payback under 12 months on conservative numbers; subscription preferred; open to fees at risk</w:t>
            </w:r>
          </w:p>
        </w:tc>
        <w:tc>
          <w:tcPr>
            <w:tcW w:type="dxa" w:w="24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Kavita Rao</w:t>
            </w:r>
          </w:p>
        </w:tc>
      </w:tr>
    </w:tbl>
    <w:p>
      <w:pPr>
        <w:pStyle w:val="Heading1"/>
        <w:keepNext/>
        <w:spacing w:after="70" w:before="180"/>
      </w:pPr>
      <w:r>
        <w:t xml:space="preserve">Why Strata, and what we will not claim</w:t>
      </w:r>
    </w:p>
    <w:p>
      <w:pPr>
        <w:pStyle w:val="ListParagraph"/>
        <w:numPr>
          <w:ilvl w:val="0"/>
          <w:numId w:val="2"/>
        </w:numPr>
        <w:spacing w:after="50" w:line="259"/>
      </w:pPr>
      <w:r>
        <w:rPr>
          <w:b/>
          <w:bCs/>
        </w:rPr>
        <w:t xml:space="preserve">Built for the assets that failed. </w:t>
      </w:r>
      <w:r>
        <w:t xml:space="preserve">Our sensors and models cover hydraulic, low-speed and reciprocating assets such as press pumps and compressors, including acoustic detection of leaks, which PLC tags and route-based rounds miss.</w:t>
      </w:r>
    </w:p>
    <w:p>
      <w:pPr>
        <w:pStyle w:val="ListParagraph"/>
        <w:numPr>
          <w:ilvl w:val="0"/>
          <w:numId w:val="2"/>
        </w:numPr>
        <w:spacing w:after="50" w:line="259"/>
      </w:pPr>
      <w:r>
        <w:rPr>
          <w:b/>
          <w:bCs/>
        </w:rPr>
        <w:t xml:space="preserve">Proof from similar plants. </w:t>
      </w:r>
      <w:r>
        <w:t xml:space="preserve">A two-plant Strata customer in discrete manufacturing uses 97% of the assets it licenses; an auto-components customer expanded its subscription by 37% last year. (References available under NDA.)</w:t>
      </w:r>
    </w:p>
    <w:p>
      <w:pPr>
        <w:pStyle w:val="ListParagraph"/>
        <w:numPr>
          <w:ilvl w:val="0"/>
          <w:numId w:val="2"/>
        </w:numPr>
        <w:spacing w:after="50" w:line="259"/>
      </w:pPr>
      <w:r>
        <w:rPr>
          <w:b/>
          <w:bCs/>
        </w:rPr>
        <w:t xml:space="preserve">Works alongside Helix. </w:t>
      </w:r>
      <w:r>
        <w:t xml:space="preserve">We do not ask RPC to remove the HelixAsset pilot. Spindle alerts stay with Helix; we cover what it cannot see.</w:t>
      </w:r>
    </w:p>
    <w:p>
      <w:pPr>
        <w:pStyle w:val="ListParagraph"/>
        <w:numPr>
          <w:ilvl w:val="0"/>
          <w:numId w:val="2"/>
        </w:numPr>
        <w:spacing w:after="50" w:line="259"/>
      </w:pPr>
      <w:r>
        <w:rPr>
          <w:b/>
          <w:bCs/>
        </w:rPr>
        <w:t xml:space="preserve">What we will not claim. </w:t>
      </w:r>
      <w:r>
        <w:t xml:space="preserve">We will not promise a detection rate before the pilot measures it, and we will not count OEM penalties or energy in the case RPC signs against.</w:t>
      </w:r>
    </w:p>
    <w:p>
      <w:r>
        <w:br w:type="page"/>
      </w:r>
    </w:p>
    <w:p>
      <w:pPr>
        <w:pStyle w:val="Heading1"/>
        <w:keepNext/>
        <w:spacing w:after="70" w:before="180"/>
      </w:pPr>
      <w:r>
        <w:t xml:space="preserve">Scope options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1500"/>
        <w:gridCol w:w="1500"/>
        <w:gridCol w:w="1306"/>
      </w:tblGrid>
      <w:tr>
        <w:trPr>
          <w:cantSplit/>
          <w:tblHeader/>
        </w:trPr>
        <w:tc>
          <w:tcPr>
            <w:tcW w:type="dxa" w:w="24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Option</w:t>
            </w:r>
          </w:p>
        </w:tc>
        <w:tc>
          <w:tcPr>
            <w:tcW w:type="dxa" w:w="20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Assets</w:t>
            </w:r>
          </w:p>
        </w:tc>
        <w:tc>
          <w:tcPr>
            <w:tcW w:type="dxa" w:w="15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Annual subscription (ARR)</w:t>
            </w:r>
          </w:p>
        </w:tc>
        <w:tc>
          <w:tcPr>
            <w:tcW w:type="dxa" w:w="15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One-off hardware &amp; set-up</w:t>
            </w:r>
          </w:p>
        </w:tc>
        <w:tc>
          <w:tcPr>
            <w:tcW w:type="dxa" w:w="15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Annual fee with hardware as a service</w:t>
            </w:r>
          </w:p>
        </w:tc>
        <w:tc>
          <w:tcPr>
            <w:tcW w:type="dxa" w:w="1306"/>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Conservative payback</w:t>
            </w:r>
          </w:p>
        </w:tc>
      </w:tr>
      <w:tr>
        <w:trPr>
          <w:cantSplit/>
          <w:tblHeader w:val="false"/>
        </w:trPr>
        <w:tc>
          <w:tcPr>
            <w:tcW w:type="dxa" w:w="24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Good: press line</w:t>
            </w:r>
          </w:p>
        </w:tc>
        <w:tc>
          <w:tcPr>
            <w:tcW w:type="dxa" w:w="2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162 (22 presses + 140 hydraulic pumps/motors)</w:t>
            </w:r>
          </w:p>
        </w:tc>
        <w:tc>
          <w:tcPr>
            <w:tcW w:type="dxa" w:w="15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₹0.20 cr</w:t>
            </w:r>
          </w:p>
        </w:tc>
        <w:tc>
          <w:tcPr>
            <w:tcW w:type="dxa" w:w="15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₹0.34 cr</w:t>
            </w:r>
          </w:p>
        </w:tc>
        <w:tc>
          <w:tcPr>
            <w:tcW w:type="dxa" w:w="15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₹0.34 cr</w:t>
            </w:r>
          </w:p>
        </w:tc>
        <w:tc>
          <w:tcPr>
            <w:tcW w:type="dxa" w:w="13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3.2 months</w:t>
            </w:r>
          </w:p>
        </w:tc>
      </w:tr>
      <w:tr>
        <w:trPr>
          <w:cantSplit/>
          <w:tblHeader w:val="false"/>
        </w:trPr>
        <w:tc>
          <w:tcPr>
            <w:tcW w:type="dxa" w:w="24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Better: + compressors &amp; critical utilities (recommended)</w:t>
            </w:r>
          </w:p>
        </w:tc>
        <w:tc>
          <w:tcPr>
            <w:tcW w:type="dxa" w:w="2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422</w:t>
            </w:r>
          </w:p>
        </w:tc>
        <w:tc>
          <w:tcPr>
            <w:tcW w:type="dxa" w:w="15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₹0.53 cr</w:t>
            </w:r>
          </w:p>
        </w:tc>
        <w:tc>
          <w:tcPr>
            <w:tcW w:type="dxa" w:w="15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₹0.64 cr</w:t>
            </w:r>
          </w:p>
        </w:tc>
        <w:tc>
          <w:tcPr>
            <w:tcW w:type="dxa" w:w="15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₹0.78 cr</w:t>
            </w:r>
          </w:p>
        </w:tc>
        <w:tc>
          <w:tcPr>
            <w:tcW w:type="dxa" w:w="13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7.1 months</w:t>
            </w:r>
          </w:p>
        </w:tc>
      </w:tr>
      <w:tr>
        <w:trPr>
          <w:cantSplit/>
          <w:tblHeader w:val="false"/>
        </w:trPr>
        <w:tc>
          <w:tcPr>
            <w:tcW w:type="dxa" w:w="24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Best: every non-spindle asset</w:t>
            </w:r>
          </w:p>
        </w:tc>
        <w:tc>
          <w:tcPr>
            <w:tcW w:type="dxa" w:w="2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670</w:t>
            </w:r>
          </w:p>
        </w:tc>
        <w:tc>
          <w:tcPr>
            <w:tcW w:type="dxa" w:w="15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₹0.84 cr</w:t>
            </w:r>
          </w:p>
        </w:tc>
        <w:tc>
          <w:tcPr>
            <w:tcW w:type="dxa" w:w="15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₹0.94 cr</w:t>
            </w:r>
          </w:p>
        </w:tc>
        <w:tc>
          <w:tcPr>
            <w:tcW w:type="dxa" w:w="15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₹1.20 cr</w:t>
            </w:r>
          </w:p>
        </w:tc>
        <w:tc>
          <w:tcPr>
            <w:tcW w:type="dxa" w:w="13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10.7 months</w:t>
            </w:r>
          </w:p>
        </w:tc>
      </w:tr>
    </w:tbl>
    <w:p>
      <w:pPr>
        <w:spacing w:after="90" w:line="264"/>
      </w:pPr>
      <w:r>
        <w:t xml:space="preserve">All options complement the HelixAsset pilot: the 480 CNC spindles stay with Helix and we can take its alerts into one view. We recommend Better because it covers the assets behind every failure RPC described, pays back inside the rule on conservative numbers, and keeps the annual fee (₹0.78 cr) inside the CFO’s own ₹1.5 cr limit.</w:t>
      </w:r>
    </w:p>
    <w:p>
      <w:pPr>
        <w:pStyle w:val="Heading1"/>
        <w:keepNext/>
        <w:spacing w:after="70" w:before="180"/>
      </w:pPr>
      <w:r>
        <w:t xml:space="preserve">The business case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000"/>
        <w:gridCol w:w="1000"/>
        <w:gridCol w:w="4306"/>
      </w:tblGrid>
      <w:tr>
        <w:trPr>
          <w:cantSplit/>
          <w:tblHeader/>
        </w:trPr>
        <w:tc>
          <w:tcPr>
            <w:tcW w:type="dxa" w:w="25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Driver (Better, ₹ cr a year)</w:t>
            </w:r>
          </w:p>
        </w:tc>
        <w:tc>
          <w:tcPr>
            <w:tcW w:type="dxa" w:w="14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Conservative</w:t>
            </w:r>
          </w:p>
        </w:tc>
        <w:tc>
          <w:tcPr>
            <w:tcW w:type="dxa" w:w="10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Base</w:t>
            </w:r>
          </w:p>
        </w:tc>
        <w:tc>
          <w:tcPr>
            <w:tcW w:type="dxa" w:w="10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Upside</w:t>
            </w:r>
          </w:p>
        </w:tc>
        <w:tc>
          <w:tcPr>
            <w:tcW w:type="dxa" w:w="4306"/>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Where the numbers come from</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Press downtime avoided</w:t>
            </w:r>
          </w:p>
        </w:tc>
        <w:tc>
          <w:tcPr>
            <w:tcW w:type="dxa" w:w="14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1.18</w:t>
            </w:r>
          </w:p>
        </w:tc>
        <w:tc>
          <w:tcPr>
            <w:tcW w:type="dxa" w:w="1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2.97</w:t>
            </w:r>
          </w:p>
        </w:tc>
        <w:tc>
          <w:tcPr>
            <w:tcW w:type="dxa" w:w="1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5.64</w:t>
            </w:r>
          </w:p>
        </w:tc>
        <w:tc>
          <w:tcPr>
            <w:tcW w:type="dxa" w:w="43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Failures, hours (Suresh); ₹5.5 lakh/h (Kavita); share caught early (pilot to prove)</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OEM penalties avoided</w:t>
            </w:r>
          </w:p>
        </w:tc>
        <w:tc>
          <w:tcPr>
            <w:tcW w:type="dxa" w:w="14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0.00</w:t>
            </w:r>
          </w:p>
        </w:tc>
        <w:tc>
          <w:tcPr>
            <w:tcW w:type="dxa" w:w="1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0.30</w:t>
            </w:r>
          </w:p>
        </w:tc>
        <w:tc>
          <w:tcPr>
            <w:tcW w:type="dxa" w:w="1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0.54</w:t>
            </w:r>
          </w:p>
        </w:tc>
        <w:tc>
          <w:tcPr>
            <w:tcW w:type="dxa" w:w="43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₹1.2 cr event (Kavita); conservative counts none</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Machining downtime from utility failures</w:t>
            </w:r>
          </w:p>
        </w:tc>
        <w:tc>
          <w:tcPr>
            <w:tcW w:type="dxa" w:w="14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0.00</w:t>
            </w:r>
          </w:p>
        </w:tc>
        <w:tc>
          <w:tcPr>
            <w:tcW w:type="dxa" w:w="1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0.48</w:t>
            </w:r>
          </w:p>
        </w:tc>
        <w:tc>
          <w:tcPr>
            <w:tcW w:type="dxa" w:w="1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0.96</w:t>
            </w:r>
          </w:p>
        </w:tc>
        <w:tc>
          <w:tcPr>
            <w:tcW w:type="dxa" w:w="43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₹2.4 lakh/h (Kavita); hours to confirm from paper logs</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Reactive maintenance saved</w:t>
            </w:r>
          </w:p>
        </w:tc>
        <w:tc>
          <w:tcPr>
            <w:tcW w:type="dxa" w:w="14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0.13</w:t>
            </w:r>
          </w:p>
        </w:tc>
        <w:tc>
          <w:tcPr>
            <w:tcW w:type="dxa" w:w="1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0.19</w:t>
            </w:r>
          </w:p>
        </w:tc>
        <w:tc>
          <w:tcPr>
            <w:tcW w:type="dxa" w:w="1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0.26</w:t>
            </w:r>
          </w:p>
        </w:tc>
        <w:tc>
          <w:tcPr>
            <w:tcW w:type="dxa" w:w="43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₹6.5 cr, 55% reactive (Suresh)</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Compressor energy</w:t>
            </w:r>
          </w:p>
        </w:tc>
        <w:tc>
          <w:tcPr>
            <w:tcW w:type="dxa" w:w="14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0.00</w:t>
            </w:r>
          </w:p>
        </w:tc>
        <w:tc>
          <w:tcPr>
            <w:tcW w:type="dxa" w:w="1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0.05</w:t>
            </w:r>
          </w:p>
        </w:tc>
        <w:tc>
          <w:tcPr>
            <w:tcW w:type="dxa" w:w="1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0.09</w:t>
            </w:r>
          </w:p>
        </w:tc>
        <w:tc>
          <w:tcPr>
            <w:tcW w:type="dxa" w:w="43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₹62 cr bill, 18% compressors (Kavita); conservative = 0</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Total</w:t>
            </w:r>
          </w:p>
        </w:tc>
        <w:tc>
          <w:tcPr>
            <w:tcW w:type="dxa" w:w="14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1.30</w:t>
            </w:r>
          </w:p>
        </w:tc>
        <w:tc>
          <w:tcPr>
            <w:tcW w:type="dxa" w:w="1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3.99</w:t>
            </w:r>
          </w:p>
        </w:tc>
        <w:tc>
          <w:tcPr>
            <w:tcW w:type="dxa" w:w="1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7.48</w:t>
            </w:r>
          </w:p>
        </w:tc>
        <w:tc>
          <w:tcPr>
            <w:tcW w:type="dxa" w:w="43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One-off cash from lower spares</w:t>
            </w:r>
          </w:p>
        </w:tc>
        <w:tc>
          <w:tcPr>
            <w:tcW w:type="dxa" w:w="14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0.09</w:t>
            </w:r>
          </w:p>
        </w:tc>
        <w:tc>
          <w:tcPr>
            <w:tcW w:type="dxa" w:w="1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0.15</w:t>
            </w:r>
          </w:p>
        </w:tc>
        <w:tc>
          <w:tcPr>
            <w:tcW w:type="dxa" w:w="1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0.18</w:t>
            </w:r>
          </w:p>
        </w:tc>
        <w:tc>
          <w:tcPr>
            <w:tcW w:type="dxa" w:w="43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₹5.2 cr inventory (Kavita)</w:t>
            </w:r>
          </w:p>
        </w:tc>
      </w:tr>
    </w:tbl>
    <w:p>
      <w:pPr>
        <w:spacing w:after="90" w:line="264"/>
      </w:pPr>
      <w:r>
        <w:rPr>
          <w:b/>
          <w:bCs/>
        </w:rPr>
        <w:t xml:space="preserve">The number that came from RPC: </w:t>
      </w:r>
      <w:r>
        <w:t xml:space="preserve">the conservative case is 90% press downtime, and every input to that line except the detection rate came from Suresh or Kavita: three failures a year, 36 hours each, ₹5.5 lakh an hour. The detection rate (one in three) is our assumption, and it is what the pilot is designed to prove.</w:t>
      </w:r>
    </w:p>
    <w:p>
      <w:r>
        <w:br w:type="page"/>
      </w:r>
    </w:p>
    <w:p>
      <w:pPr>
        <w:pStyle w:val="Heading1"/>
        <w:keepNext/>
        <w:spacing w:after="70" w:before="180"/>
      </w:pPr>
      <w:r>
        <w:t xml:space="preserve">Pilot-to-scale commercial structure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00"/>
        <w:gridCol w:w="5000"/>
        <w:gridCol w:w="3306"/>
      </w:tblGrid>
      <w:tr>
        <w:trPr>
          <w:cantSplit/>
          <w:tblHeader/>
        </w:trPr>
        <w:tc>
          <w:tcPr>
            <w:tcW w:type="dxa" w:w="19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Phase</w:t>
            </w:r>
          </w:p>
        </w:tc>
        <w:tc>
          <w:tcPr>
            <w:tcW w:type="dxa" w:w="50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Scope and timing</w:t>
            </w:r>
          </w:p>
        </w:tc>
        <w:tc>
          <w:tcPr>
            <w:tcW w:type="dxa" w:w="3306"/>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Commercials</w:t>
            </w:r>
          </w:p>
        </w:tc>
      </w:tr>
      <w:tr>
        <w:trPr>
          <w:cantSplit/>
          <w:tblHeader w:val="false"/>
        </w:trPr>
        <w:tc>
          <w:tcPr>
            <w:tcW w:type="dxa" w:w="19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 Security review</w:t>
            </w:r>
          </w:p>
        </w:tc>
        <w:tc>
          <w:tcPr>
            <w:tcW w:type="dxa" w:w="5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Security pack to the CISO this week; review ~8–10 weeks (May–July); edge server, no direct OT-to-cloud link, data in India</w:t>
            </w:r>
          </w:p>
        </w:tc>
        <w:tc>
          <w:tcPr>
            <w:tcW w:type="dxa" w:w="33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No charge</w:t>
            </w:r>
          </w:p>
        </w:tc>
      </w:tr>
      <w:tr>
        <w:trPr>
          <w:cantSplit/>
          <w:tblHeader w:val="false"/>
        </w:trPr>
        <w:tc>
          <w:tcPr>
            <w:tcW w:type="dxa" w:w="19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1. Paid pilot</w:t>
            </w:r>
          </w:p>
        </w:tc>
        <w:tc>
          <w:tcPr>
            <w:tcW w:type="dxa" w:w="5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Press line, 162 assets, 4 months (July–November); baseline from the paper press log</w:t>
            </w:r>
          </w:p>
        </w:tc>
        <w:tc>
          <w:tcPr>
            <w:tcW w:type="dxa" w:w="33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₹25 lakh, credited 100% to year 1 on conversion; within CFO signature</w:t>
            </w:r>
          </w:p>
        </w:tc>
      </w:tr>
      <w:tr>
        <w:trPr>
          <w:cantSplit/>
          <w:tblHeader w:val="false"/>
        </w:trPr>
        <w:tc>
          <w:tcPr>
            <w:tcW w:type="dxa" w:w="19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2. Convert (Better)</w:t>
            </w:r>
          </w:p>
        </w:tc>
        <w:tc>
          <w:tcPr>
            <w:tcW w:type="dxa" w:w="5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422 assets from December, before the MES renewal decision</w:t>
            </w:r>
          </w:p>
        </w:tc>
        <w:tc>
          <w:tcPr>
            <w:tcW w:type="dxa" w:w="33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₹12,500 per asset per year (list); hardware as a service over 36 months; ~₹0.78 cr a year; within CFO signature</w:t>
            </w:r>
          </w:p>
        </w:tc>
      </w:tr>
      <w:tr>
        <w:trPr>
          <w:cantSplit/>
          <w:tblHeader w:val="false"/>
        </w:trPr>
        <w:tc>
          <w:tcPr>
            <w:tcW w:type="dxa" w:w="19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3. Scale</w:t>
            </w:r>
          </w:p>
        </w:tc>
        <w:tc>
          <w:tcPr>
            <w:tcW w:type="dxa" w:w="50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Chennai forging plants; group roll-out to the committee (Jan 2027)</w:t>
            </w:r>
          </w:p>
        </w:tc>
        <w:tc>
          <w:tcPr>
            <w:tcW w:type="dxa" w:w="33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Same per-asset price held for 18 months if the option is signed</w:t>
            </w:r>
          </w:p>
        </w:tc>
      </w:tr>
    </w:tbl>
    <w:p>
      <w:pPr>
        <w:spacing w:after="90" w:line="264"/>
      </w:pPr>
      <w:r>
        <w:rPr>
          <w:b/>
          <w:bCs/>
        </w:rPr>
        <w:t xml:space="preserve">Pilot success criteria (agreed before start). </w:t>
      </w:r>
      <w:r>
        <w:t xml:space="preserve">(1) At least two developing faults on press hydraulics or compressors flagged at least 7 days ahead and confirmed on inspection. (2) No major press failure from a monitored failure mode goes undetected. (3) The CISO signs off the architecture and there are no security findings. (4) The maintenance team acts on at least 80% of alerts within 48 hours.</w:t>
      </w:r>
    </w:p>
    <w:p>
      <w:pPr>
        <w:spacing w:after="90" w:line="264"/>
      </w:pPr>
      <w:r>
        <w:rPr>
          <w:b/>
          <w:bCs/>
        </w:rPr>
        <w:t xml:space="preserve">Fee at risk (optional). </w:t>
      </w:r>
      <w:r>
        <w:t xml:space="preserve">15% of the annual subscription is paid only if agreed avoided-downtime hours are achieved, measured against the paper-log baseline.</w:t>
      </w:r>
    </w:p>
    <w:p>
      <w:pPr>
        <w:pStyle w:val="Heading1"/>
        <w:keepNext/>
        <w:spacing w:after="70" w:before="180"/>
      </w:pPr>
      <w:r>
        <w:t xml:space="preserve">Three-year cost against the alternatives (press line)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500"/>
        <w:gridCol w:w="2506"/>
      </w:tblGrid>
      <w:tr>
        <w:trPr>
          <w:cantSplit/>
          <w:tblHeader/>
        </w:trPr>
        <w:tc>
          <w:tcPr>
            <w:tcW w:type="dxa" w:w="28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
            </w:r>
          </w:p>
        </w:tc>
        <w:tc>
          <w:tcPr>
            <w:tcW w:type="dxa" w:w="24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Strata Cortex</w:t>
            </w:r>
          </w:p>
        </w:tc>
        <w:tc>
          <w:tcPr>
            <w:tcW w:type="dxa" w:w="25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HelixAsset</w:t>
            </w:r>
          </w:p>
        </w:tc>
        <w:tc>
          <w:tcPr>
            <w:tcW w:type="dxa" w:w="2506"/>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TrueSense AI</w:t>
            </w:r>
          </w:p>
        </w:tc>
      </w:tr>
      <w:tr>
        <w:trPr>
          <w:cantSplit/>
          <w:tblHeader w:val="false"/>
        </w:trPr>
        <w:tc>
          <w:tcPr>
            <w:tcW w:type="dxa" w:w="28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Three-year cost (₹ cr)</w:t>
            </w:r>
          </w:p>
        </w:tc>
        <w:tc>
          <w:tcPr>
            <w:tcW w:type="dxa" w:w="24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0.95</w:t>
            </w:r>
          </w:p>
        </w:tc>
        <w:tc>
          <w:tcPr>
            <w:tcW w:type="dxa" w:w="25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0.60</w:t>
            </w:r>
          </w:p>
        </w:tc>
        <w:tc>
          <w:tcPr>
            <w:tcW w:type="dxa" w:w="25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0.61</w:t>
            </w:r>
          </w:p>
        </w:tc>
      </w:tr>
      <w:tr>
        <w:trPr>
          <w:cantSplit/>
          <w:tblHeader w:val="false"/>
        </w:trPr>
        <w:tc>
          <w:tcPr>
            <w:tcW w:type="dxa" w:w="28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Why</w:t>
            </w:r>
          </w:p>
        </w:tc>
        <w:tc>
          <w:tcPr>
            <w:tcW w:type="dxa" w:w="24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Sensors on presses and hydraulics; edge buffering</w:t>
            </w:r>
          </w:p>
        </w:tc>
        <w:tc>
          <w:tcPr>
            <w:tcW w:type="dxa" w:w="25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Year 1 free only with a 3-year MES lock-in; presses need Helix sensors</w:t>
            </w:r>
          </w:p>
        </w:tc>
        <w:tc>
          <w:tcPr>
            <w:tcW w:type="dxa" w:w="25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Needs sensors RPC does not have on presses; weaker on hydraulic and low-speed assets</w:t>
            </w:r>
          </w:p>
        </w:tc>
      </w:tr>
      <w:tr>
        <w:trPr>
          <w:cantSplit/>
          <w:tblHeader w:val="false"/>
        </w:trPr>
        <w:tc>
          <w:tcPr>
            <w:tcW w:type="dxa" w:w="28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Share of press failures caught early (base, to prove)</w:t>
            </w:r>
          </w:p>
        </w:tc>
        <w:tc>
          <w:tcPr>
            <w:tcW w:type="dxa" w:w="24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50%</w:t>
            </w:r>
          </w:p>
        </w:tc>
        <w:tc>
          <w:tcPr>
            <w:tcW w:type="dxa" w:w="25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20% (assumption)</w:t>
            </w:r>
          </w:p>
        </w:tc>
        <w:tc>
          <w:tcPr>
            <w:tcW w:type="dxa" w:w="25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30% (assumption)</w:t>
            </w:r>
          </w:p>
        </w:tc>
      </w:tr>
      <w:tr>
        <w:trPr>
          <w:cantSplit/>
          <w:tblHeader w:val="false"/>
        </w:trPr>
        <w:tc>
          <w:tcPr>
            <w:tcW w:type="dxa" w:w="28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Three-year net value, base (₹ cr)</w:t>
            </w:r>
          </w:p>
        </w:tc>
        <w:tc>
          <w:tcPr>
            <w:tcW w:type="dxa" w:w="24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9.18</w:t>
            </w:r>
          </w:p>
        </w:tc>
        <w:tc>
          <w:tcPr>
            <w:tcW w:type="dxa" w:w="25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3.65</w:t>
            </w:r>
          </w:p>
        </w:tc>
        <w:tc>
          <w:tcPr>
            <w:tcW w:type="dxa" w:w="25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5.60</w:t>
            </w:r>
          </w:p>
        </w:tc>
      </w:tr>
    </w:tbl>
    <w:p>
      <w:pPr>
        <w:spacing w:after="90" w:line="264"/>
      </w:pPr>
      <w:r>
        <w:t xml:space="preserve">We are the more expensive option by about ₹0.35 cr over three years. That premium is worth paying only if we catch more press failures, which is why detection is the first pilot criterion. Separately, RPC can renew the MES without accepting the three-year HelixAsset lock-in.</w:t>
      </w:r>
    </w:p>
    <w:p>
      <w:r>
        <w:br w:type="page"/>
      </w:r>
    </w:p>
    <w:p>
      <w:pPr>
        <w:pStyle w:val="Heading1"/>
        <w:keepNext/>
        <w:spacing w:after="70" w:before="180"/>
      </w:pPr>
      <w:r>
        <w:t xml:space="preserve">An architecture that meets your CISO’s rules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00"/>
        <w:gridCol w:w="6606"/>
      </w:tblGrid>
      <w:tr>
        <w:trPr>
          <w:cantSplit/>
          <w:tblHeader/>
        </w:trPr>
        <w:tc>
          <w:tcPr>
            <w:tcW w:type="dxa" w:w="36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Rule (from Kavita Rao)</w:t>
            </w:r>
          </w:p>
        </w:tc>
        <w:tc>
          <w:tcPr>
            <w:tcW w:type="dxa" w:w="6606"/>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How the design meets it</w:t>
            </w:r>
          </w:p>
        </w:tc>
      </w:tr>
      <w:tr>
        <w:trPr>
          <w:cantSplit/>
          <w:tblHeader w:val="false"/>
        </w:trPr>
        <w:tc>
          <w:tcPr>
            <w:tcW w:type="dxa" w:w="36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No direct connection from the OT network to the cloud</w:t>
            </w:r>
          </w:p>
        </w:tc>
        <w:tc>
          <w:tcPr>
            <w:tcW w:type="dxa" w:w="66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Sensors report to an on-premise edge server inside the plant; only encrypted, summarised data leaves through RPC’s IT DMZ on a schedule RPC controls</w:t>
            </w:r>
          </w:p>
        </w:tc>
      </w:tr>
      <w:tr>
        <w:trPr>
          <w:cantSplit/>
          <w:tblHeader w:val="false"/>
        </w:trPr>
        <w:tc>
          <w:tcPr>
            <w:tcW w:type="dxa" w:w="36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ISO 27001 and SOC 2 Type II</w:t>
            </w:r>
          </w:p>
        </w:tc>
        <w:tc>
          <w:tcPr>
            <w:tcW w:type="dxa" w:w="66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Certificates and latest audit reports in the security pack sent this week</w:t>
            </w:r>
          </w:p>
        </w:tc>
      </w:tr>
      <w:tr>
        <w:trPr>
          <w:cantSplit/>
          <w:tblHeader w:val="false"/>
        </w:trPr>
        <w:tc>
          <w:tcPr>
            <w:tcW w:type="dxa" w:w="36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Data stays in India</w:t>
            </w:r>
          </w:p>
        </w:tc>
        <w:tc>
          <w:tcPr>
            <w:tcW w:type="dxa" w:w="66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Hosted in an Indian cloud region; no data leaves India; RPC owns the data</w:t>
            </w:r>
          </w:p>
        </w:tc>
      </w:tr>
      <w:tr>
        <w:trPr>
          <w:cantSplit/>
          <w:tblHeader w:val="false"/>
        </w:trPr>
        <w:tc>
          <w:tcPr>
            <w:tcW w:type="dxa" w:w="36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8–10 week security review before pilot</w:t>
            </w:r>
          </w:p>
        </w:tc>
        <w:tc>
          <w:tcPr>
            <w:tcW w:type="dxa" w:w="66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Review starts now so the pilot can begin in July; our security engineer joins the architecture workshop</w:t>
            </w:r>
          </w:p>
        </w:tc>
      </w:tr>
    </w:tbl>
    <w:p>
      <w:pPr>
        <w:pStyle w:val="Heading1"/>
        <w:keepNext/>
        <w:spacing w:after="70" w:before="180"/>
      </w:pPr>
      <w:r>
        <w:t xml:space="preserve">Implementation and mutual action plan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6300"/>
        <w:gridCol w:w="2206"/>
      </w:tblGrid>
      <w:tr>
        <w:trPr>
          <w:cantSplit/>
          <w:tblHeader/>
        </w:trPr>
        <w:tc>
          <w:tcPr>
            <w:tcW w:type="dxa" w:w="17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By</w:t>
            </w:r>
          </w:p>
        </w:tc>
        <w:tc>
          <w:tcPr>
            <w:tcW w:type="dxa" w:w="63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Step</w:t>
            </w:r>
          </w:p>
        </w:tc>
        <w:tc>
          <w:tcPr>
            <w:tcW w:type="dxa" w:w="2206"/>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Owner</w:t>
            </w:r>
          </w:p>
        </w:tc>
      </w:tr>
      <w:tr>
        <w:trPr>
          <w:cantSplit/>
          <w:tblHeader w:val="false"/>
        </w:trPr>
        <w:tc>
          <w:tcPr>
            <w:tcW w:type="dxa" w:w="17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30 Apr</w:t>
            </w:r>
          </w:p>
        </w:tc>
        <w:tc>
          <w:tcPr>
            <w:tcW w:type="dxa" w:w="63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Security documentation to the CISO; paper press logs shared; 30-minute review with Kavita (conservative case)</w:t>
            </w:r>
          </w:p>
        </w:tc>
        <w:tc>
          <w:tcPr>
            <w:tcW w:type="dxa" w:w="22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Strata; Suresh; Kavita</w:t>
            </w:r>
          </w:p>
        </w:tc>
      </w:tr>
      <w:tr>
        <w:trPr>
          <w:cantSplit/>
          <w:tblHeader w:val="false"/>
        </w:trPr>
        <w:tc>
          <w:tcPr>
            <w:tcW w:type="dxa" w:w="17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15 May</w:t>
            </w:r>
          </w:p>
        </w:tc>
        <w:tc>
          <w:tcPr>
            <w:tcW w:type="dxa" w:w="63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Architecture workshop: edge server, network segmentation, India data residency</w:t>
            </w:r>
          </w:p>
        </w:tc>
        <w:tc>
          <w:tcPr>
            <w:tcW w:type="dxa" w:w="22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CISO / Arvind; Strata SE</w:t>
            </w:r>
          </w:p>
        </w:tc>
      </w:tr>
      <w:tr>
        <w:trPr>
          <w:cantSplit/>
          <w:tblHeader w:val="false"/>
        </w:trPr>
        <w:tc>
          <w:tcPr>
            <w:tcW w:type="dxa" w:w="17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10 Jul</w:t>
            </w:r>
          </w:p>
        </w:tc>
        <w:tc>
          <w:tcPr>
            <w:tcW w:type="dxa" w:w="63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Security review complete</w:t>
            </w:r>
          </w:p>
        </w:tc>
        <w:tc>
          <w:tcPr>
            <w:tcW w:type="dxa" w:w="22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CISO</w:t>
            </w:r>
          </w:p>
        </w:tc>
      </w:tr>
      <w:tr>
        <w:trPr>
          <w:cantSplit/>
          <w:tblHeader w:val="false"/>
        </w:trPr>
        <w:tc>
          <w:tcPr>
            <w:tcW w:type="dxa" w:w="17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15 Jul</w:t>
            </w:r>
          </w:p>
        </w:tc>
        <w:tc>
          <w:tcPr>
            <w:tcW w:type="dxa" w:w="63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Pilot SOW and success criteria signed (₹25 lakh)</w:t>
            </w:r>
          </w:p>
        </w:tc>
        <w:tc>
          <w:tcPr>
            <w:tcW w:type="dxa" w:w="22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Kavita; Suresh</w:t>
            </w:r>
          </w:p>
        </w:tc>
      </w:tr>
      <w:tr>
        <w:trPr>
          <w:cantSplit/>
          <w:tblHeader w:val="false"/>
        </w:trPr>
        <w:tc>
          <w:tcPr>
            <w:tcW w:type="dxa" w:w="17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20 Jul – 20 Nov</w:t>
            </w:r>
          </w:p>
        </w:tc>
        <w:tc>
          <w:tcPr>
            <w:tcW w:type="dxa" w:w="63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Pilot live; fortnightly reviews with Suresh</w:t>
            </w:r>
          </w:p>
        </w:tc>
        <w:tc>
          <w:tcPr>
            <w:tcW w:type="dxa" w:w="22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Joint</w:t>
            </w:r>
          </w:p>
        </w:tc>
      </w:tr>
      <w:tr>
        <w:trPr>
          <w:cantSplit/>
          <w:tblHeader w:val="false"/>
        </w:trPr>
        <w:tc>
          <w:tcPr>
            <w:tcW w:type="dxa" w:w="17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30 Nov</w:t>
            </w:r>
          </w:p>
        </w:tc>
        <w:tc>
          <w:tcPr>
            <w:tcW w:type="dxa" w:w="63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Readout and conversion decision (Better, within CFO limit)</w:t>
            </w:r>
          </w:p>
        </w:tc>
        <w:tc>
          <w:tcPr>
            <w:tcW w:type="dxa" w:w="22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Kavita; Prakash Iyer</w:t>
            </w:r>
          </w:p>
        </w:tc>
      </w:tr>
      <w:tr>
        <w:trPr>
          <w:cantSplit/>
          <w:tblHeader w:val="false"/>
        </w:trPr>
        <w:tc>
          <w:tcPr>
            <w:tcW w:type="dxa" w:w="17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Jan 2027</w:t>
            </w:r>
          </w:p>
        </w:tc>
        <w:tc>
          <w:tcPr>
            <w:tcW w:type="dxa" w:w="63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Chennai / group proposal to the Capex &amp; IT Committee</w:t>
            </w:r>
          </w:p>
        </w:tc>
        <w:tc>
          <w:tcPr>
            <w:tcW w:type="dxa" w:w="22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Kavita</w:t>
            </w:r>
          </w:p>
        </w:tc>
      </w:tr>
    </w:tbl>
    <w:p>
      <w:pPr>
        <w:pStyle w:val="Heading1"/>
        <w:keepNext/>
        <w:spacing w:after="70" w:before="180"/>
      </w:pPr>
      <w:r>
        <w:t xml:space="preserve">Team and governance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5006"/>
      </w:tblGrid>
      <w:tr>
        <w:trPr>
          <w:cantSplit/>
          <w:tblHeader/>
        </w:trPr>
        <w:tc>
          <w:tcPr>
            <w:tcW w:type="dxa" w:w="26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Role</w:t>
            </w:r>
          </w:p>
        </w:tc>
        <w:tc>
          <w:tcPr>
            <w:tcW w:type="dxa" w:w="26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Strata person</w:t>
            </w:r>
          </w:p>
        </w:tc>
        <w:tc>
          <w:tcPr>
            <w:tcW w:type="dxa" w:w="5006"/>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Commitment</w:t>
            </w:r>
          </w:p>
        </w:tc>
      </w:tr>
      <w:tr>
        <w:trPr>
          <w:cantSplit/>
          <w:tblHeader w:val="false"/>
        </w:trPr>
        <w:tc>
          <w:tcPr>
            <w:tcW w:type="dxa" w:w="26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Executive sponsor</w:t>
            </w:r>
          </w:p>
        </w:tc>
        <w:tc>
          <w:tcPr>
            <w:tcW w:type="dxa" w:w="26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Regional VP, Strata</w:t>
            </w:r>
          </w:p>
        </w:tc>
        <w:tc>
          <w:tcPr>
            <w:tcW w:type="dxa" w:w="50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Monthly review with Kavita and Prakash</w:t>
            </w:r>
          </w:p>
        </w:tc>
      </w:tr>
      <w:tr>
        <w:trPr>
          <w:cantSplit/>
          <w:tblHeader w:val="false"/>
        </w:trPr>
        <w:tc>
          <w:tcPr>
            <w:tcW w:type="dxa" w:w="26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Account executive</w:t>
            </w:r>
          </w:p>
        </w:tc>
        <w:tc>
          <w:tcPr>
            <w:tcW w:type="dxa" w:w="26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Named AE</w:t>
            </w:r>
          </w:p>
        </w:tc>
        <w:tc>
          <w:tcPr>
            <w:tcW w:type="dxa" w:w="50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Single point of contact; mutual action plan owner</w:t>
            </w:r>
          </w:p>
        </w:tc>
      </w:tr>
      <w:tr>
        <w:trPr>
          <w:cantSplit/>
          <w:tblHeader w:val="false"/>
        </w:trPr>
        <w:tc>
          <w:tcPr>
            <w:tcW w:type="dxa" w:w="26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Solutions engineer</w:t>
            </w:r>
          </w:p>
        </w:tc>
        <w:tc>
          <w:tcPr>
            <w:tcW w:type="dxa" w:w="26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Named SE</w:t>
            </w:r>
          </w:p>
        </w:tc>
        <w:tc>
          <w:tcPr>
            <w:tcW w:type="dxa" w:w="50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On site weekly during installation; fortnightly reviews with Suresh</w:t>
            </w:r>
          </w:p>
        </w:tc>
      </w:tr>
      <w:tr>
        <w:trPr>
          <w:cantSplit/>
          <w:tblHeader w:val="false"/>
        </w:trPr>
        <w:tc>
          <w:tcPr>
            <w:tcW w:type="dxa" w:w="26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Reliability analyst</w:t>
            </w:r>
          </w:p>
        </w:tc>
        <w:tc>
          <w:tcPr>
            <w:tcW w:type="dxa" w:w="26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Strata analytics team</w:t>
            </w:r>
          </w:p>
        </w:tc>
        <w:tc>
          <w:tcPr>
            <w:tcW w:type="dxa" w:w="50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Reviews every alert with the maintenance team for the first 90 days</w:t>
            </w:r>
          </w:p>
        </w:tc>
      </w:tr>
      <w:tr>
        <w:trPr>
          <w:cantSplit/>
          <w:tblHeader w:val="false"/>
        </w:trPr>
        <w:tc>
          <w:tcPr>
            <w:tcW w:type="dxa" w:w="26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Customer success manager</w:t>
            </w:r>
          </w:p>
        </w:tc>
        <w:tc>
          <w:tcPr>
            <w:tcW w:type="dxa" w:w="26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Named CSM</w:t>
            </w:r>
          </w:p>
        </w:tc>
        <w:tc>
          <w:tcPr>
            <w:tcW w:type="dxa" w:w="50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Adoption tracking from day 1; readout pack for the conversion decision</w:t>
            </w:r>
          </w:p>
        </w:tc>
      </w:tr>
    </w:tbl>
    <w:p>
      <w:r>
        <w:br w:type="page"/>
      </w:r>
    </w:p>
    <w:p>
      <w:pPr>
        <w:pStyle w:val="Heading1"/>
        <w:keepNext/>
        <w:spacing w:after="70" w:before="180"/>
      </w:pPr>
      <w:r>
        <w:t xml:space="preserve">Commercial terms, discount rules and risks</w:t>
      </w:r>
    </w:p>
    <w:p>
      <w:pPr>
        <w:spacing w:after="90" w:line="264"/>
      </w:pPr>
      <w:r>
        <w:t xml:space="preserve">List price ₹12,500 per asset per year. Any discount is traded for a commitment, up to 15% in total: 8% for a three-year term, 3% for annual payment in advance, 5% for a signed Chennai option, 2% for a reference and case study. We do not discount hardware below cost or offer a free pilot without agreed conversion terms.</w:t>
      </w:r>
    </w:p>
    <w:p>
      <w:pPr>
        <w:spacing w:after="90" w:line="264"/>
      </w:pPr>
      <w:r>
        <w:rPr>
          <w:b/>
          <w:bCs/>
        </w:rPr>
        <w:t xml:space="preserve">Risks we are managing. </w:t>
      </w:r>
      <w:r>
        <w:t xml:space="preserve">The security review slips (mitigation: submit this week; edge architecture ready). The detection rate is lower than assumed (mitigation: the pilot measures it; fee at risk). The Helix bundle is signed first (mitigation: readout before the December MES decision; three-year cost comparison shared now).</w:t>
      </w:r>
    </w:p>
    <w:p>
      <w:pPr>
        <w:spacing w:after="100"/>
      </w:pPr>
      <w:r>
        <w:rPr>
          <w:i/>
          <w:iCs/>
          <w:color w:val="52514E"/>
          <w:sz w:val="15"/>
          <w:szCs w:val="15"/>
        </w:rPr>
        <w:t xml:space="preserve">Detailed model: D3_4_Value_Model.xlsx. All ₹ in crore unless stated.</w:t>
      </w:r>
    </w:p>
    <w:p>
      <w:pPr>
        <w:pStyle w:val="Heading1"/>
        <w:keepNext/>
        <w:spacing w:after="70" w:before="180"/>
      </w:pPr>
      <w:r>
        <w:t xml:space="preserve">Appendix: assumptions and sources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4006"/>
      </w:tblGrid>
      <w:tr>
        <w:trPr>
          <w:cantSplit/>
          <w:tblHeader/>
        </w:trPr>
        <w:tc>
          <w:tcPr>
            <w:tcW w:type="dxa" w:w="38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Assumption</w:t>
            </w:r>
          </w:p>
        </w:tc>
        <w:tc>
          <w:tcPr>
            <w:tcW w:type="dxa" w:w="2400"/>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Value (C / B / U)</w:t>
            </w:r>
          </w:p>
        </w:tc>
        <w:tc>
          <w:tcPr>
            <w:tcW w:type="dxa" w:w="4006"/>
            <w:tcBorders>
              <w:top w:val="single" w:color="C9C8C2" w:sz="4"/>
              <w:left w:val="single" w:color="C9C8C2" w:sz="4"/>
              <w:bottom w:val="single" w:color="C9C8C2" w:sz="4"/>
              <w:right w:val="single" w:color="C9C8C2" w:sz="4"/>
            </w:tcBorders>
            <w:shd w:fill="1F3A5F" w:color="auto" w:val="clear"/>
            <w:tcMar>
              <w:top w:type="dxa" w:w="40"/>
              <w:left w:type="dxa" w:w="80"/>
              <w:bottom w:type="dxa" w:w="40"/>
              <w:right w:type="dxa" w:w="80"/>
            </w:tcMar>
          </w:tcPr>
          <w:p>
            <w:r>
              <w:rPr>
                <w:b/>
                <w:bCs/>
                <w:color w:val="FFFFFF"/>
                <w:sz w:val="18"/>
                <w:szCs w:val="18"/>
              </w:rPr>
              <w:t xml:space="preserve">How we will test it</w:t>
            </w:r>
          </w:p>
        </w:tc>
      </w:tr>
      <w:tr>
        <w:trPr>
          <w:cantSplit/>
          <w:tblHeader w:val="false"/>
        </w:trPr>
        <w:tc>
          <w:tcPr>
            <w:tcW w:type="dxa" w:w="38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Share of major press failures caught early</w:t>
            </w:r>
          </w:p>
        </w:tc>
        <w:tc>
          <w:tcPr>
            <w:tcW w:type="dxa" w:w="24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33% / 50% / 67%</w:t>
            </w:r>
          </w:p>
        </w:tc>
        <w:tc>
          <w:tcPr>
            <w:tcW w:type="dxa" w:w="40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Pilot criterion 1; compared with the paper press log</w:t>
            </w:r>
          </w:p>
        </w:tc>
      </w:tr>
      <w:tr>
        <w:trPr>
          <w:cantSplit/>
          <w:tblHeader w:val="false"/>
        </w:trPr>
        <w:tc>
          <w:tcPr>
            <w:tcW w:type="dxa" w:w="38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Share of outage hours avoided when caught early</w:t>
            </w:r>
          </w:p>
        </w:tc>
        <w:tc>
          <w:tcPr>
            <w:tcW w:type="dxa" w:w="24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60% / 75% / 85%</w:t>
            </w:r>
          </w:p>
        </w:tc>
        <w:tc>
          <w:tcPr>
            <w:tcW w:type="dxa" w:w="40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Planned-repair duration logged for each caught fault</w:t>
            </w:r>
          </w:p>
        </w:tc>
      </w:tr>
      <w:tr>
        <w:trPr>
          <w:cantSplit/>
          <w:tblHeader w:val="false"/>
        </w:trPr>
        <w:tc>
          <w:tcPr>
            <w:tcW w:type="dxa" w:w="38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Machining hours saved from utility failures (Better)</w:t>
            </w:r>
          </w:p>
        </w:tc>
        <w:tc>
          <w:tcPr>
            <w:tcW w:type="dxa" w:w="24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 / 20 / 40 per year</w:t>
            </w:r>
          </w:p>
        </w:tc>
        <w:tc>
          <w:tcPr>
            <w:tcW w:type="dxa" w:w="40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Paper logs for compressor and chiller stoppages</w:t>
            </w:r>
          </w:p>
        </w:tc>
      </w:tr>
      <w:tr>
        <w:trPr>
          <w:cantSplit/>
          <w:tblHeader w:val="false"/>
        </w:trPr>
        <w:tc>
          <w:tcPr>
            <w:tcW w:type="dxa" w:w="38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Cut in reactive maintenance cost on monitored assets</w:t>
            </w:r>
          </w:p>
        </w:tc>
        <w:tc>
          <w:tcPr>
            <w:tcW w:type="dxa" w:w="24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8% / 12% / 16%</w:t>
            </w:r>
          </w:p>
        </w:tc>
        <w:tc>
          <w:tcPr>
            <w:tcW w:type="dxa" w:w="40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Maintenance hours before and after, from Suresh’s team</w:t>
            </w:r>
          </w:p>
        </w:tc>
      </w:tr>
      <w:tr>
        <w:trPr>
          <w:cantSplit/>
          <w:tblHeader w:val="false"/>
        </w:trPr>
        <w:tc>
          <w:tcPr>
            <w:tcW w:type="dxa" w:w="38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Compressor energy saved</w:t>
            </w:r>
          </w:p>
        </w:tc>
        <w:tc>
          <w:tcPr>
            <w:tcW w:type="dxa" w:w="24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0% / 4% / 7%</w:t>
            </w:r>
          </w:p>
        </w:tc>
        <w:tc>
          <w:tcPr>
            <w:tcW w:type="dxa" w:w="40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Leak survey during the pilot</w:t>
            </w:r>
          </w:p>
        </w:tc>
      </w:tr>
      <w:tr>
        <w:trPr>
          <w:cantSplit/>
          <w:tblHeader w:val="false"/>
        </w:trPr>
        <w:tc>
          <w:tcPr>
            <w:tcW w:type="dxa" w:w="38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Edge server cost</w:t>
            </w:r>
          </w:p>
        </w:tc>
        <w:tc>
          <w:tcPr>
            <w:tcW w:type="dxa" w:w="2400"/>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₹8 lakh</w:t>
            </w:r>
          </w:p>
        </w:tc>
        <w:tc>
          <w:tcPr>
            <w:tcW w:type="dxa" w:w="4006"/>
            <w:tcBorders>
              <w:top w:val="single" w:color="C9C8C2" w:sz="4"/>
              <w:left w:val="single" w:color="C9C8C2" w:sz="4"/>
              <w:bottom w:val="single" w:color="C9C8C2" w:sz="4"/>
              <w:right w:val="single" w:color="C9C8C2" w:sz="4"/>
            </w:tcBorders>
            <w:tcMar>
              <w:top w:type="dxa" w:w="40"/>
              <w:left w:type="dxa" w:w="80"/>
              <w:bottom w:type="dxa" w:w="40"/>
              <w:right w:type="dxa" w:w="80"/>
            </w:tcMar>
          </w:tcPr>
          <w:p>
            <w:r>
              <w:rPr>
                <w:b w:val="false"/>
                <w:bCs w:val="false"/>
                <w:sz w:val="18"/>
                <w:szCs w:val="18"/>
              </w:rPr>
              <w:t xml:space="preserve">Confirmed in the architecture workshop</w:t>
            </w:r>
          </w:p>
        </w:tc>
      </w:tr>
    </w:tbl>
    <w:p>
      <w:pPr>
        <w:spacing w:after="100"/>
      </w:pPr>
      <w:r>
        <w:rPr>
          <w:i/>
          <w:iCs/>
          <w:color w:val="52514E"/>
          <w:sz w:val="15"/>
          <w:szCs w:val="15"/>
        </w:rPr>
        <w:t xml:space="preserve">Buyer-supplied inputs: failures, hours, cost per hour, penalties, maintenance spend, spares, power and approval rules, all from the Week 3 discovery meetings with Suresh Kulkarni and Kavita Rao. Prices: Strata list (DR5). Model: D3_4_Value_Model.xlsx.</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514E"/>
        <w:sz w:val="14"/>
        <w:szCs w:val="14"/>
      </w:rPr>
      <w:t xml:space="preserve">Strata Sense · Proposal to Ranganath Precision Components · page </w:t>
    </w:r>
    <w:r>
      <w:rPr>
        <w:color w:val="52514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2026-09-23T11:02:57.458Z</dcterms:created>
  <dcterms:modified xsi:type="dcterms:W3CDTF">2026-09-23T11:02:57.458Z</dcterms:modified>
</cp:coreProperties>
</file>

<file path=docProps/custom.xml><?xml version="1.0" encoding="utf-8"?>
<Properties xmlns="http://schemas.openxmlformats.org/officeDocument/2006/custom-properties" xmlns:vt="http://schemas.openxmlformats.org/officeDocument/2006/docPropsVTypes"/>
</file>