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0"/>
          <w:szCs w:val="30"/>
        </w:rPr>
        <w:t xml:space="preserve">D3 · Negotiation plan: procurement asks for 30% off and a free pilot</w:t>
      </w:r>
    </w:p>
    <w:p>
      <w:pPr>
        <w:pBdr>
          <w:bottom w:val="single" w:color="1F3A5F" w:sz="6" w:space="4"/>
        </w:pBdr>
        <w:spacing w:after="90" w:line="264"/>
      </w:pPr>
      <w:r>
        <w:rPr>
          <w:i/>
          <w:iCs/>
          <w:color w:val="52514E"/>
          <w:sz w:val="16"/>
          <w:szCs w:val="16"/>
        </w:rPr>
        <w:t xml:space="preserve">Counterpart: Neha Joshi, Head of Procurement. Fictional; synthetic case.</w:t>
      </w:r>
    </w:p>
    <w:p>
      <w:pPr>
        <w:pStyle w:val="Heading1"/>
        <w:keepNext/>
        <w:spacing w:after="70" w:before="180"/>
      </w:pPr>
      <w:r>
        <w:t xml:space="preserve">Our position in one line</w:t>
      </w:r>
    </w:p>
    <w:p>
      <w:pPr>
        <w:spacing w:after="90" w:line="264"/>
      </w:pPr>
      <w:r>
        <w:t xml:space="preserve">We trade price for commitment, never for nothing. The pilot fee is credited in full on conversion, so a successful pilot costs RPC nothing. Discount stops at 15%, and every point buys a commitment.</w:t>
      </w:r>
    </w:p>
    <w:p>
      <w:pPr>
        <w:pStyle w:val="Heading1"/>
        <w:keepNext/>
        <w:spacing w:after="70" w:before="180"/>
      </w:pPr>
      <w:r>
        <w:t xml:space="preserve">Give-and-get table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606"/>
        <w:gridCol w:w="1900"/>
      </w:tblGrid>
      <w:tr>
        <w:trPr>
          <w:cantSplit/>
          <w:tblHeader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Neha asks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 give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 get in return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to Strata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 pilot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Pilot fee (₹25 lakh) credited 100% to year 1 if RPC converts within 60 days of a successful readout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Written success criteria and conversion price agreed before the pilot starts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Zero if converted; hardware at cost if not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"Free pilot, no strings"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Pilot at no charge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Signed conversion order (Better scope, agreed price) that triggers automatically if the success criteria are met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Hardware ~₹18 lakh at risk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30% off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 to 8%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3-year term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Margin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 to 3%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Annual payment in advance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Cash benefit to us offsets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 to 5%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Signed option to extend to a Chennai forging plant within 12 months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Margin, offset by scale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 to 2%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Named reference and case study after 6 months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"Match Helix year-1 free"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Hardware as a service: one-offs spread over 36 months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Keeps the annual fee (~₹0.78 cr) inside Kavita’s own limit; no discount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Financing cost only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Lower risk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15% of subscription at risk against avoided-downtime hours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Baseline from the paper press log; measurement agreed up front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Upside if we perform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Price protection</w:t>
            </w:r>
          </w:p>
        </w:tc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Same per-asset price for Chennai for 18 months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Chennai option signed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1"/>
        <w:keepNext/>
        <w:spacing w:after="70" w:before="180"/>
      </w:pPr>
      <w:r>
        <w:t xml:space="preserve">Walk-away point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Price: </w:t>
      </w:r>
      <w:r>
        <w:t xml:space="preserve">below ₹10,625 per asset per year (15% off list), or any discount without a matching commitment.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Pilot: </w:t>
      </w:r>
      <w:r>
        <w:t xml:space="preserve">a free pilot with neither success criteria nor a conversion price.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Timeline: </w:t>
      </w:r>
      <w:r>
        <w:t xml:space="preserve">security review not started by 31 May, which makes a decision before the December MES renewal impossible.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Our alternative if we walk: </w:t>
      </w:r>
      <w:r>
        <w:t xml:space="preserve">keep Suresh as a champion, share a 3-year cost comparison with Kavita before the MES renewal, and revisit at the January committee.</w:t>
      </w:r>
    </w:p>
    <w:p>
      <w:pPr>
        <w:pStyle w:val="Heading1"/>
        <w:keepNext/>
        <w:spacing w:after="70" w:before="180"/>
      </w:pPr>
      <w:r>
        <w:t xml:space="preserve">Opening script</w:t>
      </w:r>
    </w:p>
    <w:p>
      <w:pPr>
        <w:spacing w:after="90" w:line="264"/>
      </w:pPr>
      <w:r>
        <w:t xml:space="preserve">"Neha, I understand ‘free’ looks good on the Helix line. Two things. First, Kavita asked for three-year cost, and the Helix offer is free only with a three-year MES lock-in; after that it goes to list. Second, we’ll make the pilot free in effect: every rupee is credited if it works. What I can’t do is discount without something back. If you can give me a three-year term and the Chennai option, I can move 13%. That is the most I can do, and here is exactly what each point buys."</w:t>
      </w:r>
    </w:p>
    <w:p>
      <w:pPr>
        <w:spacing w:after="100"/>
      </w:pPr>
      <w:r>
        <w:rPr>
          <w:i/>
          <w:iCs/>
          <w:color w:val="52514E"/>
          <w:sz w:val="15"/>
          <w:szCs w:val="15"/>
        </w:rPr>
        <w:t xml:space="preserve">Numbers: D3_4_Value_Model.xlsx (Discount_Rules, Scope_Price). FY26 company average discount was 19% and did not raise win rates (D1), which is why the cap is 15%.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514E"/>
        <w:sz w:val="14"/>
        <w:szCs w:val="14"/>
      </w:rPr>
      <w:t xml:space="preserve">Strata Sense · D3 negotiation · page </w:t>
    </w:r>
    <w:r>
      <w:rPr>
        <w:color w:val="52514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2026-09-23T11:02:57.435Z</dcterms:created>
  <dcterms:modified xsi:type="dcterms:W3CDTF">2026-09-23T11:02:57.435Z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