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30"/>
          <w:szCs w:val="30"/>
        </w:rPr>
        <w:t xml:space="preserve">D6 · Channel launch: the first 90 days</w:t>
      </w:r>
    </w:p>
    <w:p>
      <w:pPr>
        <w:pBdr>
          <w:bottom w:val="single" w:color="1F3A5F" w:sz="6" w:space="4"/>
        </w:pBdr>
        <w:spacing w:after="80" w:line="259"/>
      </w:pPr>
      <w:r>
        <w:rPr>
          <w:i/>
          <w:iCs/>
          <w:color w:val="52514E"/>
          <w:sz w:val="16"/>
          <w:szCs w:val="16"/>
        </w:rPr>
        <w:t xml:space="preserve">Strata Sense is fictional; all data synthetic (MBA capstone). Economics: D6_Partner_Economics.xlsx. Strategy: D6_Channel_Strategy_Deck.pptx. Day 1 = approval of the channel plan (week 8, FY27).</w:t>
      </w:r>
    </w:p>
    <w:p>
      <w:pPr>
        <w:pStyle w:val="Heading1"/>
        <w:keepNext/>
        <w:spacing w:after="60" w:before="150"/>
      </w:pPr>
      <w:r>
        <w:t xml:space="preserve">Goal for day 90</w:t>
      </w:r>
    </w:p>
    <w:p>
      <w:pPr>
        <w:spacing w:after="80" w:line="259"/>
      </w:pPr>
      <w:r>
        <w:rPr>
          <w:b/>
          <w:bCs/>
        </w:rPr>
        <w:t xml:space="preserve">Six of FY27’s eight partner activations signed (PR01, PR02, PR06, PR07, plus P07 and P10 reactivated), PR09/PR10 pilot scope agreed, 12 engineers in certification, ₹6 cr of registered partner pipeline, and zero unresolved conflicts. </w:t>
      </w:r>
      <w:r>
        <w:t xml:space="preserve">No partner revenue is expected in 90 days: DR6 puts first deals at 6–12 months. The 90 days build the rules, the team and the pipeline that make FY27’s ₹3.7 cr of partner-sourced ARR possible and FY28’s ₹9.9 cr likely.</w:t>
      </w:r>
    </w:p>
    <w:p>
      <w:pPr>
        <w:pStyle w:val="Heading1"/>
        <w:keepNext/>
        <w:spacing w:after="60" w:before="150"/>
      </w:pPr>
      <w:r>
        <w:t xml:space="preserve">Plan by month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6"/>
        <w:gridCol w:w="1500"/>
        <w:gridCol w:w="1900"/>
      </w:tblGrid>
      <w:tr>
        <w:trPr>
          <w:cantSplit/>
        </w:trPr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Days</w:t>
            </w:r>
          </w:p>
        </w:tc>
        <w:tc>
          <w:tcPr>
            <w:tcW w:type="dxa" w:w="5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Actions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1–30: rules and people</w:t>
            </w:r>
          </w:p>
        </w:tc>
        <w:tc>
          <w:tcPr>
            <w:tcW w:type="dxa" w:w="5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Publish tier terms (10% / 18% + 8% / 22% + 10% + services), deal-registration rules and conflict rules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Restrict P05 and P11 (Inject 3): letters sent, Helix-account registrations frozen, top deals moved to direct AEs with the D5 battlecard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Send exit notices to P01, P03, P04, P06, P14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Start VP Channel search; appoint interim owner (CRO’s chief of staff)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Load 14 partners and 12 prospects into CRM; add partner-source and registration fields (fixes D1 mis-tagging)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CRO; RevOps; Legal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Terms signed off by CFO; P05/P11 acknowledge restriction; CRM fields live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31–60: sign and certify</w:t>
            </w:r>
          </w:p>
        </w:tc>
        <w:tc>
          <w:tcPr>
            <w:tcW w:type="dxa" w:w="5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Sign PR01 (Indonesia), PR02 (Thailand), PR06 (Singapore); term sheets to PR07 (Saudi), PR09 and PR10 (embed pilot)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Activation plans with P07 and P10: two engineers each into certification, joint list of 10 accounts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Run first certification cohort (installation and TrueSense analytics), demo kits shipped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Hire partner manager 1 (SEA)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AE comp plan updated: 50% quota credit on partner-sourced deals, counted once in bookings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Interim channel owner; Enablement; HR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 new partners signed; 8+ engineers enrolled; comp change communicated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61–90: pipeline and review</w:t>
            </w:r>
          </w:p>
        </w:tc>
        <w:tc>
          <w:tcPr>
            <w:tcW w:type="dxa" w:w="5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Joint account plans: each active partner owns 10 named low-touch or SEA accounts (from D2 tiers)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First co-sell calls with SE support on at least 6 opportunities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Sign PR07; PR09/PR10 pilot scope agreed (sensor fitted to one machine model each)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Hire partner manager 2; VP Channel offer made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First quarterly scorecard for all active partners; partner-sourced ARR added as a forecast line (D4 process)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Partner managers; SE lead; VP Channel (if hired)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₹6 cr registered pipeline; scorecard issued; forecast line live</w:t>
            </w:r>
          </w:p>
        </w:tc>
      </w:tr>
    </w:tbl>
    <w:p>
      <w:pPr>
        <w:pStyle w:val="Heading1"/>
        <w:keepNext/>
        <w:spacing w:after="60" w:before="150"/>
      </w:pPr>
      <w:r>
        <w:t xml:space="preserve">Measures we report every two weeks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4306"/>
      </w:tblGrid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 30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 60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 90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Partners signed or reactivated (of 8 for FY27)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Ramp: partners activated late in FY27 add almost nothing until FY28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Engineers in certification / certified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8 / 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12 / 6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Silver needs 2 certified engineers, Gold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Registered partner pipeline (₹ cr)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About 10 qualified deals per mature partner a year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Registration decisions within 48 hours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≥ 90%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≥ 90%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Slow approvals are the main source of conflict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 conflicts older than 5 working days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Measures whether the rules are working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P05 / P11 registrations in Helix-incumbent accounts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3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Inject 3 restriction holds</w:t>
            </w:r>
          </w:p>
        </w:tc>
      </w:tr>
    </w:tbl>
    <w:p>
      <w:pPr>
        <w:pStyle w:val="Heading1"/>
        <w:keepNext/>
        <w:spacing w:after="60" w:before="150"/>
      </w:pPr>
      <w:r>
        <w:t xml:space="preserve">Budget in the first 90 days</w:t>
      </w:r>
    </w:p>
    <w:p>
      <w:pPr>
        <w:spacing w:after="80" w:line="259"/>
      </w:pPr>
      <w:r>
        <w:t xml:space="preserve">About ₹0.9 cr of the ₹3.94 cr FY27 channel budget: part-year partner manager (₹0.1 cr), recruiting fees for the VP Channel (₹0.15 cr), first certification cohort and demo kits (₹0.15 cr), PRM and CRM configuration (₹0.2 cr), and the first ₹0.3 cr of partner marketing funds, released only against signed joint plans. Channel roles stay at three in FY27, inside the limit of six, and fixed cost stays within the Inject 1 allocation of ₹2.84 cr.</w:t>
      </w:r>
    </w:p>
    <w:p>
      <w:pPr>
        <w:pStyle w:val="Heading1"/>
        <w:keepNext/>
        <w:spacing w:after="60" w:before="150"/>
      </w:pPr>
      <w:r>
        <w:t xml:space="preserve">Risks and what we 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4106"/>
      </w:tblGrid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Early sign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Helix-tied partners steer deals to Helix (Inject 3)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Registered deal switches to Helix; P05/P11 registrations in Helix accounts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Loss of tier immediately; move account to direct; review both at end-Q2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SEA recruits slow to certify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Fewer than 8 engineers enrolled by day 60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Partner manager on site; certification fees waived for first cohort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AEs resist partner deals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Registration disputes; AE-created duplicates on registered accounts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50% quota credit; CRO rules on appeals; duplicate check in CRM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VP Channel hire delayed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offer by day 75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Interim owner continues; do not delay partner signings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Partners perform like FY26 India partners</w:t>
            </w:r>
          </w:p>
        </w:tc>
        <w:tc>
          <w:tcPr>
            <w:tcW w:type="dxa" w:w="3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Registered pipeline under ₹3 cr at day 90</w:t>
            </w:r>
          </w:p>
        </w:tc>
        <w:tc>
          <w:tcPr>
            <w:tcW w:type="dxa" w:w="41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Stop FY27 wave-2 recruiting; kill gate at end-Q2 FY28 (fewer than 10 active or under ₹6 cr trailing partner ARR)</w:t>
            </w:r>
          </w:p>
        </w:tc>
      </w:tr>
    </w:tbl>
    <w:p>
      <w:pPr>
        <w:pStyle w:val="Heading1"/>
        <w:keepNext/>
        <w:spacing w:after="60" w:before="150"/>
      </w:pPr>
      <w:r>
        <w:t xml:space="preserve">Partner by partner: status on day 90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606"/>
        <w:gridCol w:w="1800"/>
      </w:tblGrid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Partner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Decision (D6)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Day-90 target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If missed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P02 Deccan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Keep: Gold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Gold terms signed; 4 open deals registered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Coach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P09 Vindhya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Keep: Gold (services)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Managed-monitoring offer priced; 3 deals registered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Coach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P12 Siam, P13 Al Fajr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Keep: Silver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Joint plan of 10 accounts each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Move to referral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P05 Sahyadri, P11 Konkan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Fix: restricted (Inject 3)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Restriction acknowledged; non-Helix pipeline registered; disclosure on every deal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Exit at end-Q2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P07 Mekong, P10 Penang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Fix: activate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 engineers each in certification; 10-account plan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Exit at end-Q2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P08 Hosur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Fix: OEM pilot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Pilot scoped alongside PR09/PR10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P01, P03, P04, P06, P14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Exit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Notices served; registrations closed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PR01, PR02, PR06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Recruit (Q1)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Signed; certification cohort 1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to CRO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PR07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Recruit (Q2)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Signed by day 90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Slip to Q3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PR09, PR10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Embed pilot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One machine model each agreed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Revisit in FY28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PR03, PR04, PR11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Hold for FY28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Introductory meeting only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PR05, PR08, PR12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Deprioritise (Helix)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contact</w:t>
            </w:r>
          </w:p>
        </w:tc>
        <w:tc>
          <w:tcPr>
            <w:tcW w:type="dxa" w:w="1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</w:rPr>
        <w:t xml:space="preserve">Decision needed on day 1: </w:t>
      </w:r>
      <w:r>
        <w:t xml:space="preserve">approve the tier terms, the P05/P11 restriction, the five exits, three channel roles and ₹1.5 cr of partner marketing funds from the ₹24 cr programme budget.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</w:pPr>
    <w:rPr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2026-09-23T15:48:17.636Z</dcterms:created>
  <dcterms:modified xsi:type="dcterms:W3CDTF">2026-09-23T15:48:17.636Z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