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color w:val="1F3A5F"/>
          <w:sz w:val="32"/>
          <w:szCs w:val="32"/>
        </w:rPr>
        <w:t xml:space="preserve">D7 · Integrated revenue plan, FY27–FY29</w:t>
      </w:r>
    </w:p>
    <w:p>
      <w:pPr>
        <w:pBdr>
          <w:bottom w:val="single" w:color="1F3A5F" w:sz="6" w:space="4"/>
        </w:pBdr>
        <w:spacing w:after="80" w:line="290"/>
      </w:pPr>
      <w:r>
        <w:rPr>
          <w:i/>
          <w:iCs/>
          <w:color w:val="52514E"/>
          <w:sz w:val="16"/>
          <w:szCs w:val="16"/>
        </w:rPr>
        <w:t xml:space="preserve">Revenue Strategy Lead, Office of the CRO · Week 8, FY27 · Strata Sense Technologies is fictional; all data synthetic (MBA capstone). Model: D7_Integrated_Model.xlsx (one workbook owns every number in this memo). ₹ crore unless stated.</w:t>
      </w:r>
    </w:p>
    <w:p>
      <w:pPr>
        <w:pStyle w:val="Heading1"/>
        <w:keepNext/>
        <w:spacing w:after="70" w:before="180"/>
      </w:pPr>
      <w:r>
        <w:t xml:space="preserve">1. Recommendation</w:t>
      </w:r>
    </w:p>
    <w:p>
      <w:pPr>
        <w:spacing w:after="80" w:line="290"/>
      </w:pPr>
      <w:r>
        <w:rPr>
          <w:b/>
          <w:bCs/>
        </w:rPr>
        <w:t xml:space="preserve">Approve the Base plan: ₹14.95 crore of incremental investment in FY27, inside the ₹15 crore envelope, 6 net new AEs from Q3 FY27, 3 channel roles, and a ₹2.82 crore reserve released at the Q2 review only if the triggers in section 12 are met. </w:t>
      </w:r>
      <w:r>
        <w:t xml:space="preserve">It takes ARR from ₹310 crore to ₹350.9 crore in FY27, ₹422.7 crore in FY28 and ₹525.5 crore in FY29. FY29 ARR clears the board path (₹521.9 crore) by ₹3.6 crore; FY28 growth meets 20%; FY27 growth is 13.2%, ₹5.6 crore short of the 15% path. I am asking the board to accept that FY27 shortfall rather than fund it, for the reasons in section 4.</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300"/>
        <w:gridCol w:w="1650"/>
        <w:gridCol w:w="1400"/>
        <w:gridCol w:w="1400"/>
        <w:gridCol w:w="2456"/>
      </w:tblGrid>
      <w:tr>
        <w:trPr>
          <w:cantSplit/>
          <w:tblHeader/>
        </w:trPr>
        <w:tc>
          <w:tcPr>
            <w:tcW w:type="dxa" w:w="33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Test (brief §6)</w:t>
            </w:r>
          </w:p>
        </w:tc>
        <w:tc>
          <w:tcPr>
            <w:tcW w:type="dxa" w:w="165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FY27</w:t>
            </w:r>
          </w:p>
        </w:tc>
        <w:tc>
          <w:tcPr>
            <w:tcW w:type="dxa" w:w="14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FY28</w:t>
            </w:r>
          </w:p>
        </w:tc>
        <w:tc>
          <w:tcPr>
            <w:tcW w:type="dxa" w:w="14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FY29</w:t>
            </w:r>
          </w:p>
        </w:tc>
        <w:tc>
          <w:tcPr>
            <w:tcW w:type="dxa" w:w="2456"/>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Result</w:t>
            </w:r>
          </w:p>
        </w:tc>
      </w:tr>
      <w:tr>
        <w:trPr>
          <w:cantSplit/>
          <w:tblHeader w:val="false"/>
        </w:trPr>
        <w:tc>
          <w:tcPr>
            <w:tcW w:type="dxa" w:w="3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Closing ARR (₹ cr) / growth</w:t>
            </w:r>
          </w:p>
        </w:tc>
        <w:tc>
          <w:tcPr>
            <w:tcW w:type="dxa" w:w="165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350.9 / 13.2%</w:t>
            </w:r>
          </w:p>
        </w:tc>
        <w:tc>
          <w:tcPr>
            <w:tcW w:type="dxa" w:w="1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422.7 / 20.4%</w:t>
            </w:r>
          </w:p>
        </w:tc>
        <w:tc>
          <w:tcPr>
            <w:tcW w:type="dxa" w:w="1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525.5 / 24.3%</w:t>
            </w:r>
          </w:p>
        </w:tc>
        <w:tc>
          <w:tcPr>
            <w:tcW w:type="dxa" w:w="245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FY27 short of 15% (defended); FY28, FY29 met</w:t>
            </w:r>
          </w:p>
        </w:tc>
      </w:tr>
      <w:tr>
        <w:trPr>
          <w:cantSplit/>
          <w:tblHeader w:val="false"/>
        </w:trPr>
        <w:tc>
          <w:tcPr>
            <w:tcW w:type="dxa" w:w="3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Net revenue retention</w:t>
            </w:r>
          </w:p>
        </w:tc>
        <w:tc>
          <w:tcPr>
            <w:tcW w:type="dxa" w:w="165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99.1%</w:t>
            </w:r>
          </w:p>
        </w:tc>
        <w:tc>
          <w:tcPr>
            <w:tcW w:type="dxa" w:w="1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101.9%</w:t>
            </w:r>
          </w:p>
        </w:tc>
        <w:tc>
          <w:tcPr>
            <w:tcW w:type="dxa" w:w="1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103.8%</w:t>
            </w:r>
          </w:p>
        </w:tc>
        <w:tc>
          <w:tcPr>
            <w:tcW w:type="dxa" w:w="245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Short of 108% goal (defended)</w:t>
            </w:r>
          </w:p>
        </w:tc>
      </w:tr>
      <w:tr>
        <w:trPr>
          <w:cantSplit/>
          <w:tblHeader w:val="false"/>
        </w:trPr>
        <w:tc>
          <w:tcPr>
            <w:tcW w:type="dxa" w:w="3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Gross margin after partner margin (floor 66%)</w:t>
            </w:r>
          </w:p>
        </w:tc>
        <w:tc>
          <w:tcPr>
            <w:tcW w:type="dxa" w:w="165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68.6%</w:t>
            </w:r>
          </w:p>
        </w:tc>
        <w:tc>
          <w:tcPr>
            <w:tcW w:type="dxa" w:w="1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67.5%</w:t>
            </w:r>
          </w:p>
        </w:tc>
        <w:tc>
          <w:tcPr>
            <w:tcW w:type="dxa" w:w="1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67.7%</w:t>
            </w:r>
          </w:p>
        </w:tc>
        <w:tc>
          <w:tcPr>
            <w:tcW w:type="dxa" w:w="245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Met; depends on hardware attach falling (§6)</w:t>
            </w:r>
          </w:p>
        </w:tc>
      </w:tr>
      <w:tr>
        <w:trPr>
          <w:cantSplit/>
          <w:tblHeader w:val="false"/>
        </w:trPr>
        <w:tc>
          <w:tcPr>
            <w:tcW w:type="dxa" w:w="3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CAC payback, margin-adjusted (≤ 30 every quarter; ≤ 24 by Q4 FY28)</w:t>
            </w:r>
          </w:p>
        </w:tc>
        <w:tc>
          <w:tcPr>
            <w:tcW w:type="dxa" w:w="165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Q1 31.0; Q2–Q4 28.1–29.4</w:t>
            </w:r>
          </w:p>
        </w:tc>
        <w:tc>
          <w:tcPr>
            <w:tcW w:type="dxa" w:w="1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Q4: 21.2</w:t>
            </w:r>
          </w:p>
        </w:tc>
        <w:tc>
          <w:tcPr>
            <w:tcW w:type="dxa" w:w="1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17.3–20.6</w:t>
            </w:r>
          </w:p>
        </w:tc>
        <w:tc>
          <w:tcPr>
            <w:tcW w:type="dxa" w:w="245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One breach: Q1 FY27 (locked); exception requested</w:t>
            </w:r>
          </w:p>
        </w:tc>
      </w:tr>
      <w:tr>
        <w:trPr>
          <w:cantSplit/>
          <w:tblHeader w:val="false"/>
        </w:trPr>
        <w:tc>
          <w:tcPr>
            <w:tcW w:type="dxa" w:w="3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S&amp;M as % of ARR (≤ 30% by FY29)</w:t>
            </w:r>
          </w:p>
        </w:tc>
        <w:tc>
          <w:tcPr>
            <w:tcW w:type="dxa" w:w="165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33.4%</w:t>
            </w:r>
          </w:p>
        </w:tc>
        <w:tc>
          <w:tcPr>
            <w:tcW w:type="dxa" w:w="1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30.6%</w:t>
            </w:r>
          </w:p>
        </w:tc>
        <w:tc>
          <w:tcPr>
            <w:tcW w:type="dxa" w:w="1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27.0%</w:t>
            </w:r>
          </w:p>
        </w:tc>
        <w:tc>
          <w:tcPr>
            <w:tcW w:type="dxa" w:w="245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Met</w:t>
            </w:r>
          </w:p>
        </w:tc>
      </w:tr>
      <w:tr>
        <w:trPr>
          <w:cantSplit/>
          <w:tblHeader w:val="false"/>
        </w:trPr>
        <w:tc>
          <w:tcPr>
            <w:tcW w:type="dxa" w:w="3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Incremental investment (envelope ₹15 cr in FY27)</w:t>
            </w:r>
          </w:p>
        </w:tc>
        <w:tc>
          <w:tcPr>
            <w:tcW w:type="dxa" w:w="165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14.95</w:t>
            </w:r>
          </w:p>
        </w:tc>
        <w:tc>
          <w:tcPr>
            <w:tcW w:type="dxa" w:w="1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20.35</w:t>
            </w:r>
          </w:p>
        </w:tc>
        <w:tc>
          <w:tcPr>
            <w:tcW w:type="dxa" w:w="1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26.55</w:t>
            </w:r>
          </w:p>
        </w:tc>
        <w:tc>
          <w:tcPr>
            <w:tcW w:type="dxa" w:w="245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Met</w:t>
            </w:r>
          </w:p>
        </w:tc>
      </w:tr>
      <w:tr>
        <w:trPr>
          <w:cantSplit/>
          <w:tblHeader w:val="false"/>
        </w:trPr>
        <w:tc>
          <w:tcPr>
            <w:tcW w:type="dxa" w:w="3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Net new AEs (≤ 12 in FY27) / channel roles (≤ 6)</w:t>
            </w:r>
          </w:p>
        </w:tc>
        <w:tc>
          <w:tcPr>
            <w:tcW w:type="dxa" w:w="165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6 / 3</w:t>
            </w:r>
          </w:p>
        </w:tc>
        <w:tc>
          <w:tcPr>
            <w:tcW w:type="dxa" w:w="1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8 / 5</w:t>
            </w:r>
          </w:p>
        </w:tc>
        <w:tc>
          <w:tcPr>
            <w:tcW w:type="dxa" w:w="1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6 / 6</w:t>
            </w:r>
          </w:p>
        </w:tc>
        <w:tc>
          <w:tcPr>
            <w:tcW w:type="dxa" w:w="245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Met</w:t>
            </w:r>
          </w:p>
        </w:tc>
      </w:tr>
      <w:tr>
        <w:trPr>
          <w:cantSplit/>
          <w:tblHeader w:val="false"/>
        </w:trPr>
        <w:tc>
          <w:tcPr>
            <w:tcW w:type="dxa" w:w="3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EBITDA (₹ cr)</w:t>
            </w:r>
          </w:p>
        </w:tc>
        <w:tc>
          <w:tcPr>
            <w:tcW w:type="dxa" w:w="165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-25.9</w:t>
            </w:r>
          </w:p>
        </w:tc>
        <w:tc>
          <w:tcPr>
            <w:tcW w:type="dxa" w:w="1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2.6</w:t>
            </w:r>
          </w:p>
        </w:tc>
        <w:tc>
          <w:tcPr>
            <w:tcW w:type="dxa" w:w="1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52.6</w:t>
            </w:r>
          </w:p>
        </w:tc>
        <w:tc>
          <w:tcPr>
            <w:tcW w:type="dxa" w:w="245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Break-even in FY28</w:t>
            </w:r>
          </w:p>
        </w:tc>
      </w:tr>
      <w:tr>
        <w:trPr>
          <w:cantSplit/>
          <w:tblHeader w:val="false"/>
        </w:trPr>
        <w:tc>
          <w:tcPr>
            <w:tcW w:type="dxa" w:w="3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Partner share of new-logo ARR (goal 25% by FY29)</w:t>
            </w:r>
          </w:p>
        </w:tc>
        <w:tc>
          <w:tcPr>
            <w:tcW w:type="dxa" w:w="165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8.5%</w:t>
            </w:r>
          </w:p>
        </w:tc>
        <w:tc>
          <w:tcPr>
            <w:tcW w:type="dxa" w:w="1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15.2%</w:t>
            </w:r>
          </w:p>
        </w:tc>
        <w:tc>
          <w:tcPr>
            <w:tcW w:type="dxa" w:w="1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22.7%</w:t>
            </w:r>
          </w:p>
        </w:tc>
        <w:tc>
          <w:tcPr>
            <w:tcW w:type="dxa" w:w="245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Short (defended)</w:t>
            </w:r>
          </w:p>
        </w:tc>
      </w:tr>
    </w:tbl>
    <w:p>
      <w:pPr>
        <w:spacing w:after="60" w:before="100"/>
      </w:pPr>
      <w:r>
        <w:rPr>
          <w:b/>
          <w:bCs/>
        </w:rPr>
        <w:t xml:space="preserve">Why this over doing nothing. </w:t>
      </w:r>
      <w:r>
        <w:t xml:space="preserve">Doing nothing is not flat. If FY24–26 trends continue (win rate falling from 27% to 17%, NRR from 118% to 99%), ARR reaches ₹389 crore in FY29, ₹137 crore below the plan. The three-year investment of ₹61.9 crore pays back in 8.0 months against that path, and in 10.5 months even against the stricter test that credits only gains beyond FY26 performance.</w:t>
      </w:r>
    </w:p>
    <w:p>
      <w:pPr>
        <w:keepNext w:val="false"/>
        <w:spacing w:after="40"/>
        <w:jc w:val="center"/>
      </w:pPr>
      <w:r>
        <w:drawing>
          <wp:inline distT="0" distB="0" distL="0" distR="0">
            <wp:extent cx="6096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705100"/>
                    </a:xfrm>
                    <a:prstGeom prst="rect">
                      <a:avLst/>
                    </a:prstGeom>
                  </pic:spPr>
                </pic:pic>
              </a:graphicData>
            </a:graphic>
          </wp:inline>
        </w:drawing>
      </w:r>
    </w:p>
    <w:p>
      <w:pPr>
        <w:spacing w:after="100"/>
      </w:pPr>
      <w:r>
        <w:rPr>
          <w:i/>
          <w:iCs/>
          <w:color w:val="52514E"/>
          <w:sz w:val="15"/>
          <w:szCs w:val="15"/>
        </w:rPr>
        <w:t xml:space="preserve">Exhibit 1. Closing ARR by scenario against the board path and the do-nothing path (model: Scenarios, Do_nothing).</w:t>
      </w:r>
    </w:p>
    <w:p>
      <w:pPr>
        <w:pStyle w:val="Heading1"/>
        <w:keepNext/>
        <w:spacing w:after="70" w:before="180"/>
      </w:pPr>
      <w:r>
        <w:t xml:space="preserve">2. How the model works</w:t>
      </w:r>
    </w:p>
    <w:p>
      <w:pPr>
        <w:spacing w:after="80" w:line="290"/>
      </w:pPr>
      <w:r>
        <w:t xml:space="preserve">One workbook owns every number. Deliverables D1–D6 now read from it; where an earlier deliverable showed a different figure (D2’s ₹46.5 crore new-logo need, D4’s scenarios, D6’s share denominator), this model supersedes it and the Checks sheet reconciles D6 partner ARR to the rupee.</w:t>
      </w:r>
    </w:p>
    <w:p>
      <w:pPr>
        <w:pStyle w:val="ListParagraph"/>
        <w:numPr>
          <w:ilvl w:val="0"/>
          <w:numId w:val="2"/>
        </w:numPr>
        <w:spacing w:after="40" w:line="256"/>
      </w:pPr>
      <w:r>
        <w:rPr>
          <w:b/>
          <w:bCs/>
        </w:rPr>
        <w:t xml:space="preserve">Capacity. </w:t>
      </w:r>
      <w:r>
        <w:t xml:space="preserve">AEs are tracked in four tenure bands (0–6, 6–12, 12–24, 24+ months) with hiring, attrition by band and next-quarter backfill. Ramped-AE equivalents use D1’s measured productivity by tenure (weights 0 / 0.33 / 0.66 / 1.0), not management’s six-month ramp assumption, which the data rejected.</w:t>
      </w:r>
    </w:p>
    <w:p>
      <w:pPr>
        <w:pStyle w:val="ListParagraph"/>
        <w:numPr>
          <w:ilvl w:val="0"/>
          <w:numId w:val="2"/>
        </w:numPr>
        <w:spacing w:after="40" w:line="256"/>
      </w:pPr>
      <w:r>
        <w:rPr>
          <w:b/>
          <w:bCs/>
        </w:rPr>
        <w:t xml:space="preserve">Bookings. </w:t>
      </w:r>
      <w:r>
        <w:t xml:space="preserve">Deals closed per quarter = ramped AEs × 5.4 deals carried at once × 3 ÷ sales cycle, capped by qualified pipeline supply. Direct ARR = deals × win rate × list deal × (1 − discount). All drivers move linearly from their FY26 actuals to each year’s scenario value, so improvement phases in. Q1 FY27 is the locked D4 forecast (₹8.71 crore), because that quarter was under way before the plan.</w:t>
      </w:r>
    </w:p>
    <w:p>
      <w:pPr>
        <w:pStyle w:val="ListParagraph"/>
        <w:numPr>
          <w:ilvl w:val="0"/>
          <w:numId w:val="2"/>
        </w:numPr>
        <w:spacing w:after="40" w:line="256"/>
      </w:pPr>
      <w:r>
        <w:rPr>
          <w:b/>
          <w:bCs/>
        </w:rPr>
        <w:t xml:space="preserve">Channel. </w:t>
      </w:r>
      <w:r>
        <w:t xml:space="preserve">D6’s cohort model (activations, 15% / 60% / 100% ramp, ₹1.2 crore mature productivity) produces partner ARR, counted once: partner deals are not in direct bookings, and the AE’s 50% quota credit is compensation only.</w:t>
      </w:r>
    </w:p>
    <w:p>
      <w:pPr>
        <w:pStyle w:val="ListParagraph"/>
        <w:numPr>
          <w:ilvl w:val="0"/>
          <w:numId w:val="2"/>
        </w:numPr>
        <w:spacing w:after="40" w:line="256"/>
      </w:pPr>
      <w:r>
        <w:rPr>
          <w:b/>
          <w:bCs/>
        </w:rPr>
        <w:t xml:space="preserve">ARR bridge and P&amp;L. </w:t>
      </w:r>
      <w:r>
        <w:t xml:space="preserve">Quarterly: opening + direct + partner + expansion − contraction − churn − the Vajra re-tender = closing, with a zero-difference check every quarter. Revenue, gross margin (partner margin charged to cost of revenue for the floor test), S&amp;M, R&amp;D, G&amp;A, EBITDA and CAC payback on the board-pack definition.</w:t>
      </w:r>
    </w:p>
    <w:p>
      <w:pPr>
        <w:pStyle w:val="ListParagraph"/>
        <w:numPr>
          <w:ilvl w:val="0"/>
          <w:numId w:val="2"/>
        </w:numPr>
        <w:spacing w:after="40" w:line="256"/>
      </w:pPr>
      <w:r>
        <w:rPr>
          <w:b/>
          <w:bCs/>
        </w:rPr>
        <w:t xml:space="preserve">Controls. </w:t>
      </w:r>
      <w:r>
        <w:t xml:space="preserve">A scenario switch (Base, Downside, Aggressive, CFO-capped), five sensitivity shift cells plus a “share of plan delivered” lever, a Cascade sheet, and a Checks sheet with every guardrail. There are no plugs: every calculation cell is a formula or a labelled input traced in Appendix A.</w:t>
      </w:r>
    </w:p>
    <w:p>
      <w:pPr>
        <w:pStyle w:val="Heading1"/>
        <w:keepNext/>
        <w:spacing w:after="70" w:before="180"/>
      </w:pPr>
      <w:r>
        <w:t xml:space="preserve">3. The plan: five programmes and what each is expected to move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2100"/>
        <w:gridCol w:w="2300"/>
        <w:gridCol w:w="2006"/>
      </w:tblGrid>
      <w:tr>
        <w:trPr>
          <w:cantSplit/>
          <w:tblHeader/>
        </w:trPr>
        <w:tc>
          <w:tcPr>
            <w:tcW w:type="dxa" w:w="25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Programme</w:t>
            </w:r>
          </w:p>
        </w:tc>
        <w:tc>
          <w:tcPr>
            <w:tcW w:type="dxa" w:w="13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FY27 cost (₹ cr)</w:t>
            </w:r>
          </w:p>
        </w:tc>
        <w:tc>
          <w:tcPr>
            <w:tcW w:type="dxa" w:w="21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Driver moved in the model</w:t>
            </w:r>
          </w:p>
        </w:tc>
        <w:tc>
          <w:tcPr>
            <w:tcW w:type="dxa" w:w="23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FY26 → FY29 (Base)</w:t>
            </w:r>
          </w:p>
        </w:tc>
        <w:tc>
          <w:tcPr>
            <w:tcW w:type="dxa" w:w="2006"/>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Evidence</w:t>
            </w:r>
          </w:p>
        </w:tc>
      </w:tr>
      <w:tr>
        <w:trPr>
          <w:cantSplit/>
          <w:tblHeader w:val="false"/>
        </w:trPr>
        <w:tc>
          <w:tcPr>
            <w:tcW w:type="dxa" w:w="25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 Target the right accounts (tiering, programme reallocation)</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within existing ₹24 cr budget</w:t>
            </w:r>
          </w:p>
        </w:tc>
        <w:tc>
          <w:tcPr>
            <w:tcW w:type="dxa" w:w="21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Win rate (mix); qualified pipeline supply</w:t>
            </w:r>
          </w:p>
        </w:tc>
        <w:tc>
          <w:tcPr>
            <w:tcW w:type="dxa" w:w="2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Mix +2.9 pts; supply 392 → 470 deals</w:t>
            </w:r>
          </w:p>
        </w:tc>
        <w:tc>
          <w:tcPr>
            <w:tcW w:type="dxa" w:w="20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D1 targeting root cause (₹8.0 cr); D2 back-test</w:t>
            </w:r>
          </w:p>
        </w:tc>
      </w:tr>
      <w:tr>
        <w:trPr>
          <w:cantSplit/>
          <w:tblHeader w:val="false"/>
        </w:trPr>
        <w:tc>
          <w:tcPr>
            <w:tcW w:type="dxa" w:w="25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 Win-rate and price discipline (value selling, battlecards, paid pilots, discount cap)</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0.92 + 0.64 + 0.32 reserve</w:t>
            </w:r>
          </w:p>
        </w:tc>
        <w:tc>
          <w:tcPr>
            <w:tcW w:type="dxa" w:w="21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Win rate; discount; deal size; cycle</w:t>
            </w:r>
          </w:p>
        </w:tc>
        <w:tc>
          <w:tcPr>
            <w:tcW w:type="dxa" w:w="2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Win 17.1% → 22.5%; discount 19.3% → 15%; cycle 8.1 → 7.3 months</w:t>
            </w:r>
          </w:p>
        </w:tc>
        <w:tc>
          <w:tcPr>
            <w:tcW w:type="dxa" w:w="20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D3 role-play and proposal; D5 win/loss; D1 discount creep (₹3.1 cr)</w:t>
            </w:r>
          </w:p>
        </w:tc>
      </w:tr>
      <w:tr>
        <w:trPr>
          <w:cantSplit/>
          <w:tblHeader w:val="false"/>
        </w:trPr>
        <w:tc>
          <w:tcPr>
            <w:tcW w:type="dxa" w:w="25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3. Retention and Helix defence (squads, renewal protection, top-30 expansion, Vajra)</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1.52 + 0.80 + 0.82 + 0.9 + 1.6 reserve</w:t>
            </w:r>
          </w:p>
        </w:tc>
        <w:tc>
          <w:tcPr>
            <w:tcW w:type="dxa" w:w="21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Churn; contraction; expansion; Vajra loss probability</w:t>
            </w:r>
          </w:p>
        </w:tc>
        <w:tc>
          <w:tcPr>
            <w:tcW w:type="dxa" w:w="2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Churn 5.9% → 4.0%; expansion 8.1% → 10.5%; Vajra 45% → 20%</w:t>
            </w:r>
          </w:p>
        </w:tc>
        <w:tc>
          <w:tcPr>
            <w:tcW w:type="dxa" w:w="20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D1 Helix bundle (₹34 cr/yr, largest cause); Inject 2; Inject 4</w:t>
            </w:r>
          </w:p>
        </w:tc>
      </w:tr>
      <w:tr>
        <w:trPr>
          <w:cantSplit/>
          <w:tblHeader w:val="false"/>
        </w:trPr>
        <w:tc>
          <w:tcPr>
            <w:tcW w:type="dxa" w:w="25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4. AE capacity (hiring to pipeline, retention pool)</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1.99 + 1.00</w:t>
            </w:r>
          </w:p>
        </w:tc>
        <w:tc>
          <w:tcPr>
            <w:tcW w:type="dxa" w:w="21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Ramped AEs; attrition</w:t>
            </w:r>
          </w:p>
        </w:tc>
        <w:tc>
          <w:tcPr>
            <w:tcW w:type="dxa" w:w="2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64 → 83 AEs; attrition 29% → 20%</w:t>
            </w:r>
          </w:p>
        </w:tc>
        <w:tc>
          <w:tcPr>
            <w:tcW w:type="dxa" w:w="20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D1 tenure productivity; DR3 attrition</w:t>
            </w:r>
          </w:p>
        </w:tc>
      </w:tr>
      <w:tr>
        <w:trPr>
          <w:cantSplit/>
          <w:tblHeader w:val="false"/>
        </w:trPr>
        <w:tc>
          <w:tcPr>
            <w:tcW w:type="dxa" w:w="25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5. Selective channel (SEA, Gulf, machine builders)</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2.44 + 0.40</w:t>
            </w:r>
          </w:p>
        </w:tc>
        <w:tc>
          <w:tcPr>
            <w:tcW w:type="dxa" w:w="21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Partner ARR</w:t>
            </w:r>
          </w:p>
        </w:tc>
        <w:tc>
          <w:tcPr>
            <w:tcW w:type="dxa" w:w="2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₹2.6 cr → ₹19.7 cr</w:t>
            </w:r>
          </w:p>
        </w:tc>
        <w:tc>
          <w:tcPr>
            <w:tcW w:type="dxa" w:w="20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D6; Inject 3</w:t>
            </w:r>
          </w:p>
        </w:tc>
      </w:tr>
      <w:tr>
        <w:trPr>
          <w:cantSplit/>
          <w:tblHeader w:val="false"/>
        </w:trPr>
        <w:tc>
          <w:tcPr>
            <w:tcW w:type="dxa" w:w="25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Enablers: RevOps and forecasting; sensor-agnostic readiness</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1.00 + 0.60</w:t>
            </w:r>
          </w:p>
        </w:tc>
        <w:tc>
          <w:tcPr>
            <w:tcW w:type="dxa" w:w="21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Forecast accuracy; hardware attach from Q4 FY27</w:t>
            </w:r>
          </w:p>
        </w:tc>
        <w:tc>
          <w:tcPr>
            <w:tcW w:type="dxa" w:w="2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Attach 1.48 → 1.05 per ₹1 of new + expansion ARR</w:t>
            </w:r>
          </w:p>
        </w:tc>
        <w:tc>
          <w:tcPr>
            <w:tcW w:type="dxa" w:w="20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D4; D1 SENSOR-REUSE</w:t>
            </w:r>
          </w:p>
        </w:tc>
      </w:tr>
    </w:tbl>
    <w:p>
      <w:pPr>
        <w:spacing w:before="80"/>
      </w:pPr>
      <w:r>
        <w:rPr>
          <w:i/>
          <w:iCs/>
        </w:rPr>
        <w:t xml:space="preserve">Honesty about attribution: the model attaches each programme to the drivers it should move, but the size of each driver change is a judgement anchored in D1–D6 evidence, not a measured effect. That is why section 8 tests how much of the planned improvement must be delivered before the plan stops paying back.</w:t>
      </w:r>
    </w:p>
    <w:p>
      <w:pPr>
        <w:pStyle w:val="Heading2"/>
        <w:keepNext/>
        <w:spacing w:after="50" w:before="110"/>
      </w:pPr>
      <w:r>
        <w:t xml:space="preserve">What the plan fixes from the D1 diagnosis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2300"/>
        <w:gridCol w:w="1900"/>
        <w:gridCol w:w="1806"/>
      </w:tblGrid>
      <w:tr>
        <w:trPr>
          <w:cantSplit/>
          <w:tblHeader/>
        </w:trPr>
        <w:tc>
          <w:tcPr>
            <w:tcW w:type="dxa" w:w="25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D1 root cause</w:t>
            </w:r>
          </w:p>
        </w:tc>
        <w:tc>
          <w:tcPr>
            <w:tcW w:type="dxa" w:w="17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ARR at stake (D1, per year)</w:t>
            </w:r>
          </w:p>
        </w:tc>
        <w:tc>
          <w:tcPr>
            <w:tcW w:type="dxa" w:w="23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Plan lever in the model</w:t>
            </w:r>
          </w:p>
        </w:tc>
        <w:tc>
          <w:tcPr>
            <w:tcW w:type="dxa" w:w="19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Recovered by FY29 (per year, approx.)</w:t>
            </w:r>
          </w:p>
        </w:tc>
        <w:tc>
          <w:tcPr>
            <w:tcW w:type="dxa" w:w="1806"/>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What is left</w:t>
            </w:r>
          </w:p>
        </w:tc>
      </w:tr>
      <w:tr>
        <w:trPr>
          <w:cantSplit/>
          <w:tblHeader w:val="false"/>
        </w:trPr>
        <w:tc>
          <w:tcPr>
            <w:tcW w:type="dxa" w:w="25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Helix bundle: retention and new-logo losses in Helix-incumbent plants</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₹34.0 cr (25.6 retention + 8.4 new logo)</w:t>
            </w:r>
          </w:p>
        </w:tc>
        <w:tc>
          <w:tcPr>
            <w:tcW w:type="dxa" w:w="2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Churn 5.9% → 4.0%; Vajra plan; Helix-incumbent win held at 7%</w:t>
            </w:r>
          </w:p>
        </w:tc>
        <w:tc>
          <w:tcPr>
            <w:tcW w:type="dxa" w:w="19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 ₹8.0 cr (1.9 pts × FY29 opening ARR) + ₹2.6 cr Vajra</w:t>
            </w:r>
          </w:p>
        </w:tc>
        <w:tc>
          <w:tcPr>
            <w:tcW w:type="dxa" w:w="18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 ₹24 cr: a packaging and pricing decision (sensor-agnostic tier), not a sales fix; D8</w:t>
            </w:r>
          </w:p>
        </w:tc>
      </w:tr>
      <w:tr>
        <w:trPr>
          <w:cantSplit/>
          <w:tblHeader w:val="false"/>
        </w:trPr>
        <w:tc>
          <w:tcPr>
            <w:tcW w:type="dxa" w:w="25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Expansion stall in non-Helix accounts</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₹9.9 cr</w:t>
            </w:r>
          </w:p>
        </w:tc>
        <w:tc>
          <w:tcPr>
            <w:tcW w:type="dxa" w:w="2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Expansion 8.1% → 10.5% of opening ARR</w:t>
            </w:r>
          </w:p>
        </w:tc>
        <w:tc>
          <w:tcPr>
            <w:tcW w:type="dxa" w:w="19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 ₹10.1 cr</w:t>
            </w:r>
          </w:p>
        </w:tc>
        <w:tc>
          <w:tcPr>
            <w:tcW w:type="dxa" w:w="18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Recovered, if the top-30 programme works</w:t>
            </w:r>
          </w:p>
        </w:tc>
      </w:tr>
      <w:tr>
        <w:trPr>
          <w:cantSplit/>
          <w:tblHeader w:val="false"/>
        </w:trPr>
        <w:tc>
          <w:tcPr>
            <w:tcW w:type="dxa" w:w="25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Wrong accounts and single-threaded deals</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₹8.0 cr</w:t>
            </w:r>
          </w:p>
        </w:tc>
        <w:tc>
          <w:tcPr>
            <w:tcW w:type="dxa" w:w="2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Tier mix +2.9 pts of win rate; pipeline supply</w:t>
            </w:r>
          </w:p>
        </w:tc>
        <w:tc>
          <w:tcPr>
            <w:tcW w:type="dxa" w:w="19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 ₹8.8 cr</w:t>
            </w:r>
          </w:p>
        </w:tc>
        <w:tc>
          <w:tcPr>
            <w:tcW w:type="dxa" w:w="18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Recovered; depends on pipeline supply (§5)</w:t>
            </w:r>
          </w:p>
        </w:tc>
      </w:tr>
      <w:tr>
        <w:trPr>
          <w:cantSplit/>
          <w:tblHeader w:val="false"/>
        </w:trPr>
        <w:tc>
          <w:tcPr>
            <w:tcW w:type="dxa" w:w="25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Discount creep</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₹3.1 cr</w:t>
            </w:r>
          </w:p>
        </w:tc>
        <w:tc>
          <w:tcPr>
            <w:tcW w:type="dxa" w:w="2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Discount 19.3% → 15%</w:t>
            </w:r>
          </w:p>
        </w:tc>
        <w:tc>
          <w:tcPr>
            <w:tcW w:type="dxa" w:w="19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 ₹3.4 cr</w:t>
            </w:r>
          </w:p>
        </w:tc>
        <w:tc>
          <w:tcPr>
            <w:tcW w:type="dxa" w:w="18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Recovered, at a small win-rate cost (0.1 pt per pt)</w:t>
            </w:r>
          </w:p>
        </w:tc>
      </w:tr>
    </w:tbl>
    <w:p>
      <w:pPr>
        <w:spacing w:before="80"/>
      </w:pPr>
      <w:r>
        <w:t xml:space="preserve">Recovered amounts are the Base driver change applied to the FY29 base, so they are approximations, not separate model lines. The plan recovers the three causes that sales and customer success can fix and about a third of the Helix cause. The rest is why NRR stays below 108% (section 4) and why the product decision in D8 matters.</w:t>
      </w:r>
    </w:p>
    <w:p>
      <w:pPr>
        <w:pStyle w:val="Heading1"/>
        <w:keepNext/>
        <w:spacing w:after="70" w:before="180"/>
      </w:pPr>
      <w:r>
        <w:t xml:space="preserve">4. What the plan delivers, and the shortfalls I am defending</w:t>
      </w:r>
    </w:p>
    <w:p>
      <w:pPr>
        <w:keepNext w:val="false"/>
        <w:spacing w:after="40"/>
        <w:jc w:val="center"/>
      </w:pPr>
      <w:r>
        <w:drawing>
          <wp:inline distT="0" distB="0" distL="0" distR="0">
            <wp:extent cx="6096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647950"/>
                    </a:xfrm>
                    <a:prstGeom prst="rect">
                      <a:avLst/>
                    </a:prstGeom>
                  </pic:spPr>
                </pic:pic>
              </a:graphicData>
            </a:graphic>
          </wp:inline>
        </w:drawing>
      </w:r>
    </w:p>
    <w:p>
      <w:pPr>
        <w:spacing w:after="100"/>
      </w:pPr>
      <w:r>
        <w:rPr>
          <w:i/>
          <w:iCs/>
          <w:color w:val="52514E"/>
          <w:sz w:val="15"/>
          <w:szCs w:val="15"/>
        </w:rPr>
        <w:t xml:space="preserve">Exhibit 2. FY26 to FY29 ARR bridge, Base (model: ARR_bridge). Expansion is the second-largest source after direct new logos.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206"/>
        <w:gridCol w:w="2000"/>
        <w:gridCol w:w="2000"/>
        <w:gridCol w:w="2000"/>
      </w:tblGrid>
      <w:tr>
        <w:trPr>
          <w:cantSplit/>
          <w:tblHeader/>
        </w:trPr>
        <w:tc>
          <w:tcPr>
            <w:tcW w:type="dxa" w:w="4206"/>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 crore</w:t>
            </w:r>
          </w:p>
        </w:tc>
        <w:tc>
          <w:tcPr>
            <w:tcW w:type="dxa" w:w="20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FY27</w:t>
            </w:r>
          </w:p>
        </w:tc>
        <w:tc>
          <w:tcPr>
            <w:tcW w:type="dxa" w:w="20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FY28</w:t>
            </w:r>
          </w:p>
        </w:tc>
        <w:tc>
          <w:tcPr>
            <w:tcW w:type="dxa" w:w="20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FY29</w:t>
            </w:r>
          </w:p>
        </w:tc>
      </w:tr>
      <w:tr>
        <w:trPr>
          <w:cantSplit/>
          <w:tblHeader w:val="false"/>
        </w:trPr>
        <w:tc>
          <w:tcPr>
            <w:tcW w:type="dxa" w:w="42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Opening ARR</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310.0</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350.9</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422.7</w:t>
            </w:r>
          </w:p>
        </w:tc>
      </w:tr>
      <w:tr>
        <w:trPr>
          <w:cantSplit/>
          <w:tblHeader w:val="false"/>
        </w:trPr>
        <w:tc>
          <w:tcPr>
            <w:tcW w:type="dxa" w:w="42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New logo: direct</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40.0</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55.2</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67.2</w:t>
            </w:r>
          </w:p>
        </w:tc>
      </w:tr>
      <w:tr>
        <w:trPr>
          <w:cantSplit/>
          <w:tblHeader w:val="false"/>
        </w:trPr>
        <w:tc>
          <w:tcPr>
            <w:tcW w:type="dxa" w:w="42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New logo: partner-sourced</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3.7</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9.9</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19.7</w:t>
            </w:r>
          </w:p>
        </w:tc>
      </w:tr>
      <w:tr>
        <w:trPr>
          <w:cantSplit/>
          <w:tblHeader w:val="false"/>
        </w:trPr>
        <w:tc>
          <w:tcPr>
            <w:tcW w:type="dxa" w:w="42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Expansion</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26.3</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34.4</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46.6</w:t>
            </w:r>
          </w:p>
        </w:tc>
      </w:tr>
      <w:tr>
        <w:trPr>
          <w:cantSplit/>
          <w:tblHeader w:val="false"/>
        </w:trPr>
        <w:tc>
          <w:tcPr>
            <w:tcW w:type="dxa" w:w="42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Contraction</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(9.8)</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(10.1)</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(11.5)</w:t>
            </w:r>
          </w:p>
        </w:tc>
      </w:tr>
      <w:tr>
        <w:trPr>
          <w:cantSplit/>
          <w:tblHeader w:val="false"/>
        </w:trPr>
        <w:tc>
          <w:tcPr>
            <w:tcW w:type="dxa" w:w="42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Churn</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(16.8)</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(17.6)</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(19.2)</w:t>
            </w:r>
          </w:p>
        </w:tc>
      </w:tr>
      <w:tr>
        <w:trPr>
          <w:cantSplit/>
          <w:tblHeader w:val="false"/>
        </w:trPr>
        <w:tc>
          <w:tcPr>
            <w:tcW w:type="dxa" w:w="42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Vajra re-tender, expected (Inject 4)</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(2.5)</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w:t>
            </w:r>
          </w:p>
        </w:tc>
      </w:tr>
      <w:tr>
        <w:trPr>
          <w:cantSplit/>
          <w:tblHeader w:val="false"/>
        </w:trPr>
        <w:tc>
          <w:tcPr>
            <w:tcW w:type="dxa" w:w="4206"/>
            <w:tcBorders>
              <w:top w:val="single" w:color="C9C8C2" w:sz="4"/>
              <w:left w:val="single" w:color="C9C8C2" w:sz="4"/>
              <w:bottom w:val="single" w:color="C9C8C2" w:sz="4"/>
              <w:right w:val="single" w:color="C9C8C2" w:sz="4"/>
            </w:tcBorders>
            <w:shd w:fill="E8EEF5" w:color="auto" w:val="clear"/>
            <w:tcMar>
              <w:top w:type="dxa" w:w="40"/>
              <w:left w:type="dxa" w:w="70"/>
              <w:bottom w:type="dxa" w:w="40"/>
              <w:right w:type="dxa" w:w="70"/>
            </w:tcMar>
          </w:tcPr>
          <w:p>
            <w:r>
              <w:rPr>
                <w:b/>
                <w:bCs/>
                <w:sz w:val="17"/>
                <w:szCs w:val="17"/>
              </w:rPr>
              <w:t xml:space="preserve">Closing ARR</w:t>
            </w:r>
          </w:p>
        </w:tc>
        <w:tc>
          <w:tcPr>
            <w:tcW w:type="dxa" w:w="2000"/>
            <w:tcBorders>
              <w:top w:val="single" w:color="C9C8C2" w:sz="4"/>
              <w:left w:val="single" w:color="C9C8C2" w:sz="4"/>
              <w:bottom w:val="single" w:color="C9C8C2" w:sz="4"/>
              <w:right w:val="single" w:color="C9C8C2" w:sz="4"/>
            </w:tcBorders>
            <w:shd w:fill="E8EEF5" w:color="auto" w:val="clear"/>
            <w:tcMar>
              <w:top w:type="dxa" w:w="40"/>
              <w:left w:type="dxa" w:w="70"/>
              <w:bottom w:type="dxa" w:w="40"/>
              <w:right w:type="dxa" w:w="70"/>
            </w:tcMar>
          </w:tcPr>
          <w:p>
            <w:r>
              <w:rPr>
                <w:b/>
                <w:bCs/>
                <w:sz w:val="17"/>
                <w:szCs w:val="17"/>
              </w:rPr>
              <w:t xml:space="preserve">350.9</w:t>
            </w:r>
          </w:p>
        </w:tc>
        <w:tc>
          <w:tcPr>
            <w:tcW w:type="dxa" w:w="2000"/>
            <w:tcBorders>
              <w:top w:val="single" w:color="C9C8C2" w:sz="4"/>
              <w:left w:val="single" w:color="C9C8C2" w:sz="4"/>
              <w:bottom w:val="single" w:color="C9C8C2" w:sz="4"/>
              <w:right w:val="single" w:color="C9C8C2" w:sz="4"/>
            </w:tcBorders>
            <w:shd w:fill="E8EEF5" w:color="auto" w:val="clear"/>
            <w:tcMar>
              <w:top w:type="dxa" w:w="40"/>
              <w:left w:type="dxa" w:w="70"/>
              <w:bottom w:type="dxa" w:w="40"/>
              <w:right w:type="dxa" w:w="70"/>
            </w:tcMar>
          </w:tcPr>
          <w:p>
            <w:r>
              <w:rPr>
                <w:b/>
                <w:bCs/>
                <w:sz w:val="17"/>
                <w:szCs w:val="17"/>
              </w:rPr>
              <w:t xml:space="preserve">422.7</w:t>
            </w:r>
          </w:p>
        </w:tc>
        <w:tc>
          <w:tcPr>
            <w:tcW w:type="dxa" w:w="2000"/>
            <w:tcBorders>
              <w:top w:val="single" w:color="C9C8C2" w:sz="4"/>
              <w:left w:val="single" w:color="C9C8C2" w:sz="4"/>
              <w:bottom w:val="single" w:color="C9C8C2" w:sz="4"/>
              <w:right w:val="single" w:color="C9C8C2" w:sz="4"/>
            </w:tcBorders>
            <w:shd w:fill="E8EEF5" w:color="auto" w:val="clear"/>
            <w:tcMar>
              <w:top w:type="dxa" w:w="40"/>
              <w:left w:type="dxa" w:w="70"/>
              <w:bottom w:type="dxa" w:w="40"/>
              <w:right w:type="dxa" w:w="70"/>
            </w:tcMar>
          </w:tcPr>
          <w:p>
            <w:r>
              <w:rPr>
                <w:b/>
                <w:bCs/>
                <w:sz w:val="17"/>
                <w:szCs w:val="17"/>
              </w:rPr>
              <w:t xml:space="preserve">525.5</w:t>
            </w:r>
          </w:p>
        </w:tc>
      </w:tr>
      <w:tr>
        <w:trPr>
          <w:cantSplit/>
          <w:tblHeader w:val="false"/>
        </w:trPr>
        <w:tc>
          <w:tcPr>
            <w:tcW w:type="dxa" w:w="42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Board path</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356.5</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427.8</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521.9</w:t>
            </w:r>
          </w:p>
        </w:tc>
      </w:tr>
      <w:tr>
        <w:trPr>
          <w:cantSplit/>
          <w:tblHeader w:val="false"/>
        </w:trPr>
        <w:tc>
          <w:tcPr>
            <w:tcW w:type="dxa" w:w="42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Gap to board path</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(5.6)</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(5.1)</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+3.6</w:t>
            </w:r>
          </w:p>
        </w:tc>
      </w:tr>
      <w:tr>
        <w:trPr>
          <w:cantSplit/>
          <w:tblHeader w:val="false"/>
        </w:trPr>
        <w:tc>
          <w:tcPr>
            <w:tcW w:type="dxa" w:w="42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NRR / GRR</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99.1% / 90.6%</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101.9% / 92.1%</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103.8% / 92.7%</w:t>
            </w:r>
          </w:p>
        </w:tc>
      </w:tr>
    </w:tbl>
    <w:p>
      <w:pPr>
        <w:pStyle w:val="Heading2"/>
        <w:keepNext/>
        <w:spacing w:after="50" w:before="110"/>
      </w:pPr>
      <w:r>
        <w:t xml:space="preserve">FY27 growth: 13.2% against 15%</w:t>
      </w:r>
    </w:p>
    <w:p>
      <w:pPr>
        <w:spacing w:after="80" w:line="290"/>
      </w:pPr>
      <w:r>
        <w:t xml:space="preserve">Three facts make 15% in FY27 hard to buy. Q1 is already set by the pipeline that existed on 1 April (₹8.71 crore forecast, about half of quota). New AEs hired in Q3 produce nothing until their second half-year. And AE capacity binds in the first half: the board path needs 412 qualified deals worked in FY27 against capacity of 380, a gap equal to four fully ramped AEs that cannot be hired and ramped inside the year.</w:t>
      </w:r>
    </w:p>
    <w:p>
      <w:pPr>
        <w:spacing w:after="80" w:line="290"/>
      </w:pPr>
      <w:r>
        <w:rPr>
          <w:b/>
          <w:bCs/>
        </w:rPr>
        <w:t xml:space="preserve">What would close it. </w:t>
      </w:r>
      <w:r>
        <w:t xml:space="preserve">A win rate three points above plan takes FY27 to 14.9% (section 9). The Aggressive case (the extra ₹3 crore: six more AEs in Q4 and demand generation) reaches 16.2% but its extra spend does not pay back within the 15 months the CFO set in Inject 1. I recommend holding the ₹15 crore envelope, accepting 13.2%, and recovering the path by FY29, which the Base plan does.</w:t>
      </w:r>
    </w:p>
    <w:p>
      <w:pPr>
        <w:pStyle w:val="Heading2"/>
        <w:keepNext/>
        <w:spacing w:after="50" w:before="110"/>
      </w:pPr>
      <w:r>
        <w:t xml:space="preserve">NRR: 103.8% against the 108% goal</w:t>
      </w:r>
    </w:p>
    <w:p>
      <w:pPr>
        <w:spacing w:after="80" w:line="290"/>
      </w:pPr>
      <w:r>
        <w:t xml:space="preserve">D1 and D5 found that the Helix bundle is a packaging and pricing problem that sales effort alone cannot fix; it was worth ₹34 crore a year, ₹25.6 crore of it in retention. The retention programmes lift NRR from 98.9% to 103.8%. Reaching 108% needs about two more points of churn reduction and two more points of expansion, which I tie to the sensor-agnostic tier (no earlier than Q4 FY27): it lets Helix-incumbent plants keep their Helix sensors and add our analytics. I have not put that effect in the Base plan because the product is not yet built; it is upside, decided in D8.</w:t>
      </w:r>
    </w:p>
    <w:p>
      <w:pPr>
        <w:pStyle w:val="Heading2"/>
        <w:keepNext/>
        <w:spacing w:after="50" w:before="110"/>
      </w:pPr>
      <w:r>
        <w:t xml:space="preserve">Partner share: 22.7% against 25%</w:t>
      </w:r>
    </w:p>
    <w:p>
      <w:pPr>
        <w:spacing w:after="80" w:line="290"/>
      </w:pPr>
      <w:r>
        <w:t xml:space="preserve">Partner ARR is exactly D6’s plan (₹19.7 crore in FY29), but direct new logos grow faster than D6 assumed, so the share is lower. Reaching 25% needs about ₹22 crore of partner ARR, roughly three more activations in FY28. I would not buy those ahead of evidence: D6’s kill gate at end-Q2 FY28 decides whether the channel scales.</w:t>
      </w:r>
    </w:p>
    <w:p>
      <w:pPr>
        <w:pStyle w:val="Heading2"/>
        <w:keepNext/>
        <w:spacing w:after="50" w:before="110"/>
      </w:pPr>
      <w:r>
        <w:t xml:space="preserve">FY27 by quarter: the view the forecast and the Q2 review use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006"/>
        <w:gridCol w:w="1700"/>
        <w:gridCol w:w="1300"/>
        <w:gridCol w:w="1300"/>
        <w:gridCol w:w="1300"/>
        <w:gridCol w:w="1600"/>
      </w:tblGrid>
      <w:tr>
        <w:trPr>
          <w:cantSplit/>
          <w:tblHeader/>
        </w:trPr>
        <w:tc>
          <w:tcPr>
            <w:tcW w:type="dxa" w:w="3006"/>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 crore</w:t>
            </w:r>
          </w:p>
        </w:tc>
        <w:tc>
          <w:tcPr>
            <w:tcW w:type="dxa" w:w="17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Q1 FY27</w:t>
            </w:r>
          </w:p>
        </w:tc>
        <w:tc>
          <w:tcPr>
            <w:tcW w:type="dxa" w:w="13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Q2 FY27</w:t>
            </w:r>
          </w:p>
        </w:tc>
        <w:tc>
          <w:tcPr>
            <w:tcW w:type="dxa" w:w="13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Q3 FY27</w:t>
            </w:r>
          </w:p>
        </w:tc>
        <w:tc>
          <w:tcPr>
            <w:tcW w:type="dxa" w:w="13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Q4 FY27</w:t>
            </w:r>
          </w:p>
        </w:tc>
        <w:tc>
          <w:tcPr>
            <w:tcW w:type="dxa" w:w="16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FY27</w:t>
            </w:r>
          </w:p>
        </w:tc>
      </w:tr>
      <w:tr>
        <w:trPr>
          <w:cantSplit/>
          <w:tblHeader w:val="false"/>
        </w:trPr>
        <w:tc>
          <w:tcPr>
            <w:tcW w:type="dxa" w:w="30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Direct new logo</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7.97 (locked forecast less partner)</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10.12</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10.73</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11.20</w:t>
            </w:r>
          </w:p>
        </w:tc>
        <w:tc>
          <w:tcPr>
            <w:tcW w:type="dxa" w:w="16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40.02</w:t>
            </w:r>
          </w:p>
        </w:tc>
      </w:tr>
      <w:tr>
        <w:trPr>
          <w:cantSplit/>
          <w:tblHeader w:val="false"/>
        </w:trPr>
        <w:tc>
          <w:tcPr>
            <w:tcW w:type="dxa" w:w="30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Partner-sourced new logo</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0.74</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0.85</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1.00</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1.11</w:t>
            </w:r>
          </w:p>
        </w:tc>
        <w:tc>
          <w:tcPr>
            <w:tcW w:type="dxa" w:w="16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3.70</w:t>
            </w:r>
          </w:p>
        </w:tc>
      </w:tr>
      <w:tr>
        <w:trPr>
          <w:cantSplit/>
          <w:tblHeader w:val="false"/>
        </w:trPr>
        <w:tc>
          <w:tcPr>
            <w:tcW w:type="dxa" w:w="30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Expansion</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6.16</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6.41</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6.71</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7.04</w:t>
            </w:r>
          </w:p>
        </w:tc>
        <w:tc>
          <w:tcPr>
            <w:tcW w:type="dxa" w:w="16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26.31</w:t>
            </w:r>
          </w:p>
        </w:tc>
      </w:tr>
      <w:tr>
        <w:trPr>
          <w:cantSplit/>
          <w:tblHeader w:val="false"/>
        </w:trPr>
        <w:tc>
          <w:tcPr>
            <w:tcW w:type="dxa" w:w="30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Contraction + churn</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(6.68)</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(6.64)</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(6.63)</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(6.62)</w:t>
            </w:r>
          </w:p>
        </w:tc>
        <w:tc>
          <w:tcPr>
            <w:tcW w:type="dxa" w:w="16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(26.57)</w:t>
            </w:r>
          </w:p>
        </w:tc>
      </w:tr>
      <w:tr>
        <w:trPr>
          <w:cantSplit/>
          <w:tblHeader w:val="false"/>
        </w:trPr>
        <w:tc>
          <w:tcPr>
            <w:tcW w:type="dxa" w:w="30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Vajra re-tender (expected)</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(2.51)</w:t>
            </w:r>
          </w:p>
        </w:tc>
        <w:tc>
          <w:tcPr>
            <w:tcW w:type="dxa" w:w="16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(2.51)</w:t>
            </w:r>
          </w:p>
        </w:tc>
      </w:tr>
      <w:tr>
        <w:trPr>
          <w:cantSplit/>
          <w:tblHeader w:val="false"/>
        </w:trPr>
        <w:tc>
          <w:tcPr>
            <w:tcW w:type="dxa" w:w="3006"/>
            <w:tcBorders>
              <w:top w:val="single" w:color="C9C8C2" w:sz="4"/>
              <w:left w:val="single" w:color="C9C8C2" w:sz="4"/>
              <w:bottom w:val="single" w:color="C9C8C2" w:sz="4"/>
              <w:right w:val="single" w:color="C9C8C2" w:sz="4"/>
            </w:tcBorders>
            <w:shd w:fill="E8EEF5" w:color="auto" w:val="clear"/>
            <w:tcMar>
              <w:top w:type="dxa" w:w="40"/>
              <w:left w:type="dxa" w:w="70"/>
              <w:bottom w:type="dxa" w:w="40"/>
              <w:right w:type="dxa" w:w="70"/>
            </w:tcMar>
          </w:tcPr>
          <w:p>
            <w:r>
              <w:rPr>
                <w:b/>
                <w:bCs/>
                <w:sz w:val="17"/>
                <w:szCs w:val="17"/>
              </w:rPr>
              <w:t xml:space="preserve">Closing ARR</w:t>
            </w:r>
          </w:p>
        </w:tc>
        <w:tc>
          <w:tcPr>
            <w:tcW w:type="dxa" w:w="1700"/>
            <w:tcBorders>
              <w:top w:val="single" w:color="C9C8C2" w:sz="4"/>
              <w:left w:val="single" w:color="C9C8C2" w:sz="4"/>
              <w:bottom w:val="single" w:color="C9C8C2" w:sz="4"/>
              <w:right w:val="single" w:color="C9C8C2" w:sz="4"/>
            </w:tcBorders>
            <w:shd w:fill="E8EEF5" w:color="auto" w:val="clear"/>
            <w:tcMar>
              <w:top w:type="dxa" w:w="40"/>
              <w:left w:type="dxa" w:w="70"/>
              <w:bottom w:type="dxa" w:w="40"/>
              <w:right w:type="dxa" w:w="70"/>
            </w:tcMar>
          </w:tcPr>
          <w:p>
            <w:r>
              <w:rPr>
                <w:b/>
                <w:bCs/>
                <w:sz w:val="17"/>
                <w:szCs w:val="17"/>
              </w:rPr>
              <w:t xml:space="preserve">318.2</w:t>
            </w:r>
          </w:p>
        </w:tc>
        <w:tc>
          <w:tcPr>
            <w:tcW w:type="dxa" w:w="1300"/>
            <w:tcBorders>
              <w:top w:val="single" w:color="C9C8C2" w:sz="4"/>
              <w:left w:val="single" w:color="C9C8C2" w:sz="4"/>
              <w:bottom w:val="single" w:color="C9C8C2" w:sz="4"/>
              <w:right w:val="single" w:color="C9C8C2" w:sz="4"/>
            </w:tcBorders>
            <w:shd w:fill="E8EEF5" w:color="auto" w:val="clear"/>
            <w:tcMar>
              <w:top w:type="dxa" w:w="40"/>
              <w:left w:type="dxa" w:w="70"/>
              <w:bottom w:type="dxa" w:w="40"/>
              <w:right w:type="dxa" w:w="70"/>
            </w:tcMar>
          </w:tcPr>
          <w:p>
            <w:r>
              <w:rPr>
                <w:b/>
                <w:bCs/>
                <w:sz w:val="17"/>
                <w:szCs w:val="17"/>
              </w:rPr>
              <w:t xml:space="preserve">328.9</w:t>
            </w:r>
          </w:p>
        </w:tc>
        <w:tc>
          <w:tcPr>
            <w:tcW w:type="dxa" w:w="1300"/>
            <w:tcBorders>
              <w:top w:val="single" w:color="C9C8C2" w:sz="4"/>
              <w:left w:val="single" w:color="C9C8C2" w:sz="4"/>
              <w:bottom w:val="single" w:color="C9C8C2" w:sz="4"/>
              <w:right w:val="single" w:color="C9C8C2" w:sz="4"/>
            </w:tcBorders>
            <w:shd w:fill="E8EEF5" w:color="auto" w:val="clear"/>
            <w:tcMar>
              <w:top w:type="dxa" w:w="40"/>
              <w:left w:type="dxa" w:w="70"/>
              <w:bottom w:type="dxa" w:w="40"/>
              <w:right w:type="dxa" w:w="70"/>
            </w:tcMar>
          </w:tcPr>
          <w:p>
            <w:r>
              <w:rPr>
                <w:b/>
                <w:bCs/>
                <w:sz w:val="17"/>
                <w:szCs w:val="17"/>
              </w:rPr>
              <w:t xml:space="preserve">340.7</w:t>
            </w:r>
          </w:p>
        </w:tc>
        <w:tc>
          <w:tcPr>
            <w:tcW w:type="dxa" w:w="1300"/>
            <w:tcBorders>
              <w:top w:val="single" w:color="C9C8C2" w:sz="4"/>
              <w:left w:val="single" w:color="C9C8C2" w:sz="4"/>
              <w:bottom w:val="single" w:color="C9C8C2" w:sz="4"/>
              <w:right w:val="single" w:color="C9C8C2" w:sz="4"/>
            </w:tcBorders>
            <w:shd w:fill="E8EEF5" w:color="auto" w:val="clear"/>
            <w:tcMar>
              <w:top w:type="dxa" w:w="40"/>
              <w:left w:type="dxa" w:w="70"/>
              <w:bottom w:type="dxa" w:w="40"/>
              <w:right w:type="dxa" w:w="70"/>
            </w:tcMar>
          </w:tcPr>
          <w:p>
            <w:r>
              <w:rPr>
                <w:b/>
                <w:bCs/>
                <w:sz w:val="17"/>
                <w:szCs w:val="17"/>
              </w:rPr>
              <w:t xml:space="preserve">350.9</w:t>
            </w:r>
          </w:p>
        </w:tc>
        <w:tc>
          <w:tcPr>
            <w:tcW w:type="dxa" w:w="1600"/>
            <w:tcBorders>
              <w:top w:val="single" w:color="C9C8C2" w:sz="4"/>
              <w:left w:val="single" w:color="C9C8C2" w:sz="4"/>
              <w:bottom w:val="single" w:color="C9C8C2" w:sz="4"/>
              <w:right w:val="single" w:color="C9C8C2" w:sz="4"/>
            </w:tcBorders>
            <w:shd w:fill="E8EEF5" w:color="auto" w:val="clear"/>
            <w:tcMar>
              <w:top w:type="dxa" w:w="40"/>
              <w:left w:type="dxa" w:w="70"/>
              <w:bottom w:type="dxa" w:w="40"/>
              <w:right w:type="dxa" w:w="70"/>
            </w:tcMar>
          </w:tcPr>
          <w:p>
            <w:r>
              <w:rPr>
                <w:b/>
                <w:bCs/>
                <w:sz w:val="17"/>
                <w:szCs w:val="17"/>
              </w:rPr>
              <w:t xml:space="preserve">350.9</w:t>
            </w:r>
          </w:p>
        </w:tc>
      </w:tr>
      <w:tr>
        <w:trPr>
          <w:cantSplit/>
          <w:tblHeader w:val="false"/>
        </w:trPr>
        <w:tc>
          <w:tcPr>
            <w:tcW w:type="dxa" w:w="30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Direct win rate (plan path)</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17.7%</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18.3%</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18.9%</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19.5%</w:t>
            </w:r>
          </w:p>
        </w:tc>
        <w:tc>
          <w:tcPr>
            <w:tcW w:type="dxa" w:w="16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18.6%</w:t>
            </w:r>
          </w:p>
        </w:tc>
      </w:tr>
      <w:tr>
        <w:trPr>
          <w:cantSplit/>
          <w:tblHeader w:val="false"/>
        </w:trPr>
        <w:tc>
          <w:tcPr>
            <w:tcW w:type="dxa" w:w="30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Pipeline required (direct ARR ÷ win rate)</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45.0</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55.3</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56.8</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57.5</w:t>
            </w:r>
          </w:p>
        </w:tc>
        <w:tc>
          <w:tcPr>
            <w:tcW w:type="dxa" w:w="16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214.5</w:t>
            </w:r>
          </w:p>
        </w:tc>
      </w:tr>
      <w:tr>
        <w:trPr>
          <w:cantSplit/>
          <w:tblHeader w:val="false"/>
        </w:trPr>
        <w:tc>
          <w:tcPr>
            <w:tcW w:type="dxa" w:w="30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AEs (end of quarter)</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64</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64</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69</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69</w:t>
            </w:r>
          </w:p>
        </w:tc>
        <w:tc>
          <w:tcPr>
            <w:tcW w:type="dxa" w:w="16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
            </w:r>
          </w:p>
        </w:tc>
      </w:tr>
      <w:tr>
        <w:trPr>
          <w:cantSplit/>
          <w:tblHeader w:val="false"/>
        </w:trPr>
        <w:tc>
          <w:tcPr>
            <w:tcW w:type="dxa" w:w="30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S&amp;M</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26.8</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28.6</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30.9</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30.9</w:t>
            </w:r>
          </w:p>
        </w:tc>
        <w:tc>
          <w:tcPr>
            <w:tcW w:type="dxa" w:w="16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117.1</w:t>
            </w:r>
          </w:p>
        </w:tc>
      </w:tr>
      <w:tr>
        <w:trPr>
          <w:cantSplit/>
          <w:tblHeader w:val="false"/>
        </w:trPr>
        <w:tc>
          <w:tcPr>
            <w:tcW w:type="dxa" w:w="30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CAC payback (months)</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31.0</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28.9</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29.4</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28.1</w:t>
            </w:r>
          </w:p>
        </w:tc>
        <w:tc>
          <w:tcPr>
            <w:tcW w:type="dxa" w:w="16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29.3</w:t>
            </w:r>
          </w:p>
        </w:tc>
      </w:tr>
      <w:tr>
        <w:trPr>
          <w:cantSplit/>
          <w:tblHeader w:val="false"/>
        </w:trPr>
        <w:tc>
          <w:tcPr>
            <w:tcW w:type="dxa" w:w="30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EBITDA</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(7.9)</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(7.0)</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(6.7)</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(4.3)</w:t>
            </w:r>
          </w:p>
        </w:tc>
        <w:tc>
          <w:tcPr>
            <w:tcW w:type="dxa" w:w="16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(25.9)</w:t>
            </w:r>
          </w:p>
        </w:tc>
      </w:tr>
    </w:tbl>
    <w:p>
      <w:pPr>
        <w:pStyle w:val="Heading1"/>
        <w:keepNext/>
        <w:spacing w:after="70" w:before="180"/>
      </w:pPr>
      <w:r>
        <w:t xml:space="preserve">5. Capacity and pipeline arithmetic</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300"/>
        <w:gridCol w:w="1300"/>
        <w:gridCol w:w="3306"/>
      </w:tblGrid>
      <w:tr>
        <w:trPr>
          <w:cantSplit/>
          <w:tblHeader/>
        </w:trPr>
        <w:tc>
          <w:tcPr>
            <w:tcW w:type="dxa" w:w="30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
            </w:r>
          </w:p>
        </w:tc>
        <w:tc>
          <w:tcPr>
            <w:tcW w:type="dxa" w:w="13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FY27</w:t>
            </w:r>
          </w:p>
        </w:tc>
        <w:tc>
          <w:tcPr>
            <w:tcW w:type="dxa" w:w="13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FY28</w:t>
            </w:r>
          </w:p>
        </w:tc>
        <w:tc>
          <w:tcPr>
            <w:tcW w:type="dxa" w:w="13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FY29</w:t>
            </w:r>
          </w:p>
        </w:tc>
        <w:tc>
          <w:tcPr>
            <w:tcW w:type="dxa" w:w="3306"/>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Note</w:t>
            </w:r>
          </w:p>
        </w:tc>
      </w:tr>
      <w:tr>
        <w:trPr>
          <w:cantSplit/>
          <w:tblHeader w:val="false"/>
        </w:trPr>
        <w:tc>
          <w:tcPr>
            <w:tcW w:type="dxa" w:w="3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AEs at year end (net new in year)</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69 (+6)</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77 (+8)</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83 (+6)</w:t>
            </w:r>
          </w:p>
        </w:tc>
        <w:tc>
          <w:tcPr>
            <w:tcW w:type="dxa" w:w="33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Fractions from attrition timing; guardrail ≤ 76 in FY27</w:t>
            </w:r>
          </w:p>
        </w:tc>
      </w:tr>
      <w:tr>
        <w:trPr>
          <w:cantSplit/>
          <w:tblHeader w:val="false"/>
        </w:trPr>
        <w:tc>
          <w:tcPr>
            <w:tcW w:type="dxa" w:w="3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Ramped-AE equivalents (average)</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47.2</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53.7</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61.1</w:t>
            </w:r>
          </w:p>
        </w:tc>
        <w:tc>
          <w:tcPr>
            <w:tcW w:type="dxa" w:w="33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FY26: 48.5</w:t>
            </w:r>
          </w:p>
        </w:tc>
      </w:tr>
      <w:tr>
        <w:trPr>
          <w:cantSplit/>
          <w:tblHeader w:val="false"/>
        </w:trPr>
        <w:tc>
          <w:tcPr>
            <w:tcW w:type="dxa" w:w="3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Effective AE attrition</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24%</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22%</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20%</w:t>
            </w:r>
          </w:p>
        </w:tc>
        <w:tc>
          <w:tcPr>
            <w:tcW w:type="dxa" w:w="33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FY26: 29%</w:t>
            </w:r>
          </w:p>
        </w:tc>
      </w:tr>
      <w:tr>
        <w:trPr>
          <w:cantSplit/>
          <w:tblHeader w:val="false"/>
        </w:trPr>
        <w:tc>
          <w:tcPr>
            <w:tcW w:type="dxa" w:w="3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AE deal capacity (qualified deals / year)</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380</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450</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534</w:t>
            </w:r>
          </w:p>
        </w:tc>
        <w:tc>
          <w:tcPr>
            <w:tcW w:type="dxa" w:w="33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Ramped AEs × 5.4 × 12 ÷ cycle</w:t>
            </w:r>
          </w:p>
        </w:tc>
      </w:tr>
      <w:tr>
        <w:trPr>
          <w:cantSplit/>
          <w:tblHeader w:val="false"/>
        </w:trPr>
        <w:tc>
          <w:tcPr>
            <w:tcW w:type="dxa" w:w="3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Qualified pipeline supply (deals / year)</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380</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430</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470</w:t>
            </w:r>
          </w:p>
        </w:tc>
        <w:tc>
          <w:tcPr>
            <w:tcW w:type="dxa" w:w="33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D2 tiering and programme reallocation</w:t>
            </w:r>
          </w:p>
        </w:tc>
      </w:tr>
      <w:tr>
        <w:trPr>
          <w:cantSplit/>
          <w:tblHeader w:val="false"/>
        </w:trPr>
        <w:tc>
          <w:tcPr>
            <w:tcW w:type="dxa" w:w="3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Deals worked / won</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374 / 67</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427 / 89</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470 / 104</w:t>
            </w:r>
          </w:p>
        </w:tc>
        <w:tc>
          <w:tcPr>
            <w:tcW w:type="dxa" w:w="33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Binding: AE capacity in H1 FY27, pipeline supply from Q3 FY27</w:t>
            </w:r>
          </w:p>
        </w:tc>
      </w:tr>
      <w:tr>
        <w:trPr>
          <w:cantSplit/>
          <w:tblHeader w:val="false"/>
        </w:trPr>
        <w:tc>
          <w:tcPr>
            <w:tcW w:type="dxa" w:w="3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Required direct pipeline = direct ARR ÷ win rate</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₹214.5 cr</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₹265.8 cr</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₹303.9 cr</w:t>
            </w:r>
          </w:p>
        </w:tc>
        <w:tc>
          <w:tcPr>
            <w:tcW w:type="dxa" w:w="33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Matches the D4 coverage logic</w:t>
            </w:r>
          </w:p>
        </w:tc>
      </w:tr>
      <w:tr>
        <w:trPr>
          <w:cantSplit/>
          <w:tblHeader w:val="false"/>
        </w:trPr>
        <w:tc>
          <w:tcPr>
            <w:tcW w:type="dxa" w:w="3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Partner pipeline required vs partner capacity</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₹10.9 / 11.4 cr</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₹29.0 / 30.4 cr</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₹58.0 / 60.8 cr</w:t>
            </w:r>
          </w:p>
        </w:tc>
        <w:tc>
          <w:tcPr>
            <w:tcW w:type="dxa" w:w="33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Fits, with little headroom</w:t>
            </w:r>
          </w:p>
        </w:tc>
      </w:tr>
    </w:tbl>
    <w:p>
      <w:pPr>
        <w:spacing w:before="80"/>
      </w:pPr>
      <w:r>
        <w:rPr>
          <w:b/>
          <w:bCs/>
        </w:rPr>
        <w:t xml:space="preserve">The most useful finding in the model: from Q3 FY27, pipeline supply, not AE headcount, limits bookings. </w:t>
      </w:r>
      <w:r>
        <w:t xml:space="preserve">That is why a one-month shorter sales cycle adds only ₹0.6 crore to FY29 ARR, and why AE attrition staying at 29% costs only ₹1.6 crore. It changes the hiring rule: FY28–29 hires are released only when AE capacity use exceeds 90% for two quarters running. In FY29 the plan runs at 88%, so the six FY29 hires are conditional, not committed. A 10% shortfall in qualified pipeline would cost ₹15.4 crore of FY29 ARR and push Q3 FY27 CAC payback to 31 months.</w:t>
      </w:r>
    </w:p>
    <w:p>
      <w:pPr>
        <w:pStyle w:val="Heading1"/>
        <w:keepNext/>
        <w:spacing w:after="70" w:before="180"/>
      </w:pPr>
      <w:r>
        <w:t xml:space="preserve">6. Profit and loss, gross margin and payback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300"/>
        <w:gridCol w:w="1600"/>
        <w:gridCol w:w="1800"/>
        <w:gridCol w:w="1800"/>
        <w:gridCol w:w="1706"/>
      </w:tblGrid>
      <w:tr>
        <w:trPr>
          <w:cantSplit/>
          <w:tblHeader/>
        </w:trPr>
        <w:tc>
          <w:tcPr>
            <w:tcW w:type="dxa" w:w="33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 crore</w:t>
            </w:r>
          </w:p>
        </w:tc>
        <w:tc>
          <w:tcPr>
            <w:tcW w:type="dxa" w:w="16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FY26 actual</w:t>
            </w:r>
          </w:p>
        </w:tc>
        <w:tc>
          <w:tcPr>
            <w:tcW w:type="dxa" w:w="18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FY27</w:t>
            </w:r>
          </w:p>
        </w:tc>
        <w:tc>
          <w:tcPr>
            <w:tcW w:type="dxa" w:w="18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FY28</w:t>
            </w:r>
          </w:p>
        </w:tc>
        <w:tc>
          <w:tcPr>
            <w:tcW w:type="dxa" w:w="1706"/>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FY29</w:t>
            </w:r>
          </w:p>
        </w:tc>
      </w:tr>
      <w:tr>
        <w:trPr>
          <w:cantSplit/>
          <w:tblHeader w:val="false"/>
        </w:trPr>
        <w:tc>
          <w:tcPr>
            <w:tcW w:type="dxa" w:w="3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Revenue (subscription + hardware)</w:t>
            </w:r>
          </w:p>
        </w:tc>
        <w:tc>
          <w:tcPr>
            <w:tcW w:type="dxa" w:w="16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388.5</w:t>
            </w:r>
          </w:p>
        </w:tc>
        <w:tc>
          <w:tcPr>
            <w:tcW w:type="dxa" w:w="18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429.6</w:t>
            </w:r>
          </w:p>
        </w:tc>
        <w:tc>
          <w:tcPr>
            <w:tcW w:type="dxa" w:w="18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511.3</w:t>
            </w:r>
          </w:p>
        </w:tc>
        <w:tc>
          <w:tcPr>
            <w:tcW w:type="dxa" w:w="17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619.4</w:t>
            </w:r>
          </w:p>
        </w:tc>
      </w:tr>
      <w:tr>
        <w:trPr>
          <w:cantSplit/>
          <w:tblHeader w:val="false"/>
        </w:trPr>
        <w:tc>
          <w:tcPr>
            <w:tcW w:type="dxa" w:w="3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Gross margin after partner margin</w:t>
            </w:r>
          </w:p>
        </w:tc>
        <w:tc>
          <w:tcPr>
            <w:tcW w:type="dxa" w:w="16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68.3%</w:t>
            </w:r>
          </w:p>
        </w:tc>
        <w:tc>
          <w:tcPr>
            <w:tcW w:type="dxa" w:w="18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68.6%</w:t>
            </w:r>
          </w:p>
        </w:tc>
        <w:tc>
          <w:tcPr>
            <w:tcW w:type="dxa" w:w="18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67.5%</w:t>
            </w:r>
          </w:p>
        </w:tc>
        <w:tc>
          <w:tcPr>
            <w:tcW w:type="dxa" w:w="17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67.7%</w:t>
            </w:r>
          </w:p>
        </w:tc>
      </w:tr>
      <w:tr>
        <w:trPr>
          <w:cantSplit/>
          <w:tblHeader w:val="false"/>
        </w:trPr>
        <w:tc>
          <w:tcPr>
            <w:tcW w:type="dxa" w:w="3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Partner margin in cost of revenue</w:t>
            </w:r>
          </w:p>
        </w:tc>
        <w:tc>
          <w:tcPr>
            <w:tcW w:type="dxa" w:w="16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0.4 (in S&amp;M today)</w:t>
            </w:r>
          </w:p>
        </w:tc>
        <w:tc>
          <w:tcPr>
            <w:tcW w:type="dxa" w:w="18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0.6</w:t>
            </w:r>
          </w:p>
        </w:tc>
        <w:tc>
          <w:tcPr>
            <w:tcW w:type="dxa" w:w="18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1.9</w:t>
            </w:r>
          </w:p>
        </w:tc>
        <w:tc>
          <w:tcPr>
            <w:tcW w:type="dxa" w:w="17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4.4</w:t>
            </w:r>
          </w:p>
        </w:tc>
      </w:tr>
      <w:tr>
        <w:trPr>
          <w:cantSplit/>
          <w:tblHeader w:val="false"/>
        </w:trPr>
        <w:tc>
          <w:tcPr>
            <w:tcW w:type="dxa" w:w="3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S&amp;M (existing lines / all AE pay / initiatives)</w:t>
            </w:r>
          </w:p>
        </w:tc>
        <w:tc>
          <w:tcPr>
            <w:tcW w:type="dxa" w:w="16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96.0</w:t>
            </w:r>
          </w:p>
        </w:tc>
        <w:tc>
          <w:tcPr>
            <w:tcW w:type="dxa" w:w="18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117.1 (64.0 / 40.8 / 12.4)</w:t>
            </w:r>
          </w:p>
        </w:tc>
        <w:tc>
          <w:tcPr>
            <w:tcW w:type="dxa" w:w="18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129.1 (67.8 / 48.8 / 12.5)</w:t>
            </w:r>
          </w:p>
        </w:tc>
        <w:tc>
          <w:tcPr>
            <w:tcW w:type="dxa" w:w="17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142.0 (71.9 / 56.5 / 13.7)</w:t>
            </w:r>
          </w:p>
        </w:tc>
      </w:tr>
      <w:tr>
        <w:trPr>
          <w:cantSplit/>
          <w:tblHeader w:val="false"/>
        </w:trPr>
        <w:tc>
          <w:tcPr>
            <w:tcW w:type="dxa" w:w="3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S&amp;M as % of closing ARR</w:t>
            </w:r>
          </w:p>
        </w:tc>
        <w:tc>
          <w:tcPr>
            <w:tcW w:type="dxa" w:w="16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31.0%</w:t>
            </w:r>
          </w:p>
        </w:tc>
        <w:tc>
          <w:tcPr>
            <w:tcW w:type="dxa" w:w="18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33.4%</w:t>
            </w:r>
          </w:p>
        </w:tc>
        <w:tc>
          <w:tcPr>
            <w:tcW w:type="dxa" w:w="18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30.6%</w:t>
            </w:r>
          </w:p>
        </w:tc>
        <w:tc>
          <w:tcPr>
            <w:tcW w:type="dxa" w:w="17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27.0%</w:t>
            </w:r>
          </w:p>
        </w:tc>
      </w:tr>
      <w:tr>
        <w:trPr>
          <w:cantSplit/>
          <w:tblHeader w:val="false"/>
        </w:trPr>
        <w:tc>
          <w:tcPr>
            <w:tcW w:type="dxa" w:w="3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R&amp;D / G&amp;A</w:t>
            </w:r>
          </w:p>
        </w:tc>
        <w:tc>
          <w:tcPr>
            <w:tcW w:type="dxa" w:w="16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123.3 / 69.4</w:t>
            </w:r>
          </w:p>
        </w:tc>
        <w:tc>
          <w:tcPr>
            <w:tcW w:type="dxa" w:w="18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131.3 / 72.1</w:t>
            </w:r>
          </w:p>
        </w:tc>
        <w:tc>
          <w:tcPr>
            <w:tcW w:type="dxa" w:w="18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138.6 / 75.0</w:t>
            </w:r>
          </w:p>
        </w:tc>
        <w:tc>
          <w:tcPr>
            <w:tcW w:type="dxa" w:w="17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146.9 / 78.0</w:t>
            </w:r>
          </w:p>
        </w:tc>
      </w:tr>
      <w:tr>
        <w:trPr>
          <w:cantSplit/>
          <w:tblHeader w:val="false"/>
        </w:trPr>
        <w:tc>
          <w:tcPr>
            <w:tcW w:type="dxa" w:w="3300"/>
            <w:tcBorders>
              <w:top w:val="single" w:color="C9C8C2" w:sz="4"/>
              <w:left w:val="single" w:color="C9C8C2" w:sz="4"/>
              <w:bottom w:val="single" w:color="C9C8C2" w:sz="4"/>
              <w:right w:val="single" w:color="C9C8C2" w:sz="4"/>
            </w:tcBorders>
            <w:shd w:fill="E8EEF5" w:color="auto" w:val="clear"/>
            <w:tcMar>
              <w:top w:type="dxa" w:w="40"/>
              <w:left w:type="dxa" w:w="70"/>
              <w:bottom w:type="dxa" w:w="40"/>
              <w:right w:type="dxa" w:w="70"/>
            </w:tcMar>
          </w:tcPr>
          <w:p>
            <w:r>
              <w:rPr>
                <w:b/>
                <w:bCs/>
                <w:sz w:val="17"/>
                <w:szCs w:val="17"/>
              </w:rPr>
              <w:t xml:space="preserve">EBITDA</w:t>
            </w:r>
          </w:p>
        </w:tc>
        <w:tc>
          <w:tcPr>
            <w:tcW w:type="dxa" w:w="1600"/>
            <w:tcBorders>
              <w:top w:val="single" w:color="C9C8C2" w:sz="4"/>
              <w:left w:val="single" w:color="C9C8C2" w:sz="4"/>
              <w:bottom w:val="single" w:color="C9C8C2" w:sz="4"/>
              <w:right w:val="single" w:color="C9C8C2" w:sz="4"/>
            </w:tcBorders>
            <w:shd w:fill="E8EEF5" w:color="auto" w:val="clear"/>
            <w:tcMar>
              <w:top w:type="dxa" w:w="40"/>
              <w:left w:type="dxa" w:w="70"/>
              <w:bottom w:type="dxa" w:w="40"/>
              <w:right w:type="dxa" w:w="70"/>
            </w:tcMar>
          </w:tcPr>
          <w:p>
            <w:r>
              <w:rPr>
                <w:b/>
                <w:bCs/>
                <w:sz w:val="17"/>
                <w:szCs w:val="17"/>
              </w:rPr>
              <w:t xml:space="preserve">(23.3)</w:t>
            </w:r>
          </w:p>
        </w:tc>
        <w:tc>
          <w:tcPr>
            <w:tcW w:type="dxa" w:w="1800"/>
            <w:tcBorders>
              <w:top w:val="single" w:color="C9C8C2" w:sz="4"/>
              <w:left w:val="single" w:color="C9C8C2" w:sz="4"/>
              <w:bottom w:val="single" w:color="C9C8C2" w:sz="4"/>
              <w:right w:val="single" w:color="C9C8C2" w:sz="4"/>
            </w:tcBorders>
            <w:shd w:fill="E8EEF5" w:color="auto" w:val="clear"/>
            <w:tcMar>
              <w:top w:type="dxa" w:w="40"/>
              <w:left w:type="dxa" w:w="70"/>
              <w:bottom w:type="dxa" w:w="40"/>
              <w:right w:type="dxa" w:w="70"/>
            </w:tcMar>
          </w:tcPr>
          <w:p>
            <w:r>
              <w:rPr>
                <w:b/>
                <w:bCs/>
                <w:sz w:val="17"/>
                <w:szCs w:val="17"/>
              </w:rPr>
              <w:t xml:space="preserve">(25.9)</w:t>
            </w:r>
          </w:p>
        </w:tc>
        <w:tc>
          <w:tcPr>
            <w:tcW w:type="dxa" w:w="1800"/>
            <w:tcBorders>
              <w:top w:val="single" w:color="C9C8C2" w:sz="4"/>
              <w:left w:val="single" w:color="C9C8C2" w:sz="4"/>
              <w:bottom w:val="single" w:color="C9C8C2" w:sz="4"/>
              <w:right w:val="single" w:color="C9C8C2" w:sz="4"/>
            </w:tcBorders>
            <w:shd w:fill="E8EEF5" w:color="auto" w:val="clear"/>
            <w:tcMar>
              <w:top w:type="dxa" w:w="40"/>
              <w:left w:type="dxa" w:w="70"/>
              <w:bottom w:type="dxa" w:w="40"/>
              <w:right w:type="dxa" w:w="70"/>
            </w:tcMar>
          </w:tcPr>
          <w:p>
            <w:r>
              <w:rPr>
                <w:b/>
                <w:bCs/>
                <w:sz w:val="17"/>
                <w:szCs w:val="17"/>
              </w:rPr>
              <w:t xml:space="preserve">2.6</w:t>
            </w:r>
          </w:p>
        </w:tc>
        <w:tc>
          <w:tcPr>
            <w:tcW w:type="dxa" w:w="1706"/>
            <w:tcBorders>
              <w:top w:val="single" w:color="C9C8C2" w:sz="4"/>
              <w:left w:val="single" w:color="C9C8C2" w:sz="4"/>
              <w:bottom w:val="single" w:color="C9C8C2" w:sz="4"/>
              <w:right w:val="single" w:color="C9C8C2" w:sz="4"/>
            </w:tcBorders>
            <w:shd w:fill="E8EEF5" w:color="auto" w:val="clear"/>
            <w:tcMar>
              <w:top w:type="dxa" w:w="40"/>
              <w:left w:type="dxa" w:w="70"/>
              <w:bottom w:type="dxa" w:w="40"/>
              <w:right w:type="dxa" w:w="70"/>
            </w:tcMar>
          </w:tcPr>
          <w:p>
            <w:r>
              <w:rPr>
                <w:b/>
                <w:bCs/>
                <w:sz w:val="17"/>
                <w:szCs w:val="17"/>
              </w:rPr>
              <w:t xml:space="preserve">52.6</w:t>
            </w:r>
          </w:p>
        </w:tc>
      </w:tr>
      <w:tr>
        <w:trPr>
          <w:cantSplit/>
          <w:tblHeader w:val="false"/>
        </w:trPr>
        <w:tc>
          <w:tcPr>
            <w:tcW w:type="dxa" w:w="3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CAC payback (annual, months)</w:t>
            </w:r>
          </w:p>
        </w:tc>
        <w:tc>
          <w:tcPr>
            <w:tcW w:type="dxa" w:w="16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26.8</w:t>
            </w:r>
          </w:p>
        </w:tc>
        <w:tc>
          <w:tcPr>
            <w:tcW w:type="dxa" w:w="18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29.3</w:t>
            </w:r>
          </w:p>
        </w:tc>
        <w:tc>
          <w:tcPr>
            <w:tcW w:type="dxa" w:w="18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23.1</w:t>
            </w:r>
          </w:p>
        </w:tc>
        <w:tc>
          <w:tcPr>
            <w:tcW w:type="dxa" w:w="17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18.8</w:t>
            </w:r>
          </w:p>
        </w:tc>
      </w:tr>
    </w:tbl>
    <w:p>
      <w:pPr>
        <w:keepNext w:val="false"/>
        <w:spacing w:after="40"/>
        <w:jc w:val="center"/>
      </w:pPr>
      <w:r>
        <w:drawing>
          <wp:inline distT="0" distB="0" distL="0" distR="0">
            <wp:extent cx="6096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190750"/>
                    </a:xfrm>
                    <a:prstGeom prst="rect">
                      <a:avLst/>
                    </a:prstGeom>
                  </pic:spPr>
                </pic:pic>
              </a:graphicData>
            </a:graphic>
          </wp:inline>
        </w:drawing>
      </w:r>
    </w:p>
    <w:p>
      <w:pPr>
        <w:spacing w:after="100"/>
      </w:pPr>
      <w:r>
        <w:rPr>
          <w:i/>
          <w:iCs/>
          <w:color w:val="52514E"/>
          <w:sz w:val="15"/>
          <w:szCs w:val="15"/>
        </w:rPr>
        <w:t xml:space="preserve">Exhibit 3. Quarterly CAC payback (S&amp;M ÷ ((new + expansion ARR) × gross margin) × 12). Q1 FY27 breaches the 30-month cap; Q3 FY27 is the tightest quarter the plan controls.</w:t>
      </w:r>
    </w:p>
    <w:p>
      <w:pPr>
        <w:spacing w:after="80" w:line="290"/>
      </w:pPr>
      <w:r>
        <w:rPr>
          <w:b/>
          <w:bCs/>
        </w:rPr>
        <w:t xml:space="preserve">The one guardrail breach. </w:t>
      </w:r>
      <w:r>
        <w:t xml:space="preserve">Q1 FY27 CAC payback is 31.0 months. Bookings for that quarter were fixed by the 1 April pipeline, and nothing approved now can change them; the programmes start in Q2 so they do not add to Q1 spend. I ask the board for an explicit exception for Q1 FY27 only. From Q2 FY27 every quarter is within 30 months, but Q3 FY27 sits at 29.4: a win rate 0.7 points below plan breaks it. That is why the H2 reserve is released only if the Q2 win-rate trigger is met.</w:t>
      </w:r>
    </w:p>
    <w:p>
      <w:pPr>
        <w:spacing w:after="80" w:line="290"/>
      </w:pPr>
      <w:r>
        <w:rPr>
          <w:b/>
          <w:bCs/>
        </w:rPr>
        <w:t xml:space="preserve">The margin risk nobody has priced. </w:t>
      </w:r>
      <w:r>
        <w:t xml:space="preserve">Hardware sells at about 25% gross margin and attaches to every rupee of new and expansion ARR (₹1.48 of hardware per ₹1 of ARR in FY26, rising from ₹1.34 in FY24). Growth therefore dilutes gross margin. If attach stays at the FY26 level, gross margin falls to 65.9% in FY28 and 64.5% in FY29, breaking the floor. The plan assumes attach falls to ₹1.05 by FY29 through software-led expansion and the sensor-agnostic tier. This is the assumption the CFO should test hardest, and it links the CPO’s sensor-agnostic question in D8 directly to the margin guardrail.</w:t>
      </w:r>
    </w:p>
    <w:p>
      <w:pPr>
        <w:pStyle w:val="Heading1"/>
        <w:keepNext/>
        <w:spacing w:after="70" w:before="180"/>
      </w:pPr>
      <w:r>
        <w:t xml:space="preserve">7. Headcount, spend and payback by year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206"/>
        <w:gridCol w:w="2000"/>
        <w:gridCol w:w="2000"/>
        <w:gridCol w:w="2000"/>
      </w:tblGrid>
      <w:tr>
        <w:trPr>
          <w:cantSplit/>
          <w:tblHeader/>
        </w:trPr>
        <w:tc>
          <w:tcPr>
            <w:tcW w:type="dxa" w:w="4206"/>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
            </w:r>
          </w:p>
        </w:tc>
        <w:tc>
          <w:tcPr>
            <w:tcW w:type="dxa" w:w="20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FY27</w:t>
            </w:r>
          </w:p>
        </w:tc>
        <w:tc>
          <w:tcPr>
            <w:tcW w:type="dxa" w:w="20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FY28</w:t>
            </w:r>
          </w:p>
        </w:tc>
        <w:tc>
          <w:tcPr>
            <w:tcW w:type="dxa" w:w="20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FY29</w:t>
            </w:r>
          </w:p>
        </w:tc>
      </w:tr>
      <w:tr>
        <w:trPr>
          <w:cantSplit/>
          <w:tblHeader w:val="false"/>
        </w:trPr>
        <w:tc>
          <w:tcPr>
            <w:tcW w:type="dxa" w:w="42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AEs (end of year)</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69</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77</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83 (6 conditional)</w:t>
            </w:r>
          </w:p>
        </w:tc>
      </w:tr>
      <w:tr>
        <w:trPr>
          <w:cantSplit/>
          <w:tblHeader w:val="false"/>
        </w:trPr>
        <w:tc>
          <w:tcPr>
            <w:tcW w:type="dxa" w:w="42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Channel roles (VP + partner managers)</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3</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5</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6</w:t>
            </w:r>
          </w:p>
        </w:tc>
      </w:tr>
      <w:tr>
        <w:trPr>
          <w:cantSplit/>
          <w:tblHeader w:val="false"/>
        </w:trPr>
        <w:tc>
          <w:tcPr>
            <w:tcW w:type="dxa" w:w="42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Customer success (retention squads)</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+4, +4 from Q3 if reserve released</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8</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8</w:t>
            </w:r>
          </w:p>
        </w:tc>
      </w:tr>
      <w:tr>
        <w:trPr>
          <w:cantSplit/>
          <w:tblHeader w:val="false"/>
        </w:trPr>
        <w:tc>
          <w:tcPr>
            <w:tcW w:type="dxa" w:w="42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Value engineer / solutions architect / RevOps / pilot SEs</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 / 1 / 2 / 3</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same</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same</w:t>
            </w:r>
          </w:p>
        </w:tc>
      </w:tr>
      <w:tr>
        <w:trPr>
          <w:cantSplit/>
          <w:tblHeader w:val="false"/>
        </w:trPr>
        <w:tc>
          <w:tcPr>
            <w:tcW w:type="dxa" w:w="4206"/>
            <w:tcBorders>
              <w:top w:val="single" w:color="C9C8C2" w:sz="4"/>
              <w:left w:val="single" w:color="C9C8C2" w:sz="4"/>
              <w:bottom w:val="single" w:color="C9C8C2" w:sz="4"/>
              <w:right w:val="single" w:color="C9C8C2" w:sz="4"/>
            </w:tcBorders>
            <w:shd w:fill="E8EEF5" w:color="auto" w:val="clear"/>
            <w:tcMar>
              <w:top w:type="dxa" w:w="40"/>
              <w:left w:type="dxa" w:w="70"/>
              <w:bottom w:type="dxa" w:w="40"/>
              <w:right w:type="dxa" w:w="70"/>
            </w:tcMar>
          </w:tcPr>
          <w:p>
            <w:r>
              <w:rPr>
                <w:b/>
                <w:bCs/>
                <w:sz w:val="17"/>
                <w:szCs w:val="17"/>
              </w:rPr>
              <w:t xml:space="preserve">Incremental investment (₹ cr)</w:t>
            </w:r>
          </w:p>
        </w:tc>
        <w:tc>
          <w:tcPr>
            <w:tcW w:type="dxa" w:w="2000"/>
            <w:tcBorders>
              <w:top w:val="single" w:color="C9C8C2" w:sz="4"/>
              <w:left w:val="single" w:color="C9C8C2" w:sz="4"/>
              <w:bottom w:val="single" w:color="C9C8C2" w:sz="4"/>
              <w:right w:val="single" w:color="C9C8C2" w:sz="4"/>
            </w:tcBorders>
            <w:shd w:fill="E8EEF5" w:color="auto" w:val="clear"/>
            <w:tcMar>
              <w:top w:type="dxa" w:w="40"/>
              <w:left w:type="dxa" w:w="70"/>
              <w:bottom w:type="dxa" w:w="40"/>
              <w:right w:type="dxa" w:w="70"/>
            </w:tcMar>
          </w:tcPr>
          <w:p>
            <w:r>
              <w:rPr>
                <w:b/>
                <w:bCs/>
                <w:sz w:val="17"/>
                <w:szCs w:val="17"/>
              </w:rPr>
              <w:t xml:space="preserve">14.95</w:t>
            </w:r>
          </w:p>
        </w:tc>
        <w:tc>
          <w:tcPr>
            <w:tcW w:type="dxa" w:w="2000"/>
            <w:tcBorders>
              <w:top w:val="single" w:color="C9C8C2" w:sz="4"/>
              <w:left w:val="single" w:color="C9C8C2" w:sz="4"/>
              <w:bottom w:val="single" w:color="C9C8C2" w:sz="4"/>
              <w:right w:val="single" w:color="C9C8C2" w:sz="4"/>
            </w:tcBorders>
            <w:shd w:fill="E8EEF5" w:color="auto" w:val="clear"/>
            <w:tcMar>
              <w:top w:type="dxa" w:w="40"/>
              <w:left w:type="dxa" w:w="70"/>
              <w:bottom w:type="dxa" w:w="40"/>
              <w:right w:type="dxa" w:w="70"/>
            </w:tcMar>
          </w:tcPr>
          <w:p>
            <w:r>
              <w:rPr>
                <w:b/>
                <w:bCs/>
                <w:sz w:val="17"/>
                <w:szCs w:val="17"/>
              </w:rPr>
              <w:t xml:space="preserve">20.35</w:t>
            </w:r>
          </w:p>
        </w:tc>
        <w:tc>
          <w:tcPr>
            <w:tcW w:type="dxa" w:w="2000"/>
            <w:tcBorders>
              <w:top w:val="single" w:color="C9C8C2" w:sz="4"/>
              <w:left w:val="single" w:color="C9C8C2" w:sz="4"/>
              <w:bottom w:val="single" w:color="C9C8C2" w:sz="4"/>
              <w:right w:val="single" w:color="C9C8C2" w:sz="4"/>
            </w:tcBorders>
            <w:shd w:fill="E8EEF5" w:color="auto" w:val="clear"/>
            <w:tcMar>
              <w:top w:type="dxa" w:w="40"/>
              <w:left w:type="dxa" w:w="70"/>
              <w:bottom w:type="dxa" w:w="40"/>
              <w:right w:type="dxa" w:w="70"/>
            </w:tcMar>
          </w:tcPr>
          <w:p>
            <w:r>
              <w:rPr>
                <w:b/>
                <w:bCs/>
                <w:sz w:val="17"/>
                <w:szCs w:val="17"/>
              </w:rPr>
              <w:t xml:space="preserve">26.55</w:t>
            </w:r>
          </w:p>
        </w:tc>
      </w:tr>
      <w:tr>
        <w:trPr>
          <w:cantSplit/>
          <w:tblHeader w:val="false"/>
        </w:trPr>
        <w:tc>
          <w:tcPr>
            <w:tcW w:type="dxa" w:w="42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of which net new AE pay and recruiting</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1.99</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7.83</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12.88</w:t>
            </w:r>
          </w:p>
        </w:tc>
      </w:tr>
      <w:tr>
        <w:trPr>
          <w:cantSplit/>
          <w:tblHeader w:val="false"/>
        </w:trPr>
        <w:tc>
          <w:tcPr>
            <w:tcW w:type="dxa" w:w="42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of which channel foundation</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2.44</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3.46</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4.00</w:t>
            </w:r>
          </w:p>
        </w:tc>
      </w:tr>
      <w:tr>
        <w:trPr>
          <w:cantSplit/>
          <w:tblHeader w:val="false"/>
        </w:trPr>
        <w:tc>
          <w:tcPr>
            <w:tcW w:type="dxa" w:w="42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of which reserve lines (released at Q2 review)</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2.82</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2.04</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2.16</w:t>
            </w:r>
          </w:p>
        </w:tc>
      </w:tr>
      <w:tr>
        <w:trPr>
          <w:cantSplit/>
          <w:tblHeader w:val="false"/>
        </w:trPr>
        <w:tc>
          <w:tcPr>
            <w:tcW w:type="dxa" w:w="42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Cumulative investment (₹ cr)</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14.95</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35.30</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61.85</w:t>
            </w:r>
          </w:p>
        </w:tc>
      </w:tr>
      <w:tr>
        <w:trPr>
          <w:cantSplit/>
          <w:tblHeader w:val="false"/>
        </w:trPr>
        <w:tc>
          <w:tcPr>
            <w:tcW w:type="dxa" w:w="42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Investment payback vs do-nothing (months)</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30.8</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11.7</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8.0</w:t>
            </w:r>
          </w:p>
        </w:tc>
      </w:tr>
      <w:tr>
        <w:trPr>
          <w:cantSplit/>
          <w:tblHeader w:val="false"/>
        </w:trPr>
        <w:tc>
          <w:tcPr>
            <w:tcW w:type="dxa" w:w="42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Investment payback vs FY26-flat (months)</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78.0</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16.5</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10.5</w:t>
            </w:r>
          </w:p>
        </w:tc>
      </w:tr>
    </w:tbl>
    <w:p>
      <w:pPr>
        <w:spacing w:before="80"/>
      </w:pPr>
      <w:r>
        <w:t xml:space="preserve">FY27 alone does not pay back on the stricter test (78 months), because a quarter of the year is gone and hires ramp slowly. The case rests on FY28–29, which is why the Q2 FY27 triggers matter: they are the earliest point at which the board can see whether the FY28 inflection is coming.</w:t>
      </w:r>
    </w:p>
    <w:p>
      <w:pPr>
        <w:pStyle w:val="Heading1"/>
        <w:keepNext/>
        <w:spacing w:after="70" w:before="180"/>
      </w:pPr>
      <w:r>
        <w:t xml:space="preserve">8. Scenarios, sensitivity and break-even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000"/>
        <w:gridCol w:w="1950"/>
        <w:gridCol w:w="1956"/>
      </w:tblGrid>
      <w:tr>
        <w:trPr>
          <w:cantSplit/>
          <w:tblHeader/>
        </w:trPr>
        <w:tc>
          <w:tcPr>
            <w:tcW w:type="dxa" w:w="25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
            </w:r>
          </w:p>
        </w:tc>
        <w:tc>
          <w:tcPr>
            <w:tcW w:type="dxa" w:w="18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Base</w:t>
            </w:r>
          </w:p>
        </w:tc>
        <w:tc>
          <w:tcPr>
            <w:tcW w:type="dxa" w:w="20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Downside</w:t>
            </w:r>
          </w:p>
        </w:tc>
        <w:tc>
          <w:tcPr>
            <w:tcW w:type="dxa" w:w="195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Aggressive (₹18 cr)</w:t>
            </w:r>
          </w:p>
        </w:tc>
        <w:tc>
          <w:tcPr>
            <w:tcW w:type="dxa" w:w="1956"/>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CFO-capped</w:t>
            </w:r>
          </w:p>
        </w:tc>
      </w:tr>
      <w:tr>
        <w:trPr>
          <w:cantSplit/>
          <w:tblHeader w:val="false"/>
        </w:trPr>
        <w:tc>
          <w:tcPr>
            <w:tcW w:type="dxa" w:w="25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What changes</w:t>
            </w:r>
          </w:p>
        </w:tc>
        <w:tc>
          <w:tcPr>
            <w:tcW w:type="dxa" w:w="18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Recommended</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Same spend; weaker win, retention, partners</w:t>
            </w:r>
          </w:p>
        </w:tc>
        <w:tc>
          <w:tcPr>
            <w:tcW w:type="dxa" w:w="195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Extra ₹3 cr; 12 AEs in FY27</w:t>
            </w:r>
          </w:p>
        </w:tc>
        <w:tc>
          <w:tcPr>
            <w:tcW w:type="dxa" w:w="195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Reserve never released; FY28–29 hiring frozen</w:t>
            </w:r>
          </w:p>
        </w:tc>
      </w:tr>
      <w:tr>
        <w:trPr>
          <w:cantSplit/>
          <w:tblHeader w:val="false"/>
        </w:trPr>
        <w:tc>
          <w:tcPr>
            <w:tcW w:type="dxa" w:w="25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FY29 ARR (₹ cr)</w:t>
            </w:r>
          </w:p>
        </w:tc>
        <w:tc>
          <w:tcPr>
            <w:tcW w:type="dxa" w:w="18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525.5</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419.1</w:t>
            </w:r>
          </w:p>
        </w:tc>
        <w:tc>
          <w:tcPr>
            <w:tcW w:type="dxa" w:w="195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598.0</w:t>
            </w:r>
          </w:p>
        </w:tc>
        <w:tc>
          <w:tcPr>
            <w:tcW w:type="dxa" w:w="195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491.6</w:t>
            </w:r>
          </w:p>
        </w:tc>
      </w:tr>
      <w:tr>
        <w:trPr>
          <w:cantSplit/>
          <w:tblHeader w:val="false"/>
        </w:trPr>
        <w:tc>
          <w:tcPr>
            <w:tcW w:type="dxa" w:w="25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Growth FY27 / FY28 / FY29</w:t>
            </w:r>
          </w:p>
        </w:tc>
        <w:tc>
          <w:tcPr>
            <w:tcW w:type="dxa" w:w="18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13.2% / 20.4% / 24.3%</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7.7% / 10.5% / 13.6%</w:t>
            </w:r>
          </w:p>
        </w:tc>
        <w:tc>
          <w:tcPr>
            <w:tcW w:type="dxa" w:w="195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16.2% / 26.3% / 31.4%</w:t>
            </w:r>
          </w:p>
        </w:tc>
        <w:tc>
          <w:tcPr>
            <w:tcW w:type="dxa" w:w="195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11.8% / 17.6% / 20.6%</w:t>
            </w:r>
          </w:p>
        </w:tc>
      </w:tr>
      <w:tr>
        <w:trPr>
          <w:cantSplit/>
          <w:tblHeader w:val="false"/>
        </w:trPr>
        <w:tc>
          <w:tcPr>
            <w:tcW w:type="dxa" w:w="25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NRR FY29</w:t>
            </w:r>
          </w:p>
        </w:tc>
        <w:tc>
          <w:tcPr>
            <w:tcW w:type="dxa" w:w="18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103.8%</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98.9%</w:t>
            </w:r>
          </w:p>
        </w:tc>
        <w:tc>
          <w:tcPr>
            <w:tcW w:type="dxa" w:w="195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106.6%</w:t>
            </w:r>
          </w:p>
        </w:tc>
        <w:tc>
          <w:tcPr>
            <w:tcW w:type="dxa" w:w="195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102.1%</w:t>
            </w:r>
          </w:p>
        </w:tc>
      </w:tr>
      <w:tr>
        <w:trPr>
          <w:cantSplit/>
          <w:tblHeader w:val="false"/>
        </w:trPr>
        <w:tc>
          <w:tcPr>
            <w:tcW w:type="dxa" w:w="25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Lowest gross margin</w:t>
            </w:r>
          </w:p>
        </w:tc>
        <w:tc>
          <w:tcPr>
            <w:tcW w:type="dxa" w:w="18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67.5%</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69.1%</w:t>
            </w:r>
          </w:p>
        </w:tc>
        <w:tc>
          <w:tcPr>
            <w:tcW w:type="dxa" w:w="195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66.7%</w:t>
            </w:r>
          </w:p>
        </w:tc>
        <w:tc>
          <w:tcPr>
            <w:tcW w:type="dxa" w:w="195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68.0%</w:t>
            </w:r>
          </w:p>
        </w:tc>
      </w:tr>
      <w:tr>
        <w:trPr>
          <w:cantSplit/>
          <w:tblHeader w:val="false"/>
        </w:trPr>
        <w:tc>
          <w:tcPr>
            <w:tcW w:type="dxa" w:w="25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Worst CAC payback from Q2 FY27 / Q4 FY28</w:t>
            </w:r>
          </w:p>
        </w:tc>
        <w:tc>
          <w:tcPr>
            <w:tcW w:type="dxa" w:w="18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29.4 / 21.2</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36.0 / 30.9</w:t>
            </w:r>
          </w:p>
        </w:tc>
        <w:tc>
          <w:tcPr>
            <w:tcW w:type="dxa" w:w="195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27.2 / 18.3</w:t>
            </w:r>
          </w:p>
        </w:tc>
        <w:tc>
          <w:tcPr>
            <w:tcW w:type="dxa" w:w="195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29.6 / 22.5</w:t>
            </w:r>
          </w:p>
        </w:tc>
      </w:tr>
      <w:tr>
        <w:trPr>
          <w:cantSplit/>
          <w:tblHeader w:val="false"/>
        </w:trPr>
        <w:tc>
          <w:tcPr>
            <w:tcW w:type="dxa" w:w="25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EBITDA FY29 (₹ cr)</w:t>
            </w:r>
          </w:p>
        </w:tc>
        <w:tc>
          <w:tcPr>
            <w:tcW w:type="dxa" w:w="18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52.6</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-19.8</w:t>
            </w:r>
          </w:p>
        </w:tc>
        <w:tc>
          <w:tcPr>
            <w:tcW w:type="dxa" w:w="195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92.7</w:t>
            </w:r>
          </w:p>
        </w:tc>
        <w:tc>
          <w:tcPr>
            <w:tcW w:type="dxa" w:w="195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36.8</w:t>
            </w:r>
          </w:p>
        </w:tc>
      </w:tr>
      <w:tr>
        <w:trPr>
          <w:cantSplit/>
          <w:tblHeader w:val="false"/>
        </w:trPr>
        <w:tc>
          <w:tcPr>
            <w:tcW w:type="dxa" w:w="25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Investment FY27 / FY27–29</w:t>
            </w:r>
          </w:p>
        </w:tc>
        <w:tc>
          <w:tcPr>
            <w:tcW w:type="dxa" w:w="18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15.0 / 61.9</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15.0 / 61.9</w:t>
            </w:r>
          </w:p>
        </w:tc>
        <w:tc>
          <w:tcPr>
            <w:tcW w:type="dxa" w:w="195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17.3 / 77.7</w:t>
            </w:r>
          </w:p>
        </w:tc>
        <w:tc>
          <w:tcPr>
            <w:tcW w:type="dxa" w:w="195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13.0 / 48.9</w:t>
            </w:r>
          </w:p>
        </w:tc>
      </w:tr>
      <w:tr>
        <w:trPr>
          <w:cantSplit/>
          <w:tblHeader w:val="false"/>
        </w:trPr>
        <w:tc>
          <w:tcPr>
            <w:tcW w:type="dxa" w:w="25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Guardrails failed (incl. Q1 FY27 payback)</w:t>
            </w:r>
          </w:p>
        </w:tc>
        <w:tc>
          <w:tcPr>
            <w:tcW w:type="dxa" w:w="18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w:t>
            </w:r>
          </w:p>
        </w:tc>
        <w:tc>
          <w:tcPr>
            <w:tcW w:type="dxa" w:w="2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3</w:t>
            </w:r>
          </w:p>
        </w:tc>
        <w:tc>
          <w:tcPr>
            <w:tcW w:type="dxa" w:w="195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w:t>
            </w:r>
          </w:p>
        </w:tc>
        <w:tc>
          <w:tcPr>
            <w:tcW w:type="dxa" w:w="195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w:t>
            </w:r>
          </w:p>
        </w:tc>
      </w:tr>
    </w:tbl>
    <w:p>
      <w:pPr>
        <w:spacing w:before="80"/>
      </w:pPr>
      <w:r>
        <w:t xml:space="preserve">The Downside is the case to fear: same spend, weak outcomes, ARR ₹419 crore, EBITDA still negative in FY29 and CAC payback above 30 months from Q2 FY27. The triggers in section 12 exist to detect it by the end of Q2 and move to the CFO-capped path, which protects cash at the cost of ₹34 crore of FY29 ARR.</w:t>
      </w:r>
    </w:p>
    <w:p>
      <w:pPr>
        <w:keepNext w:val="false"/>
        <w:spacing w:after="40"/>
        <w:jc w:val="center"/>
      </w:pPr>
      <w:r>
        <w:drawing>
          <wp:inline distT="0" distB="0" distL="0" distR="0">
            <wp:extent cx="60960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009775"/>
                    </a:xfrm>
                    <a:prstGeom prst="rect">
                      <a:avLst/>
                    </a:prstGeom>
                  </pic:spPr>
                </pic:pic>
              </a:graphicData>
            </a:graphic>
          </wp:inline>
        </w:drawing>
      </w:r>
    </w:p>
    <w:p>
      <w:pPr>
        <w:spacing w:after="100"/>
      </w:pPr>
      <w:r>
        <w:rPr>
          <w:i/>
          <w:iCs/>
          <w:color w:val="52514E"/>
          <w:sz w:val="15"/>
          <w:szCs w:val="15"/>
        </w:rPr>
        <w:t xml:space="preserve">Exhibit 4. FY29 ARR sensitivity, one driver at a time (model: Sensitivity). Win rate and churn dominate; the sales cycle matters only if it gets worse, because pipeline supply binds.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200"/>
        <w:gridCol w:w="1900"/>
        <w:gridCol w:w="1800"/>
        <w:gridCol w:w="2306"/>
      </w:tblGrid>
      <w:tr>
        <w:trPr>
          <w:cantSplit/>
          <w:tblHeader/>
        </w:trPr>
        <w:tc>
          <w:tcPr>
            <w:tcW w:type="dxa" w:w="42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Break-even: the change at which a payback test fails</w:t>
            </w:r>
          </w:p>
        </w:tc>
        <w:tc>
          <w:tcPr>
            <w:tcW w:type="dxa" w:w="19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Win rate vs plan</w:t>
            </w:r>
          </w:p>
        </w:tc>
        <w:tc>
          <w:tcPr>
            <w:tcW w:type="dxa" w:w="18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Churn vs plan</w:t>
            </w:r>
          </w:p>
        </w:tc>
        <w:tc>
          <w:tcPr>
            <w:tcW w:type="dxa" w:w="2306"/>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Share of planned improvement delivered</w:t>
            </w:r>
          </w:p>
        </w:tc>
      </w:tr>
      <w:tr>
        <w:trPr>
          <w:cantSplit/>
          <w:tblHeader w:val="false"/>
        </w:trPr>
        <w:tc>
          <w:tcPr>
            <w:tcW w:type="dxa" w:w="42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CAC payback above 30 months in any quarter from Q2 FY27</w:t>
            </w:r>
          </w:p>
        </w:tc>
        <w:tc>
          <w:tcPr>
            <w:tcW w:type="dxa" w:w="19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-0.711 pts</w:t>
            </w:r>
          </w:p>
        </w:tc>
        <w:tc>
          <w:tcPr>
            <w:tcW w:type="dxa" w:w="18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+8.0 pts</w:t>
            </w:r>
          </w:p>
        </w:tc>
        <w:tc>
          <w:tcPr>
            <w:tcW w:type="dxa" w:w="23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below 78%</w:t>
            </w:r>
          </w:p>
        </w:tc>
      </w:tr>
      <w:tr>
        <w:trPr>
          <w:cantSplit/>
          <w:tblHeader w:val="false"/>
        </w:trPr>
        <w:tc>
          <w:tcPr>
            <w:tcW w:type="dxa" w:w="42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CAC payback above 24 months at Q4 FY28</w:t>
            </w:r>
          </w:p>
        </w:tc>
        <w:tc>
          <w:tcPr>
            <w:tcW w:type="dxa" w:w="19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-4.1 pts</w:t>
            </w:r>
          </w:p>
        </w:tc>
        <w:tc>
          <w:tcPr>
            <w:tcW w:type="dxa" w:w="18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does not bind</w:t>
            </w:r>
          </w:p>
        </w:tc>
        <w:tc>
          <w:tcPr>
            <w:tcW w:type="dxa" w:w="23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below 59%</w:t>
            </w:r>
          </w:p>
        </w:tc>
      </w:tr>
      <w:tr>
        <w:trPr>
          <w:cantSplit/>
          <w:tblHeader w:val="false"/>
        </w:trPr>
        <w:tc>
          <w:tcPr>
            <w:tcW w:type="dxa" w:w="42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Investment payback above 30 months (vs FY26-flat, FY29)</w:t>
            </w:r>
          </w:p>
        </w:tc>
        <w:tc>
          <w:tcPr>
            <w:tcW w:type="dxa" w:w="19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-7.9 pts</w:t>
            </w:r>
          </w:p>
        </w:tc>
        <w:tc>
          <w:tcPr>
            <w:tcW w:type="dxa" w:w="18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+6.1 pts</w:t>
            </w:r>
          </w:p>
        </w:tc>
        <w:tc>
          <w:tcPr>
            <w:tcW w:type="dxa" w:w="23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below 32%</w:t>
            </w:r>
          </w:p>
        </w:tc>
      </w:tr>
    </w:tbl>
    <w:p>
      <w:pPr>
        <w:spacing w:before="80"/>
      </w:pPr>
      <w:r>
        <w:rPr>
          <w:b/>
          <w:bCs/>
        </w:rPr>
        <w:t xml:space="preserve">Where the investment stops paying back. </w:t>
      </w:r>
      <w:r>
        <w:t xml:space="preserve">The investment as a whole is robust: it keeps paying back within 30 months unless win rate falls eight points below plan (below FY26’s level), churn rises six points, or less than a third of the planned improvement arrives. The payback guardrails are far less forgiving. The every-quarter CAC test fails if win rate is 0.7 points below plan or 78% of the improvement arrives; the 24-month Q4 FY28 test fails at four points or 59%. The plan is therefore more likely to break a guardrail than to destroy value, and the triggers are set against the guardrails.</w:t>
      </w:r>
    </w:p>
    <w:p>
      <w:pPr>
        <w:pStyle w:val="Heading1"/>
        <w:keepNext/>
        <w:spacing w:after="70" w:before="180"/>
      </w:pPr>
      <w:r>
        <w:t xml:space="preserve">9. Cascade test: win rate plus three points</w:t>
      </w:r>
    </w:p>
    <w:p>
      <w:pPr>
        <w:spacing w:after="80" w:line="290"/>
      </w:pPr>
      <w:r>
        <w:t xml:space="preserve">Setting the win-rate shift to 3 in the Assumptions sheet moves every dependent number. The Cascade sheet shows the saved Base, the saved +3 run and the live value side by side.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1700"/>
        <w:gridCol w:w="1700"/>
        <w:gridCol w:w="1506"/>
      </w:tblGrid>
      <w:tr>
        <w:trPr>
          <w:cantSplit/>
          <w:tblHeader/>
        </w:trPr>
        <w:tc>
          <w:tcPr>
            <w:tcW w:type="dxa" w:w="34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Metric</w:t>
            </w:r>
          </w:p>
        </w:tc>
        <w:tc>
          <w:tcPr>
            <w:tcW w:type="dxa" w:w="19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Where it shows</w:t>
            </w:r>
          </w:p>
        </w:tc>
        <w:tc>
          <w:tcPr>
            <w:tcW w:type="dxa" w:w="17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Base</w:t>
            </w:r>
          </w:p>
        </w:tc>
        <w:tc>
          <w:tcPr>
            <w:tcW w:type="dxa" w:w="17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+3 pts</w:t>
            </w:r>
          </w:p>
        </w:tc>
        <w:tc>
          <w:tcPr>
            <w:tcW w:type="dxa" w:w="1506"/>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Change</w:t>
            </w:r>
          </w:p>
        </w:tc>
      </w:tr>
      <w:tr>
        <w:trPr>
          <w:cantSplit/>
          <w:tblHeader w:val="false"/>
        </w:trPr>
        <w:tc>
          <w:tcPr>
            <w:tcW w:type="dxa" w:w="3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Deals won FY27</w:t>
            </w:r>
          </w:p>
        </w:tc>
        <w:tc>
          <w:tcPr>
            <w:tcW w:type="dxa" w:w="19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D2 capacity / D4</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67.3</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75.7</w:t>
            </w:r>
          </w:p>
        </w:tc>
        <w:tc>
          <w:tcPr>
            <w:tcW w:type="dxa" w:w="15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+8.4</w:t>
            </w:r>
          </w:p>
        </w:tc>
      </w:tr>
      <w:tr>
        <w:trPr>
          <w:cantSplit/>
          <w:tblHeader w:val="false"/>
        </w:trPr>
        <w:tc>
          <w:tcPr>
            <w:tcW w:type="dxa" w:w="3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Direct new-logo ARR FY27 (₹ cr)</w:t>
            </w:r>
          </w:p>
        </w:tc>
        <w:tc>
          <w:tcPr>
            <w:tcW w:type="dxa" w:w="19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D4 forecast</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40.0</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45.0</w:t>
            </w:r>
          </w:p>
        </w:tc>
        <w:tc>
          <w:tcPr>
            <w:tcW w:type="dxa" w:w="15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+5.0</w:t>
            </w:r>
          </w:p>
        </w:tc>
      </w:tr>
      <w:tr>
        <w:trPr>
          <w:cantSplit/>
          <w:tblHeader w:val="false"/>
        </w:trPr>
        <w:tc>
          <w:tcPr>
            <w:tcW w:type="dxa" w:w="3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Direct new-logo ARR Q2 FY27 (₹ cr)</w:t>
            </w:r>
          </w:p>
        </w:tc>
        <w:tc>
          <w:tcPr>
            <w:tcW w:type="dxa" w:w="19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D4 next quarter</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10.1</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11.8</w:t>
            </w:r>
          </w:p>
        </w:tc>
        <w:tc>
          <w:tcPr>
            <w:tcW w:type="dxa" w:w="15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+1.7</w:t>
            </w:r>
          </w:p>
        </w:tc>
      </w:tr>
      <w:tr>
        <w:trPr>
          <w:cantSplit/>
          <w:tblHeader w:val="false"/>
        </w:trPr>
        <w:tc>
          <w:tcPr>
            <w:tcW w:type="dxa" w:w="3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Pipeline required FY27 (₹ cr)</w:t>
            </w:r>
          </w:p>
        </w:tc>
        <w:tc>
          <w:tcPr>
            <w:tcW w:type="dxa" w:w="19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D4 coverage</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214.5</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207.7</w:t>
            </w:r>
          </w:p>
        </w:tc>
        <w:tc>
          <w:tcPr>
            <w:tcW w:type="dxa" w:w="15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−6.8</w:t>
            </w:r>
          </w:p>
        </w:tc>
      </w:tr>
      <w:tr>
        <w:trPr>
          <w:cantSplit/>
          <w:tblHeader w:val="false"/>
        </w:trPr>
        <w:tc>
          <w:tcPr>
            <w:tcW w:type="dxa" w:w="3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Board path FY27: capacity gap (deals)</w:t>
            </w:r>
          </w:p>
        </w:tc>
        <w:tc>
          <w:tcPr>
            <w:tcW w:type="dxa" w:w="19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D2 account plan capacity</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(32)</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+28</w:t>
            </w:r>
          </w:p>
        </w:tc>
        <w:tc>
          <w:tcPr>
            <w:tcW w:type="dxa" w:w="15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+60</w:t>
            </w:r>
          </w:p>
        </w:tc>
      </w:tr>
      <w:tr>
        <w:trPr>
          <w:cantSplit/>
          <w:tblHeader w:val="false"/>
        </w:trPr>
        <w:tc>
          <w:tcPr>
            <w:tcW w:type="dxa" w:w="3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Extra ramped AEs needed for board path FY27</w:t>
            </w:r>
          </w:p>
        </w:tc>
        <w:tc>
          <w:tcPr>
            <w:tcW w:type="dxa" w:w="19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D2 / hiring</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4.0</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0</w:t>
            </w:r>
          </w:p>
        </w:tc>
        <w:tc>
          <w:tcPr>
            <w:tcW w:type="dxa" w:w="15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−4.0</w:t>
            </w:r>
          </w:p>
        </w:tc>
      </w:tr>
      <w:tr>
        <w:trPr>
          <w:cantSplit/>
          <w:tblHeader w:val="false"/>
        </w:trPr>
        <w:tc>
          <w:tcPr>
            <w:tcW w:type="dxa" w:w="3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Partner-sourced ARR FY29 (₹ cr)</w:t>
            </w:r>
          </w:p>
        </w:tc>
        <w:tc>
          <w:tcPr>
            <w:tcW w:type="dxa" w:w="19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D6 channel</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19.7</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21.4</w:t>
            </w:r>
          </w:p>
        </w:tc>
        <w:tc>
          <w:tcPr>
            <w:tcW w:type="dxa" w:w="15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+1.7</w:t>
            </w:r>
          </w:p>
        </w:tc>
      </w:tr>
      <w:tr>
        <w:trPr>
          <w:cantSplit/>
          <w:tblHeader w:val="false"/>
        </w:trPr>
        <w:tc>
          <w:tcPr>
            <w:tcW w:type="dxa" w:w="3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Channel saving vs direct FY29 (₹ cr)</w:t>
            </w:r>
          </w:p>
        </w:tc>
        <w:tc>
          <w:tcPr>
            <w:tcW w:type="dxa" w:w="19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D6 channel P&amp;L</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11.7</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13.3</w:t>
            </w:r>
          </w:p>
        </w:tc>
        <w:tc>
          <w:tcPr>
            <w:tcW w:type="dxa" w:w="15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+1.6</w:t>
            </w:r>
          </w:p>
        </w:tc>
      </w:tr>
      <w:tr>
        <w:trPr>
          <w:cantSplit/>
          <w:tblHeader w:val="false"/>
        </w:trPr>
        <w:tc>
          <w:tcPr>
            <w:tcW w:type="dxa" w:w="3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Partner share FY29</w:t>
            </w:r>
          </w:p>
        </w:tc>
        <w:tc>
          <w:tcPr>
            <w:tcW w:type="dxa" w:w="19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D6 / objective 5</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22.7%</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21.9%</w:t>
            </w:r>
          </w:p>
        </w:tc>
        <w:tc>
          <w:tcPr>
            <w:tcW w:type="dxa" w:w="15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−0.7 pts</w:t>
            </w:r>
          </w:p>
        </w:tc>
      </w:tr>
      <w:tr>
        <w:trPr>
          <w:cantSplit/>
          <w:tblHeader w:val="false"/>
        </w:trPr>
        <w:tc>
          <w:tcPr>
            <w:tcW w:type="dxa" w:w="3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Closing ARR FY27 / FY28 / FY29 (₹ cr)</w:t>
            </w:r>
          </w:p>
        </w:tc>
        <w:tc>
          <w:tcPr>
            <w:tcW w:type="dxa" w:w="19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D7 bridge</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350.9 / 422.7 / 525.5</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356.3 / 437.0 / 551.4</w:t>
            </w:r>
          </w:p>
        </w:tc>
        <w:tc>
          <w:tcPr>
            <w:tcW w:type="dxa" w:w="15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+5.4 / +14.4 / +25.9</w:t>
            </w:r>
          </w:p>
        </w:tc>
      </w:tr>
      <w:tr>
        <w:trPr>
          <w:cantSplit/>
          <w:tblHeader w:val="false"/>
        </w:trPr>
        <w:tc>
          <w:tcPr>
            <w:tcW w:type="dxa" w:w="3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Growth FY27</w:t>
            </w:r>
          </w:p>
        </w:tc>
        <w:tc>
          <w:tcPr>
            <w:tcW w:type="dxa" w:w="19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Guardrail</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13.2%</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14.9%</w:t>
            </w:r>
          </w:p>
        </w:tc>
        <w:tc>
          <w:tcPr>
            <w:tcW w:type="dxa" w:w="15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+1.7 pts</w:t>
            </w:r>
          </w:p>
        </w:tc>
      </w:tr>
      <w:tr>
        <w:trPr>
          <w:cantSplit/>
          <w:tblHeader w:val="false"/>
        </w:trPr>
        <w:tc>
          <w:tcPr>
            <w:tcW w:type="dxa" w:w="3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Revenue FY29 (₹ cr)</w:t>
            </w:r>
          </w:p>
        </w:tc>
        <w:tc>
          <w:tcPr>
            <w:tcW w:type="dxa" w:w="19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P&amp;L</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619.4</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653.4</w:t>
            </w:r>
          </w:p>
        </w:tc>
        <w:tc>
          <w:tcPr>
            <w:tcW w:type="dxa" w:w="15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+34.0</w:t>
            </w:r>
          </w:p>
        </w:tc>
      </w:tr>
      <w:tr>
        <w:trPr>
          <w:cantSplit/>
          <w:tblHeader w:val="false"/>
        </w:trPr>
        <w:tc>
          <w:tcPr>
            <w:tcW w:type="dxa" w:w="3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Gross margin FY29</w:t>
            </w:r>
          </w:p>
        </w:tc>
        <w:tc>
          <w:tcPr>
            <w:tcW w:type="dxa" w:w="19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Guardrail</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67.7%</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67.2%</w:t>
            </w:r>
          </w:p>
        </w:tc>
        <w:tc>
          <w:tcPr>
            <w:tcW w:type="dxa" w:w="15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−0.5 pts</w:t>
            </w:r>
          </w:p>
        </w:tc>
      </w:tr>
      <w:tr>
        <w:trPr>
          <w:cantSplit/>
          <w:tblHeader w:val="false"/>
        </w:trPr>
        <w:tc>
          <w:tcPr>
            <w:tcW w:type="dxa" w:w="3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EBITDA FY27 / FY29 (₹ cr)</w:t>
            </w:r>
          </w:p>
        </w:tc>
        <w:tc>
          <w:tcPr>
            <w:tcW w:type="dxa" w:w="19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P&amp;L</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(25.9) / 52.6</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(22.4) / 72.1</w:t>
            </w:r>
          </w:p>
        </w:tc>
        <w:tc>
          <w:tcPr>
            <w:tcW w:type="dxa" w:w="15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+3.5 / +19.5</w:t>
            </w:r>
          </w:p>
        </w:tc>
      </w:tr>
      <w:tr>
        <w:trPr>
          <w:cantSplit/>
          <w:tblHeader w:val="false"/>
        </w:trPr>
        <w:tc>
          <w:tcPr>
            <w:tcW w:type="dxa" w:w="3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CAC payback Q4 FY28 (months)</w:t>
            </w:r>
          </w:p>
        </w:tc>
        <w:tc>
          <w:tcPr>
            <w:tcW w:type="dxa" w:w="19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Guardrail</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21.2</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19.6</w:t>
            </w:r>
          </w:p>
        </w:tc>
        <w:tc>
          <w:tcPr>
            <w:tcW w:type="dxa" w:w="15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−1.7</w:t>
            </w:r>
          </w:p>
        </w:tc>
      </w:tr>
      <w:tr>
        <w:trPr>
          <w:cantSplit/>
          <w:tblHeader w:val="false"/>
        </w:trPr>
        <w:tc>
          <w:tcPr>
            <w:tcW w:type="dxa" w:w="3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S&amp;M as % of ARR FY29</w:t>
            </w:r>
          </w:p>
        </w:tc>
        <w:tc>
          <w:tcPr>
            <w:tcW w:type="dxa" w:w="19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Guardrail</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27.0%</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25.7%</w:t>
            </w:r>
          </w:p>
        </w:tc>
        <w:tc>
          <w:tcPr>
            <w:tcW w:type="dxa" w:w="15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−1.3 pts</w:t>
            </w:r>
          </w:p>
        </w:tc>
      </w:tr>
      <w:tr>
        <w:trPr>
          <w:cantSplit/>
          <w:tblHeader w:val="false"/>
        </w:trPr>
        <w:tc>
          <w:tcPr>
            <w:tcW w:type="dxa" w:w="3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Investment payback vs do-nothing FY29 (months)</w:t>
            </w:r>
          </w:p>
        </w:tc>
        <w:tc>
          <w:tcPr>
            <w:tcW w:type="dxa" w:w="19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D8</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8.0</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6.8</w:t>
            </w:r>
          </w:p>
        </w:tc>
        <w:tc>
          <w:tcPr>
            <w:tcW w:type="dxa" w:w="15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−1.2</w:t>
            </w:r>
          </w:p>
        </w:tc>
      </w:tr>
      <w:tr>
        <w:trPr>
          <w:cantSplit/>
          <w:tblHeader w:val="false"/>
        </w:trPr>
        <w:tc>
          <w:tcPr>
            <w:tcW w:type="dxa" w:w="3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Unchanged: AE capacity, NRR, partner pipeline required, Q1 FY27</w:t>
            </w:r>
          </w:p>
        </w:tc>
        <w:tc>
          <w:tcPr>
            <w:tcW w:type="dxa" w:w="19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Explained</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
            </w:r>
          </w:p>
        </w:tc>
        <w:tc>
          <w:tcPr>
            <w:tcW w:type="dxa" w:w="15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Capacity does not depend on win rate; NRR is existing customers; Q1 is locked</w:t>
            </w:r>
          </w:p>
        </w:tc>
      </w:tr>
    </w:tbl>
    <w:p>
      <w:pPr>
        <w:spacing w:before="80"/>
      </w:pPr>
      <w:r>
        <w:t xml:space="preserve">Three second-order effects are worth saying aloud: partner share falls slightly because direct grows faster; gross margin dips because more new ARR brings more low-margin hardware; and three points of win rate would almost close the FY27 gap on its own.</w:t>
      </w:r>
    </w:p>
    <w:p>
      <w:pPr>
        <w:pStyle w:val="Heading1"/>
        <w:keepNext/>
        <w:spacing w:after="70" w:before="180"/>
      </w:pPr>
      <w:r>
        <w:t xml:space="preserve">10. Inject 4: Vajra Auto Components re-tender (₹9.5 crore, renewal Q4 FY27)</w:t>
      </w:r>
    </w:p>
    <w:p>
      <w:pPr>
        <w:spacing w:after="80" w:line="290"/>
      </w:pPr>
      <w:r>
        <w:t xml:space="preserve">Vajra is a top-five customer and 3.1% of ARR. It is a Helix-incumbent plant, HelixAsset is free to Helix customers until 31 March 2027 (Inject 2), and the Helix bundle is the largest churn driver in D1. Without a plan I put the chance of losing it at 45%, with a 15% price concession if we keep it reactively.</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1600"/>
        <w:gridCol w:w="1400"/>
        <w:gridCol w:w="1506"/>
      </w:tblGrid>
      <w:tr>
        <w:trPr>
          <w:cantSplit/>
          <w:tblHeader/>
        </w:trPr>
        <w:tc>
          <w:tcPr>
            <w:tcW w:type="dxa" w:w="42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
            </w:r>
          </w:p>
        </w:tc>
        <w:tc>
          <w:tcPr>
            <w:tcW w:type="dxa" w:w="15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Q4 FY27 ARR lost (₹ cr)</w:t>
            </w:r>
          </w:p>
        </w:tc>
        <w:tc>
          <w:tcPr>
            <w:tcW w:type="dxa" w:w="16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FY27 closing ARR (₹ cr)</w:t>
            </w:r>
          </w:p>
        </w:tc>
        <w:tc>
          <w:tcPr>
            <w:tcW w:type="dxa" w:w="14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FY27 NRR</w:t>
            </w:r>
          </w:p>
        </w:tc>
        <w:tc>
          <w:tcPr>
            <w:tcW w:type="dxa" w:w="1506"/>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FY27 growth</w:t>
            </w:r>
          </w:p>
        </w:tc>
      </w:tr>
      <w:tr>
        <w:trPr>
          <w:cantSplit/>
          <w:tblHeader w:val="false"/>
        </w:trPr>
        <w:tc>
          <w:tcPr>
            <w:tcW w:type="dxa" w:w="4200"/>
            <w:tcBorders>
              <w:top w:val="single" w:color="C9C8C2" w:sz="4"/>
              <w:left w:val="single" w:color="C9C8C2" w:sz="4"/>
              <w:bottom w:val="single" w:color="C9C8C2" w:sz="4"/>
              <w:right w:val="single" w:color="C9C8C2" w:sz="4"/>
            </w:tcBorders>
            <w:shd w:fill="E8EEF5" w:color="auto" w:val="clear"/>
            <w:tcMar>
              <w:top w:type="dxa" w:w="40"/>
              <w:left w:type="dxa" w:w="70"/>
              <w:bottom w:type="dxa" w:w="40"/>
              <w:right w:type="dxa" w:w="70"/>
            </w:tcMar>
          </w:tcPr>
          <w:p>
            <w:r>
              <w:rPr>
                <w:b/>
                <w:bCs/>
                <w:sz w:val="17"/>
                <w:szCs w:val="17"/>
              </w:rPr>
              <w:t xml:space="preserve">Expected, with retention plan (20% loss, 8% concession)</w:t>
            </w:r>
          </w:p>
        </w:tc>
        <w:tc>
          <w:tcPr>
            <w:tcW w:type="dxa" w:w="1500"/>
            <w:tcBorders>
              <w:top w:val="single" w:color="C9C8C2" w:sz="4"/>
              <w:left w:val="single" w:color="C9C8C2" w:sz="4"/>
              <w:bottom w:val="single" w:color="C9C8C2" w:sz="4"/>
              <w:right w:val="single" w:color="C9C8C2" w:sz="4"/>
            </w:tcBorders>
            <w:shd w:fill="E8EEF5" w:color="auto" w:val="clear"/>
            <w:tcMar>
              <w:top w:type="dxa" w:w="40"/>
              <w:left w:type="dxa" w:w="70"/>
              <w:bottom w:type="dxa" w:w="40"/>
              <w:right w:type="dxa" w:w="70"/>
            </w:tcMar>
          </w:tcPr>
          <w:p>
            <w:r>
              <w:rPr>
                <w:b/>
                <w:bCs/>
                <w:sz w:val="17"/>
                <w:szCs w:val="17"/>
              </w:rPr>
              <w:t xml:space="preserve">2.5</w:t>
            </w:r>
          </w:p>
        </w:tc>
        <w:tc>
          <w:tcPr>
            <w:tcW w:type="dxa" w:w="1600"/>
            <w:tcBorders>
              <w:top w:val="single" w:color="C9C8C2" w:sz="4"/>
              <w:left w:val="single" w:color="C9C8C2" w:sz="4"/>
              <w:bottom w:val="single" w:color="C9C8C2" w:sz="4"/>
              <w:right w:val="single" w:color="C9C8C2" w:sz="4"/>
            </w:tcBorders>
            <w:shd w:fill="E8EEF5" w:color="auto" w:val="clear"/>
            <w:tcMar>
              <w:top w:type="dxa" w:w="40"/>
              <w:left w:type="dxa" w:w="70"/>
              <w:bottom w:type="dxa" w:w="40"/>
              <w:right w:type="dxa" w:w="70"/>
            </w:tcMar>
          </w:tcPr>
          <w:p>
            <w:r>
              <w:rPr>
                <w:b/>
                <w:bCs/>
                <w:sz w:val="17"/>
                <w:szCs w:val="17"/>
              </w:rPr>
              <w:t xml:space="preserve">350.9</w:t>
            </w:r>
          </w:p>
        </w:tc>
        <w:tc>
          <w:tcPr>
            <w:tcW w:type="dxa" w:w="1400"/>
            <w:tcBorders>
              <w:top w:val="single" w:color="C9C8C2" w:sz="4"/>
              <w:left w:val="single" w:color="C9C8C2" w:sz="4"/>
              <w:bottom w:val="single" w:color="C9C8C2" w:sz="4"/>
              <w:right w:val="single" w:color="C9C8C2" w:sz="4"/>
            </w:tcBorders>
            <w:shd w:fill="E8EEF5" w:color="auto" w:val="clear"/>
            <w:tcMar>
              <w:top w:type="dxa" w:w="40"/>
              <w:left w:type="dxa" w:w="70"/>
              <w:bottom w:type="dxa" w:w="40"/>
              <w:right w:type="dxa" w:w="70"/>
            </w:tcMar>
          </w:tcPr>
          <w:p>
            <w:r>
              <w:rPr>
                <w:b/>
                <w:bCs/>
                <w:sz w:val="17"/>
                <w:szCs w:val="17"/>
              </w:rPr>
              <w:t xml:space="preserve">99.1%</w:t>
            </w:r>
          </w:p>
        </w:tc>
        <w:tc>
          <w:tcPr>
            <w:tcW w:type="dxa" w:w="1506"/>
            <w:tcBorders>
              <w:top w:val="single" w:color="C9C8C2" w:sz="4"/>
              <w:left w:val="single" w:color="C9C8C2" w:sz="4"/>
              <w:bottom w:val="single" w:color="C9C8C2" w:sz="4"/>
              <w:right w:val="single" w:color="C9C8C2" w:sz="4"/>
            </w:tcBorders>
            <w:shd w:fill="E8EEF5" w:color="auto" w:val="clear"/>
            <w:tcMar>
              <w:top w:type="dxa" w:w="40"/>
              <w:left w:type="dxa" w:w="70"/>
              <w:bottom w:type="dxa" w:w="40"/>
              <w:right w:type="dxa" w:w="70"/>
            </w:tcMar>
          </w:tcPr>
          <w:p>
            <w:r>
              <w:rPr>
                <w:b/>
                <w:bCs/>
                <w:sz w:val="17"/>
                <w:szCs w:val="17"/>
              </w:rPr>
              <w:t xml:space="preserve">13.2%</w:t>
            </w:r>
          </w:p>
        </w:tc>
      </w:tr>
      <w:tr>
        <w:trPr>
          <w:cantSplit/>
          <w:tblHeader w:val="false"/>
        </w:trPr>
        <w:tc>
          <w:tcPr>
            <w:tcW w:type="dxa" w:w="42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Retained at 8% concession</w:t>
            </w:r>
          </w:p>
        </w:tc>
        <w:tc>
          <w:tcPr>
            <w:tcW w:type="dxa" w:w="15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0.8</w:t>
            </w:r>
          </w:p>
        </w:tc>
        <w:tc>
          <w:tcPr>
            <w:tcW w:type="dxa" w:w="16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352.7</w:t>
            </w:r>
          </w:p>
        </w:tc>
        <w:tc>
          <w:tcPr>
            <w:tcW w:type="dxa" w:w="1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99.7%</w:t>
            </w:r>
          </w:p>
        </w:tc>
        <w:tc>
          <w:tcPr>
            <w:tcW w:type="dxa" w:w="15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13.8%</w:t>
            </w:r>
          </w:p>
        </w:tc>
      </w:tr>
      <w:tr>
        <w:trPr>
          <w:cantSplit/>
          <w:tblHeader w:val="false"/>
        </w:trPr>
        <w:tc>
          <w:tcPr>
            <w:tcW w:type="dxa" w:w="42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Lost</w:t>
            </w:r>
          </w:p>
        </w:tc>
        <w:tc>
          <w:tcPr>
            <w:tcW w:type="dxa" w:w="15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9.5</w:t>
            </w:r>
          </w:p>
        </w:tc>
        <w:tc>
          <w:tcPr>
            <w:tcW w:type="dxa" w:w="16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344.0</w:t>
            </w:r>
          </w:p>
        </w:tc>
        <w:tc>
          <w:tcPr>
            <w:tcW w:type="dxa" w:w="1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96.9%</w:t>
            </w:r>
          </w:p>
        </w:tc>
        <w:tc>
          <w:tcPr>
            <w:tcW w:type="dxa" w:w="15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11.0%</w:t>
            </w:r>
          </w:p>
        </w:tc>
      </w:tr>
      <w:tr>
        <w:trPr>
          <w:cantSplit/>
          <w:tblHeader w:val="false"/>
        </w:trPr>
        <w:tc>
          <w:tcPr>
            <w:tcW w:type="dxa" w:w="42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Expected, without a plan (45% loss, 15% concession)</w:t>
            </w:r>
          </w:p>
        </w:tc>
        <w:tc>
          <w:tcPr>
            <w:tcW w:type="dxa" w:w="15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5.1</w:t>
            </w:r>
          </w:p>
        </w:tc>
        <w:tc>
          <w:tcPr>
            <w:tcW w:type="dxa" w:w="16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348.4</w:t>
            </w:r>
          </w:p>
        </w:tc>
        <w:tc>
          <w:tcPr>
            <w:tcW w:type="dxa" w:w="1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98.3%</w:t>
            </w:r>
          </w:p>
        </w:tc>
        <w:tc>
          <w:tcPr>
            <w:tcW w:type="dxa" w:w="15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12.4%</w:t>
            </w:r>
          </w:p>
        </w:tc>
      </w:tr>
    </w:tbl>
    <w:p>
      <w:pPr>
        <w:spacing w:before="80"/>
      </w:pPr>
      <w:r>
        <w:rPr>
          <w:b/>
          <w:bCs/>
        </w:rPr>
        <w:t xml:space="preserve">Retention plan (₹0.9 crore from the reserve, released now as a defensive item). </w:t>
      </w:r>
      <w:r>
        <w:t xml:space="preserve">CEO and CRO meet Vajra’s MD and CFO by week 10 to shape the re-tender criteria; a business review built from Vajra’s own usage data (assets monitored, failures caught, downtime avoided, using the D3 value model); a three-year renewal with price lock and an 8% concession inside the D5 15% limit, plus expansion to its two uncovered plants; the MES integration pack and a named executive sponsor; and no matching of “free”, since HelixAsset’s free period ends on 31 March 2027. Expected ARR saved is ₹2.55 crore for ₹0.9 crore, a payback of about six months.</w:t>
      </w:r>
    </w:p>
    <w:p>
      <w:pPr>
        <w:spacing w:after="80" w:line="290"/>
      </w:pPr>
      <w:r>
        <w:rPr>
          <w:b/>
          <w:bCs/>
        </w:rPr>
        <w:t xml:space="preserve">Effect on the forecast. </w:t>
      </w:r>
      <w:r>
        <w:t xml:space="preserve">Q4 FY27 net ARR added is ₹10.2 crore expected, ₹12.0 crore if Vajra renews and ₹3.2 crore if it leaves. The D4 forecast process treats Vajra as a named line from Q3 FY27, reported separately from new-logo bookings. Losing Vajra costs about 2.3 points of FY27 NRR and ₹7.4 crore of FY29 ARR.</w:t>
      </w:r>
    </w:p>
    <w:p>
      <w:pPr>
        <w:pStyle w:val="Heading1"/>
        <w:keepNext/>
        <w:spacing w:after="70" w:before="180"/>
      </w:pPr>
      <w:r>
        <w:t xml:space="preserve">11. Sequencing by quarter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00"/>
        <w:gridCol w:w="5406"/>
        <w:gridCol w:w="2900"/>
      </w:tblGrid>
      <w:tr>
        <w:trPr>
          <w:cantSplit/>
          <w:tblHeader/>
        </w:trPr>
        <w:tc>
          <w:tcPr>
            <w:tcW w:type="dxa" w:w="19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When</w:t>
            </w:r>
          </w:p>
        </w:tc>
        <w:tc>
          <w:tcPr>
            <w:tcW w:type="dxa" w:w="5406"/>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What starts or is decided</w:t>
            </w:r>
          </w:p>
        </w:tc>
        <w:tc>
          <w:tcPr>
            <w:tcW w:type="dxa" w:w="29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Headcount and spend</w:t>
            </w:r>
          </w:p>
        </w:tc>
      </w:tr>
      <w:tr>
        <w:trPr>
          <w:cantSplit/>
          <w:tblHeader w:val="false"/>
        </w:trPr>
        <w:tc>
          <w:tcPr>
            <w:tcW w:type="dxa" w:w="19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Q1 FY27 (Apr–Jun, under way)</w:t>
            </w:r>
          </w:p>
        </w:tc>
        <w:tc>
          <w:tcPr>
            <w:tcW w:type="dxa" w:w="54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D4 forecast rules and hygiene flags live; CRM cleaning rules (D1); D2 tiers applied to territories; discount cap 15% with CFO approval above; battlecards v1.1 (Inject 2); P05/P11 restricted (Inject 3); VP Channel search</w:t>
            </w:r>
          </w:p>
        </w:tc>
        <w:tc>
          <w:tcPr>
            <w:tcW w:type="dxa" w:w="29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No new spend; Q1 locked at ₹8.71 cr forecast</w:t>
            </w:r>
          </w:p>
        </w:tc>
      </w:tr>
      <w:tr>
        <w:trPr>
          <w:cantSplit/>
          <w:tblHeader w:val="false"/>
        </w:trPr>
        <w:tc>
          <w:tcPr>
            <w:tcW w:type="dxa" w:w="19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Q2 FY27 (Jul–Sep)</w:t>
            </w:r>
          </w:p>
        </w:tc>
        <w:tc>
          <w:tcPr>
            <w:tcW w:type="dxa" w:w="54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Retention squad and adoption programme; Helix renewal protection; top-30 expansion programme; value-selling training and value engineer; pilot SEs; RevOps; AE retention pool; sign PR01, PR02, PR06; partner manager 1; Vajra executive meeting and business review; Q2 review gate (15 Oct)</w:t>
            </w:r>
          </w:p>
        </w:tc>
        <w:tc>
          <w:tcPr>
            <w:tcW w:type="dxa" w:w="29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₹10.1 cr of FY27 programme budget starts (excl. AE pay and reserve); 4 CSMs, 1 value engineer, 1 architect, 2 RevOps, 2 SEs, VP Channel</w:t>
            </w:r>
          </w:p>
        </w:tc>
      </w:tr>
      <w:tr>
        <w:trPr>
          <w:cantSplit/>
          <w:tblHeader w:val="false"/>
        </w:trPr>
        <w:tc>
          <w:tcPr>
            <w:tcW w:type="dxa" w:w="19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Q3 FY27 (Oct–Dec)</w:t>
            </w:r>
          </w:p>
        </w:tc>
        <w:tc>
          <w:tcPr>
            <w:tcW w:type="dxa" w:w="54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Six AEs start (SEA-weighted); reserve released if triggers met: second retention squad, SE pilot capacity; partner manager 2; PR07 signed; Vajra three-year offer</w:t>
            </w:r>
          </w:p>
        </w:tc>
        <w:tc>
          <w:tcPr>
            <w:tcW w:type="dxa" w:w="29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+6 AEs; +4 CSMs, +1 SE (if released)</w:t>
            </w:r>
          </w:p>
        </w:tc>
      </w:tr>
      <w:tr>
        <w:trPr>
          <w:cantSplit/>
          <w:tblHeader w:val="false"/>
        </w:trPr>
        <w:tc>
          <w:tcPr>
            <w:tcW w:type="dxa" w:w="19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Q4 FY27 (Jan–Mar)</w:t>
            </w:r>
          </w:p>
        </w:tc>
        <w:tc>
          <w:tcPr>
            <w:tcW w:type="dxa" w:w="54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Vajra decision; HelixAsset free period ends 31 Mar 2027: Helix-incumbent win-back campaign; sensor-agnostic tier go/no-go with cannibalisation guard (D8); FY28 hiring released against the 90% capacity-use rule</w:t>
            </w:r>
          </w:p>
        </w:tc>
        <w:tc>
          <w:tcPr>
            <w:tcW w:type="dxa" w:w="29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FY27 total ₹14.95 cr</w:t>
            </w:r>
          </w:p>
        </w:tc>
      </w:tr>
      <w:tr>
        <w:trPr>
          <w:cantSplit/>
          <w:tblHeader w:val="false"/>
        </w:trPr>
        <w:tc>
          <w:tcPr>
            <w:tcW w:type="dxa" w:w="19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FY28</w:t>
            </w:r>
          </w:p>
        </w:tc>
        <w:tc>
          <w:tcPr>
            <w:tcW w:type="dxa" w:w="54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8 AEs (Q1, Q3); 9 partner activations; channel kill gate at end-Q2; CAC payback ≤ 24 months by Q4</w:t>
            </w:r>
          </w:p>
        </w:tc>
        <w:tc>
          <w:tcPr>
            <w:tcW w:type="dxa" w:w="29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₹20.4 cr; 5 channel roles</w:t>
            </w:r>
          </w:p>
        </w:tc>
      </w:tr>
      <w:tr>
        <w:trPr>
          <w:cantSplit/>
          <w:tblHeader w:val="false"/>
        </w:trPr>
        <w:tc>
          <w:tcPr>
            <w:tcW w:type="dxa" w:w="19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FY29</w:t>
            </w:r>
          </w:p>
        </w:tc>
        <w:tc>
          <w:tcPr>
            <w:tcW w:type="dxa" w:w="54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6 AEs, conditional on capacity use; 5 partner activations; review of NRR programme against 108%</w:t>
            </w:r>
          </w:p>
        </w:tc>
        <w:tc>
          <w:tcPr>
            <w:tcW w:type="dxa" w:w="29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₹26.6 cr; 6 channel roles</w:t>
            </w:r>
          </w:p>
        </w:tc>
      </w:tr>
    </w:tbl>
    <w:p>
      <w:pPr>
        <w:pStyle w:val="Heading1"/>
        <w:keepNext/>
        <w:spacing w:after="70" w:before="180"/>
      </w:pPr>
      <w:r>
        <w:t xml:space="preserve">12. Risks and early-warning triggers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2200"/>
        <w:gridCol w:w="3706"/>
      </w:tblGrid>
      <w:tr>
        <w:trPr>
          <w:cantSplit/>
          <w:tblHeader/>
        </w:trPr>
        <w:tc>
          <w:tcPr>
            <w:tcW w:type="dxa" w:w="30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Risk</w:t>
            </w:r>
          </w:p>
        </w:tc>
        <w:tc>
          <w:tcPr>
            <w:tcW w:type="dxa" w:w="13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Probability</w:t>
            </w:r>
          </w:p>
        </w:tc>
        <w:tc>
          <w:tcPr>
            <w:tcW w:type="dxa" w:w="22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FY29 ARR impact (model)</w:t>
            </w:r>
          </w:p>
        </w:tc>
        <w:tc>
          <w:tcPr>
            <w:tcW w:type="dxa" w:w="3706"/>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Mitigation and fallback</w:t>
            </w:r>
          </w:p>
        </w:tc>
      </w:tr>
      <w:tr>
        <w:trPr>
          <w:cantSplit/>
          <w:tblHeader w:val="false"/>
        </w:trPr>
        <w:tc>
          <w:tcPr>
            <w:tcW w:type="dxa" w:w="3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Helix pressure deeper than planned (churn 2 pts higher)</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Medium (35%)</w:t>
            </w:r>
          </w:p>
        </w:tc>
        <w:tc>
          <w:tcPr>
            <w:tcW w:type="dxa" w:w="22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−₹23 cr</w:t>
            </w:r>
          </w:p>
        </w:tc>
        <w:tc>
          <w:tcPr>
            <w:tcW w:type="dxa" w:w="37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Second retention squad; Helix win-back from Apr 2027; sensor-agnostic tier. Fallback: CFO-capped path</w:t>
            </w:r>
          </w:p>
        </w:tc>
      </w:tr>
      <w:tr>
        <w:trPr>
          <w:cantSplit/>
          <w:tblHeader w:val="false"/>
        </w:trPr>
        <w:tc>
          <w:tcPr>
            <w:tcW w:type="dxa" w:w="3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Win-rate programme stalls (3 pts below plan)</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Medium (30%)</w:t>
            </w:r>
          </w:p>
        </w:tc>
        <w:tc>
          <w:tcPr>
            <w:tcW w:type="dxa" w:w="22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−₹26 cr; CAC breach from 0.7 pts</w:t>
            </w:r>
          </w:p>
        </w:tc>
        <w:tc>
          <w:tcPr>
            <w:tcW w:type="dxa" w:w="37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Q2 trigger holds the H2 reserve; SEs redeployed to Tier 1 deals</w:t>
            </w:r>
          </w:p>
        </w:tc>
      </w:tr>
      <w:tr>
        <w:trPr>
          <w:cantSplit/>
          <w:tblHeader w:val="false"/>
        </w:trPr>
        <w:tc>
          <w:tcPr>
            <w:tcW w:type="dxa" w:w="3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Qualified pipeline 10% below supply plan</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Medium (30%)</w:t>
            </w:r>
          </w:p>
        </w:tc>
        <w:tc>
          <w:tcPr>
            <w:tcW w:type="dxa" w:w="22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−₹15 cr; Q3 FY27 CAC 31 months</w:t>
            </w:r>
          </w:p>
        </w:tc>
        <w:tc>
          <w:tcPr>
            <w:tcW w:type="dxa" w:w="37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Programme budget moves to strategic/scaled tiers; FY28 hiring held</w:t>
            </w:r>
          </w:p>
        </w:tc>
      </w:tr>
      <w:tr>
        <w:trPr>
          <w:cantSplit/>
          <w:tblHeader w:val="false"/>
        </w:trPr>
        <w:tc>
          <w:tcPr>
            <w:tcW w:type="dxa" w:w="3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Hardware attach does not fall</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Medium (35%)</w:t>
            </w:r>
          </w:p>
        </w:tc>
        <w:tc>
          <w:tcPr>
            <w:tcW w:type="dxa" w:w="22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None on ARR; GM 65.9% (FY28), 64.5% (FY29)</w:t>
            </w:r>
          </w:p>
        </w:tc>
        <w:tc>
          <w:tcPr>
            <w:tcW w:type="dxa" w:w="37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Hardware pricing floor; software-led expansion bundles; sensor-agnostic tier</w:t>
            </w:r>
          </w:p>
        </w:tc>
      </w:tr>
      <w:tr>
        <w:trPr>
          <w:cantSplit/>
          <w:tblHeader w:val="false"/>
        </w:trPr>
        <w:tc>
          <w:tcPr>
            <w:tcW w:type="dxa" w:w="3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Partners perform like FY26 India partners</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Low–medium (25%)</w:t>
            </w:r>
          </w:p>
        </w:tc>
        <w:tc>
          <w:tcPr>
            <w:tcW w:type="dxa" w:w="22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−₹8 cr at −30% productivity</w:t>
            </w:r>
          </w:p>
        </w:tc>
        <w:tc>
          <w:tcPr>
            <w:tcW w:type="dxa" w:w="37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D6 kill gate at end-Q2 FY28</w:t>
            </w:r>
          </w:p>
        </w:tc>
      </w:tr>
      <w:tr>
        <w:trPr>
          <w:cantSplit/>
          <w:tblHeader w:val="false"/>
        </w:trPr>
        <w:tc>
          <w:tcPr>
            <w:tcW w:type="dxa" w:w="3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Vajra lost</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Low (20%)</w:t>
            </w:r>
          </w:p>
        </w:tc>
        <w:tc>
          <w:tcPr>
            <w:tcW w:type="dxa" w:w="22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−₹7.4 cr; FY27 NRR −2.3 pts</w:t>
            </w:r>
          </w:p>
        </w:tc>
        <w:tc>
          <w:tcPr>
            <w:tcW w:type="dxa" w:w="37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Retention plan; exec sponsor; reference accounts</w:t>
            </w:r>
          </w:p>
        </w:tc>
      </w:tr>
      <w:tr>
        <w:trPr>
          <w:cantSplit/>
          <w:tblHeader w:val="false"/>
        </w:trPr>
        <w:tc>
          <w:tcPr>
            <w:tcW w:type="dxa" w:w="30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AE attrition stays at 29%</w:t>
            </w:r>
          </w:p>
        </w:tc>
        <w:tc>
          <w:tcPr>
            <w:tcW w:type="dxa" w:w="1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Medium (40%)</w:t>
            </w:r>
          </w:p>
        </w:tc>
        <w:tc>
          <w:tcPr>
            <w:tcW w:type="dxa" w:w="22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−₹1.6 cr (pipeline binds)</w:t>
            </w:r>
          </w:p>
        </w:tc>
        <w:tc>
          <w:tcPr>
            <w:tcW w:type="dxa" w:w="37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Retention pool; slower backfill is tolerable</w:t>
            </w:r>
          </w:p>
        </w:tc>
      </w:tr>
    </w:tbl>
    <w:p>
      <w:pPr>
        <w:pStyle w:val="Heading2"/>
        <w:keepNext/>
        <w:spacing w:after="50" w:before="110"/>
      </w:pPr>
      <w:r>
        <w:t xml:space="preserve">Triggers for Q1 and Q2 FY27 (review dates 15 July and 15 October 2026)</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1700"/>
        <w:gridCol w:w="1900"/>
        <w:gridCol w:w="2306"/>
      </w:tblGrid>
      <w:tr>
        <w:trPr>
          <w:cantSplit/>
          <w:tblHeader/>
        </w:trPr>
        <w:tc>
          <w:tcPr>
            <w:tcW w:type="dxa" w:w="15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Programme</w:t>
            </w:r>
          </w:p>
        </w:tc>
        <w:tc>
          <w:tcPr>
            <w:tcW w:type="dxa" w:w="28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Leading indicator</w:t>
            </w:r>
          </w:p>
        </w:tc>
        <w:tc>
          <w:tcPr>
            <w:tcW w:type="dxa" w:w="17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Q1 threshold</w:t>
            </w:r>
          </w:p>
        </w:tc>
        <w:tc>
          <w:tcPr>
            <w:tcW w:type="dxa" w:w="19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Q2 threshold</w:t>
            </w:r>
          </w:p>
        </w:tc>
        <w:tc>
          <w:tcPr>
            <w:tcW w:type="dxa" w:w="2306"/>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If missed at Q2</w:t>
            </w:r>
          </w:p>
        </w:tc>
      </w:tr>
      <w:tr>
        <w:trPr>
          <w:cantSplit/>
          <w:tblHeader w:val="false"/>
        </w:trPr>
        <w:tc>
          <w:tcPr>
            <w:tcW w:type="dxa" w:w="15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Targeting</w:t>
            </w:r>
          </w:p>
        </w:tc>
        <w:tc>
          <w:tcPr>
            <w:tcW w:type="dxa" w:w="28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Share of AE touches in strategic and scaled tiers</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 55%</w:t>
            </w:r>
          </w:p>
        </w:tc>
        <w:tc>
          <w:tcPr>
            <w:tcW w:type="dxa" w:w="19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 70%</w:t>
            </w:r>
          </w:p>
        </w:tc>
        <w:tc>
          <w:tcPr>
            <w:tcW w:type="dxa" w:w="23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Reassign territories; freeze low-touch AE activity</w:t>
            </w:r>
          </w:p>
        </w:tc>
      </w:tr>
      <w:tr>
        <w:trPr>
          <w:cantSplit/>
          <w:tblHeader w:val="false"/>
        </w:trPr>
        <w:tc>
          <w:tcPr>
            <w:tcW w:type="dxa" w:w="15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Win rate and price</w:t>
            </w:r>
          </w:p>
        </w:tc>
        <w:tc>
          <w:tcPr>
            <w:tcW w:type="dxa" w:w="28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Qualified win rate (rolling two quarters); average discount on wins</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 17.5%; ≤ 18.5%</w:t>
            </w:r>
          </w:p>
        </w:tc>
        <w:tc>
          <w:tcPr>
            <w:tcW w:type="dxa" w:w="19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 18.0%; ≤ 18%</w:t>
            </w:r>
          </w:p>
        </w:tc>
        <w:tc>
          <w:tcPr>
            <w:tcW w:type="dxa" w:w="23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Hold H2 reserve (₹1.92 cr); redeploy SEs</w:t>
            </w:r>
          </w:p>
        </w:tc>
      </w:tr>
      <w:tr>
        <w:trPr>
          <w:cantSplit/>
          <w:tblHeader w:val="false"/>
        </w:trPr>
        <w:tc>
          <w:tcPr>
            <w:tcW w:type="dxa" w:w="15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Pipeline supply</w:t>
            </w:r>
          </w:p>
        </w:tc>
        <w:tc>
          <w:tcPr>
            <w:tcW w:type="dxa" w:w="28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New qualified direct deals created</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 90</w:t>
            </w:r>
          </w:p>
        </w:tc>
        <w:tc>
          <w:tcPr>
            <w:tcW w:type="dxa" w:w="19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 95</w:t>
            </w:r>
          </w:p>
        </w:tc>
        <w:tc>
          <w:tcPr>
            <w:tcW w:type="dxa" w:w="23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Move programme budget; delay Q3 hires</w:t>
            </w:r>
          </w:p>
        </w:tc>
      </w:tr>
      <w:tr>
        <w:trPr>
          <w:cantSplit/>
          <w:tblHeader w:val="false"/>
        </w:trPr>
        <w:tc>
          <w:tcPr>
            <w:tcW w:type="dxa" w:w="15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Forecast</w:t>
            </w:r>
          </w:p>
        </w:tc>
        <w:tc>
          <w:tcPr>
            <w:tcW w:type="dxa" w:w="28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Actual vs D4 forecast</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Q1 within ±15% of ₹8.71 cr</w:t>
            </w:r>
          </w:p>
        </w:tc>
        <w:tc>
          <w:tcPr>
            <w:tcW w:type="dxa" w:w="19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Q2 within ±15%</w:t>
            </w:r>
          </w:p>
        </w:tc>
        <w:tc>
          <w:tcPr>
            <w:tcW w:type="dxa" w:w="23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Recalibrate; review Commit rules</w:t>
            </w:r>
          </w:p>
        </w:tc>
      </w:tr>
      <w:tr>
        <w:trPr>
          <w:cantSplit/>
          <w:tblHeader w:val="false"/>
        </w:trPr>
        <w:tc>
          <w:tcPr>
            <w:tcW w:type="dxa" w:w="15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Retention</w:t>
            </w:r>
          </w:p>
        </w:tc>
        <w:tc>
          <w:tcPr>
            <w:tcW w:type="dxa" w:w="28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Churn + contraction; Helix-incumbent renewals kept by value</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 ₹6.8 cr; ≥ 85%</w:t>
            </w:r>
          </w:p>
        </w:tc>
        <w:tc>
          <w:tcPr>
            <w:tcW w:type="dxa" w:w="19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H1 ≤ ₹13.5 cr; ≥ 85%</w:t>
            </w:r>
          </w:p>
        </w:tc>
        <w:tc>
          <w:tcPr>
            <w:tcW w:type="dxa" w:w="23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Release second squad early (if win trigger met) or cut expansion spend</w:t>
            </w:r>
          </w:p>
        </w:tc>
      </w:tr>
      <w:tr>
        <w:trPr>
          <w:cantSplit/>
          <w:tblHeader w:val="false"/>
        </w:trPr>
        <w:tc>
          <w:tcPr>
            <w:tcW w:type="dxa" w:w="15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Expansion</w:t>
            </w:r>
          </w:p>
        </w:tc>
        <w:tc>
          <w:tcPr>
            <w:tcW w:type="dxa" w:w="28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Expansion ARR</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 ₹6.0 cr</w:t>
            </w:r>
          </w:p>
        </w:tc>
        <w:tc>
          <w:tcPr>
            <w:tcW w:type="dxa" w:w="19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H1 ≥ ₹12.5 cr</w:t>
            </w:r>
          </w:p>
        </w:tc>
        <w:tc>
          <w:tcPr>
            <w:tcW w:type="dxa" w:w="23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Re-scope top-30 programme</w:t>
            </w:r>
          </w:p>
        </w:tc>
      </w:tr>
      <w:tr>
        <w:trPr>
          <w:cantSplit/>
          <w:tblHeader w:val="false"/>
        </w:trPr>
        <w:tc>
          <w:tcPr>
            <w:tcW w:type="dxa" w:w="15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Vajra (Inject 4)</w:t>
            </w:r>
          </w:p>
        </w:tc>
        <w:tc>
          <w:tcPr>
            <w:tcW w:type="dxa" w:w="28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Executive meeting; business review; shortlist status</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Meeting by week 10</w:t>
            </w:r>
          </w:p>
        </w:tc>
        <w:tc>
          <w:tcPr>
            <w:tcW w:type="dxa" w:w="19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Review delivered; not shortlisted on price alone</w:t>
            </w:r>
          </w:p>
        </w:tc>
        <w:tc>
          <w:tcPr>
            <w:tcW w:type="dxa" w:w="23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CEO escalation with three-year offer</w:t>
            </w:r>
          </w:p>
        </w:tc>
      </w:tr>
      <w:tr>
        <w:trPr>
          <w:cantSplit/>
          <w:tblHeader w:val="false"/>
        </w:trPr>
        <w:tc>
          <w:tcPr>
            <w:tcW w:type="dxa" w:w="15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AE capacity</w:t>
            </w:r>
          </w:p>
        </w:tc>
        <w:tc>
          <w:tcPr>
            <w:tcW w:type="dxa" w:w="28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Annualised AE attrition; offers accepted for Q3 start</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 27%</w:t>
            </w:r>
          </w:p>
        </w:tc>
        <w:tc>
          <w:tcPr>
            <w:tcW w:type="dxa" w:w="19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 26%; 6 offers by 31 Aug</w:t>
            </w:r>
          </w:p>
        </w:tc>
        <w:tc>
          <w:tcPr>
            <w:tcW w:type="dxa" w:w="23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Retention pool review; do not over-hire (pipeline binds)</w:t>
            </w:r>
          </w:p>
        </w:tc>
      </w:tr>
      <w:tr>
        <w:trPr>
          <w:cantSplit/>
          <w:tblHeader w:val="false"/>
        </w:trPr>
        <w:tc>
          <w:tcPr>
            <w:tcW w:type="dxa" w:w="15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Channel (D6)</w:t>
            </w:r>
          </w:p>
        </w:tc>
        <w:tc>
          <w:tcPr>
            <w:tcW w:type="dxa" w:w="28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Partners signed; registered partner pipeline; P05/P11 Helix-account registrations</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w:t>
            </w:r>
          </w:p>
        </w:tc>
        <w:tc>
          <w:tcPr>
            <w:tcW w:type="dxa" w:w="19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3 signed; ≥ ₹6 cr; 0</w:t>
            </w:r>
          </w:p>
        </w:tc>
        <w:tc>
          <w:tcPr>
            <w:tcW w:type="dxa" w:w="23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Stop wave-2 recruiting</w:t>
            </w:r>
          </w:p>
        </w:tc>
      </w:tr>
      <w:tr>
        <w:trPr>
          <w:cantSplit/>
          <w:tblHeader w:val="false"/>
        </w:trPr>
        <w:tc>
          <w:tcPr>
            <w:tcW w:type="dxa" w:w="15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Payback</w:t>
            </w:r>
          </w:p>
        </w:tc>
        <w:tc>
          <w:tcPr>
            <w:tcW w:type="dxa" w:w="28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Quarterly CAC payback</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Reported (exception)</w:t>
            </w:r>
          </w:p>
        </w:tc>
        <w:tc>
          <w:tcPr>
            <w:tcW w:type="dxa" w:w="19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 30 months</w:t>
            </w:r>
          </w:p>
        </w:tc>
        <w:tc>
          <w:tcPr>
            <w:tcW w:type="dxa" w:w="23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Move to CFO-capped path</w:t>
            </w:r>
          </w:p>
        </w:tc>
      </w:tr>
      <w:tr>
        <w:trPr>
          <w:cantSplit/>
          <w:tblHeader w:val="false"/>
        </w:trPr>
        <w:tc>
          <w:tcPr>
            <w:tcW w:type="dxa" w:w="15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Sensor-agnostic tier</w:t>
            </w:r>
          </w:p>
        </w:tc>
        <w:tc>
          <w:tcPr>
            <w:tcW w:type="dxa" w:w="28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Readiness: cannibalisation test design, 3 pilot plants signed</w:t>
            </w:r>
          </w:p>
        </w:tc>
        <w:tc>
          <w:tcPr>
            <w:tcW w:type="dxa" w:w="1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Design approved</w:t>
            </w:r>
          </w:p>
        </w:tc>
        <w:tc>
          <w:tcPr>
            <w:tcW w:type="dxa" w:w="19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3 pilots signed</w:t>
            </w:r>
          </w:p>
        </w:tc>
        <w:tc>
          <w:tcPr>
            <w:tcW w:type="dxa" w:w="23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Defer launch beyond Q4 FY27</w:t>
            </w:r>
          </w:p>
        </w:tc>
      </w:tr>
    </w:tbl>
    <w:p>
      <w:pPr>
        <w:spacing w:before="80"/>
      </w:pPr>
      <w:r>
        <w:rPr>
          <w:b/>
          <w:bCs/>
        </w:rPr>
        <w:t xml:space="preserve">Continue, adjust or stop. </w:t>
      </w:r>
      <w:r>
        <w:t xml:space="preserve">All Q2 thresholds met: release the reserve and continue. Win-rate or pipeline thresholds missed: hold the reserve (CFO-capped path) and adjust. Win rate below 17% and CAC payback above 32 months at Q2: stop the Q3 hires and return to the board.</w:t>
      </w:r>
    </w:p>
    <w:p>
      <w:pPr>
        <w:pStyle w:val="Heading1"/>
        <w:keepNext/>
        <w:spacing w:after="70" w:before="180"/>
      </w:pPr>
      <w:r>
        <w:t xml:space="preserve">13. What the company stops doing</w:t>
      </w:r>
    </w:p>
    <w:p>
      <w:pPr>
        <w:pStyle w:val="ListParagraph"/>
        <w:numPr>
          <w:ilvl w:val="0"/>
          <w:numId w:val="2"/>
        </w:numPr>
        <w:spacing w:after="40" w:line="256"/>
      </w:pPr>
      <w:r>
        <w:rPr>
          <w:b/>
          <w:bCs/>
        </w:rPr>
        <w:t xml:space="preserve">Stop sending AEs to the 1,600 low-touch accounts. </w:t>
      </w:r>
      <w:r>
        <w:t xml:space="preserve">They took 62% of AE touches and produced 12% of won ARR (D2). They move to SDRs, inside sales, marketing and partners.</w:t>
      </w:r>
    </w:p>
    <w:p>
      <w:pPr>
        <w:pStyle w:val="ListParagraph"/>
        <w:numPr>
          <w:ilvl w:val="0"/>
          <w:numId w:val="2"/>
        </w:numPr>
        <w:spacing w:after="40" w:line="256"/>
      </w:pPr>
      <w:r>
        <w:rPr>
          <w:b/>
          <w:bCs/>
        </w:rPr>
        <w:t xml:space="preserve">Stop discounting above 15% without CFO approval, and stop matching “free”. </w:t>
      </w:r>
      <w:r>
        <w:t xml:space="preserve">Discount creep bought little win rate (D1, D5); Inject 2 is answered with a three-year value case, not a price match.</w:t>
      </w:r>
    </w:p>
    <w:p>
      <w:pPr>
        <w:pStyle w:val="ListParagraph"/>
        <w:numPr>
          <w:ilvl w:val="0"/>
          <w:numId w:val="2"/>
        </w:numPr>
        <w:spacing w:after="40" w:line="256"/>
      </w:pPr>
      <w:r>
        <w:rPr>
          <w:b/>
          <w:bCs/>
        </w:rPr>
        <w:t xml:space="preserve">Stop calling a deal Commit before stage 5. </w:t>
      </w:r>
      <w:r>
        <w:t xml:space="preserve">Commit calls missed by 27% on average (D4); the forecast now uses the calibrated model and the new category rules.</w:t>
      </w:r>
    </w:p>
    <w:p>
      <w:pPr>
        <w:pStyle w:val="ListParagraph"/>
        <w:numPr>
          <w:ilvl w:val="0"/>
          <w:numId w:val="2"/>
        </w:numPr>
        <w:spacing w:after="40" w:line="256"/>
      </w:pPr>
      <w:r>
        <w:rPr>
          <w:b/>
          <w:bCs/>
        </w:rPr>
        <w:t xml:space="preserve">Stop planning on a six-month AE ramp and quota without ramp relief. </w:t>
      </w:r>
      <w:r>
        <w:t xml:space="preserve">Measured ramp is 12–24 months to full productivity (D1); quota for new AEs is prorated on the ramp weights in this model.</w:t>
      </w:r>
    </w:p>
    <w:p>
      <w:pPr>
        <w:pStyle w:val="ListParagraph"/>
        <w:numPr>
          <w:ilvl w:val="0"/>
          <w:numId w:val="2"/>
        </w:numPr>
        <w:spacing w:after="40" w:line="256"/>
      </w:pPr>
      <w:r>
        <w:rPr>
          <w:b/>
          <w:bCs/>
        </w:rPr>
        <w:t xml:space="preserve">Stop keeping dormant partners and booking partner margin in S&amp;M. </w:t>
      </w:r>
      <w:r>
        <w:t xml:space="preserve">Five partners exit (D6); partner margin is charged to gross margin so the 66% floor is tested honestly.</w:t>
      </w:r>
    </w:p>
    <w:p>
      <w:pPr>
        <w:pStyle w:val="ListParagraph"/>
        <w:numPr>
          <w:ilvl w:val="0"/>
          <w:numId w:val="2"/>
        </w:numPr>
        <w:spacing w:after="40" w:line="256"/>
      </w:pPr>
      <w:r>
        <w:rPr>
          <w:b/>
          <w:bCs/>
        </w:rPr>
        <w:t xml:space="preserve">Stop hiring AEs to quota. </w:t>
      </w:r>
      <w:r>
        <w:t xml:space="preserve">From Q3 FY27, pipeline supply binds; hires are released only when AE capacity use exceeds 90% for two quarters.</w:t>
      </w:r>
    </w:p>
    <w:p>
      <w:pPr>
        <w:pStyle w:val="Heading1"/>
        <w:keepNext/>
        <w:spacing w:after="70" w:before="180"/>
      </w:pPr>
      <w:r>
        <w:t xml:space="preserve">14. Limits of the evidence, and the assumption I am least sure of</w:t>
      </w:r>
    </w:p>
    <w:p>
      <w:pPr>
        <w:spacing w:after="80" w:line="290"/>
      </w:pPr>
      <w:r>
        <w:rPr>
          <w:b/>
          <w:bCs/>
        </w:rPr>
        <w:t xml:space="preserve">Least sure: the hardware attach rate falling from ₹1.48 to ₹1.05 per rupee of new and expansion ARR. </w:t>
      </w:r>
      <w:r>
        <w:t xml:space="preserve">It is not a sales assumption, it has no direct evidence in the data room beyond the FY24–26 trend (which is rising, not falling), and it alone decides whether the 66% gross margin floor holds in FY28–29. If it does not fall, the plan still grows ARR but breaks the margin guardrail, and the sensor-agnostic tier becomes a margin necessity rather than an option.</w:t>
      </w:r>
    </w:p>
    <w:p>
      <w:pPr>
        <w:pStyle w:val="ListParagraph"/>
        <w:numPr>
          <w:ilvl w:val="0"/>
          <w:numId w:val="2"/>
        </w:numPr>
        <w:spacing w:after="40" w:line="256"/>
      </w:pPr>
      <w:r>
        <w:rPr>
          <w:b/>
          <w:bCs/>
        </w:rPr>
        <w:t xml:space="preserve">Driver sizes are judgements. </w:t>
      </w:r>
      <w:r>
        <w:t xml:space="preserve">The model links each programme to a driver, but how far each driver moves rests on D1–D6 evidence, not on a controlled test. The “share of plan delivered” lever shows how much can be missed before each payback test fails (section 8).</w:t>
      </w:r>
    </w:p>
    <w:p>
      <w:pPr>
        <w:pStyle w:val="ListParagraph"/>
        <w:numPr>
          <w:ilvl w:val="0"/>
          <w:numId w:val="2"/>
        </w:numPr>
        <w:spacing w:after="40" w:line="256"/>
      </w:pPr>
      <w:r>
        <w:rPr>
          <w:b/>
          <w:bCs/>
        </w:rPr>
        <w:t xml:space="preserve">Primary evidence is incomplete. </w:t>
      </w:r>
      <w:r>
        <w:t xml:space="preserve">The eight structured interviews and the five external benchmarks the brief requires are in progress; assumptions that rest on interview codes (discount response, sensor reuse) are flagged in Appendix A until the interviews are coded.</w:t>
      </w:r>
    </w:p>
    <w:p>
      <w:pPr>
        <w:pStyle w:val="ListParagraph"/>
        <w:numPr>
          <w:ilvl w:val="0"/>
          <w:numId w:val="2"/>
        </w:numPr>
        <w:spacing w:after="40" w:line="256"/>
      </w:pPr>
      <w:r>
        <w:rPr>
          <w:b/>
          <w:bCs/>
        </w:rPr>
        <w:t xml:space="preserve">Synthetic data. </w:t>
      </w:r>
      <w:r>
        <w:t xml:space="preserve">All figures come from a synthetic data room. Where the data contradicted the brief (for example, the 24% forecast miss is against reported, not cleaned, bookings), the data was used and the difference stated.</w:t>
      </w:r>
    </w:p>
    <w:p>
      <w:pPr>
        <w:pStyle w:val="ListParagraph"/>
        <w:numPr>
          <w:ilvl w:val="0"/>
          <w:numId w:val="2"/>
        </w:numPr>
        <w:spacing w:after="40" w:line="256"/>
      </w:pPr>
      <w:r>
        <w:rPr>
          <w:b/>
          <w:bCs/>
        </w:rPr>
        <w:t xml:space="preserve">The hold-out test is still to come. </w:t>
      </w:r>
      <w:r>
        <w:t xml:space="preserve">The Q1 FY27 forecast (₹8.71 crore) is locked and will be scored against actuals after D8. If it misses by more than 15%, the Q1 anchor in this model and the calibration factor are revisited.</w:t>
      </w:r>
    </w:p>
    <w:p>
      <w:pPr>
        <w:pStyle w:val="Heading1"/>
        <w:keepNext/>
        <w:spacing w:after="70" w:before="180"/>
      </w:pPr>
      <w:r>
        <w:t xml:space="preserve">15. Owning and running the model</w:t>
      </w:r>
    </w:p>
    <w:p>
      <w:pPr>
        <w:spacing w:after="80" w:line="290"/>
      </w:pPr>
      <w:r>
        <w:t xml:space="preserve">RevOps owns the workbook. Actuals replace plan quarter by quarter in the ARR bridge; the Checks sheet must show zero errors before any number leaves the building. Every board or CFO figure is a view of this model, not a private spreadsheet. Changes to Base assumptions need CRO and CFO sign-off and are logged on the Traceability sheet. The model is re-run for all four scenarios at each quarterly review, and the saved-run sheets (Scenarios, Sensitivity, Cascade) are regenerated with run_scenarios.py so that the saved and live numbers never drift apart.</w:t>
      </w:r>
    </w:p>
    <w:p>
      <w:r>
        <w:br w:type="page"/>
      </w:r>
    </w:p>
    <w:p>
      <w:pPr>
        <w:pStyle w:val="Heading1"/>
        <w:keepNext/>
        <w:spacing w:after="70" w:before="180"/>
      </w:pPr>
      <w:r>
        <w:t xml:space="preserve">Appendix A. Traceability map</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3806"/>
        <w:gridCol w:w="1400"/>
      </w:tblGrid>
      <w:tr>
        <w:trPr>
          <w:cantSplit/>
          <w:tblHeader/>
        </w:trPr>
        <w:tc>
          <w:tcPr>
            <w:tcW w:type="dxa" w:w="27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Assumption</w:t>
            </w:r>
          </w:p>
        </w:tc>
        <w:tc>
          <w:tcPr>
            <w:tcW w:type="dxa" w:w="23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Base value</w:t>
            </w:r>
          </w:p>
        </w:tc>
        <w:tc>
          <w:tcPr>
            <w:tcW w:type="dxa" w:w="3806"/>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Source</w:t>
            </w:r>
          </w:p>
        </w:tc>
        <w:tc>
          <w:tcPr>
            <w:tcW w:type="dxa" w:w="14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From</w:t>
            </w:r>
          </w:p>
        </w:tc>
      </w:tr>
      <w:tr>
        <w:trPr>
          <w:cantSplit/>
          <w:tblHeader w:val="false"/>
        </w:trPr>
        <w:tc>
          <w:tcPr>
            <w:tcW w:type="dxa" w:w="2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Opening ARR and FY26 bridge</w:t>
            </w:r>
          </w:p>
        </w:tc>
        <w:tc>
          <w:tcPr>
            <w:tcW w:type="dxa" w:w="2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₹310 cr; +41, +22, −9, −16</w:t>
            </w:r>
          </w:p>
        </w:tc>
        <w:tc>
          <w:tcPr>
            <w:tcW w:type="dxa" w:w="38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DR3 P&amp;L; DR2 ARR movements</w:t>
            </w:r>
          </w:p>
        </w:tc>
        <w:tc>
          <w:tcPr>
            <w:tcW w:type="dxa" w:w="1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D1</w:t>
            </w:r>
          </w:p>
        </w:tc>
      </w:tr>
      <w:tr>
        <w:trPr>
          <w:cantSplit/>
          <w:tblHeader w:val="false"/>
        </w:trPr>
        <w:tc>
          <w:tcPr>
            <w:tcW w:type="dxa" w:w="2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Direct win rate FY26</w:t>
            </w:r>
          </w:p>
        </w:tc>
        <w:tc>
          <w:tcPr>
            <w:tcW w:type="dxa" w:w="2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17.1%</w:t>
            </w:r>
          </w:p>
        </w:tc>
        <w:tc>
          <w:tcPr>
            <w:tcW w:type="dxa" w:w="38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DR1 cleaned (duplicates, tests, DQ-as-lost removed)</w:t>
            </w:r>
          </w:p>
        </w:tc>
        <w:tc>
          <w:tcPr>
            <w:tcW w:type="dxa" w:w="1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D1</w:t>
            </w:r>
          </w:p>
        </w:tc>
      </w:tr>
      <w:tr>
        <w:trPr>
          <w:cantSplit/>
          <w:tblHeader w:val="false"/>
        </w:trPr>
        <w:tc>
          <w:tcPr>
            <w:tcW w:type="dxa" w:w="2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Win-rate path</w:t>
            </w:r>
          </w:p>
        </w:tc>
        <w:tc>
          <w:tcPr>
            <w:tcW w:type="dxa" w:w="2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19.5 / 21.5 / 22.5%</w:t>
            </w:r>
          </w:p>
        </w:tc>
        <w:tc>
          <w:tcPr>
            <w:tcW w:type="dxa" w:w="38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D2 tier mix (+2.9 pts); D5 (+0.6 pts beyond D2); Inject 2 Helix floor 7%</w:t>
            </w:r>
          </w:p>
        </w:tc>
        <w:tc>
          <w:tcPr>
            <w:tcW w:type="dxa" w:w="1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D2, D5</w:t>
            </w:r>
          </w:p>
        </w:tc>
      </w:tr>
      <w:tr>
        <w:trPr>
          <w:cantSplit/>
          <w:tblHeader w:val="false"/>
        </w:trPr>
        <w:tc>
          <w:tcPr>
            <w:tcW w:type="dxa" w:w="2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Sales cycle</w:t>
            </w:r>
          </w:p>
        </w:tc>
        <w:tc>
          <w:tcPr>
            <w:tcW w:type="dxa" w:w="2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8.1 → 7.3 months</w:t>
            </w:r>
          </w:p>
        </w:tc>
        <w:tc>
          <w:tcPr>
            <w:tcW w:type="dxa" w:w="38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DR1 stage history; D4 stage-exit rules; D3</w:t>
            </w:r>
          </w:p>
        </w:tc>
        <w:tc>
          <w:tcPr>
            <w:tcW w:type="dxa" w:w="1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D1, D3, D4</w:t>
            </w:r>
          </w:p>
        </w:tc>
      </w:tr>
      <w:tr>
        <w:trPr>
          <w:cantSplit/>
          <w:tblHeader w:val="false"/>
        </w:trPr>
        <w:tc>
          <w:tcPr>
            <w:tcW w:type="dxa" w:w="2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Deal size and discount</w:t>
            </w:r>
          </w:p>
        </w:tc>
        <w:tc>
          <w:tcPr>
            <w:tcW w:type="dxa" w:w="2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₹71.4 → 77 lakh list; 19.3% → 15%</w:t>
            </w:r>
          </w:p>
        </w:tc>
        <w:tc>
          <w:tcPr>
            <w:tcW w:type="dxa" w:w="38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DR1 FY26 wins; D3 negotiation plan; D5 limits</w:t>
            </w:r>
          </w:p>
        </w:tc>
        <w:tc>
          <w:tcPr>
            <w:tcW w:type="dxa" w:w="1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D3, D5</w:t>
            </w:r>
          </w:p>
        </w:tc>
      </w:tr>
      <w:tr>
        <w:trPr>
          <w:cantSplit/>
          <w:tblHeader w:val="false"/>
        </w:trPr>
        <w:tc>
          <w:tcPr>
            <w:tcW w:type="dxa" w:w="2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Win-rate response to discount</w:t>
            </w:r>
          </w:p>
        </w:tc>
        <w:tc>
          <w:tcPr>
            <w:tcW w:type="dxa" w:w="2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0.1 pt per pt</w:t>
            </w:r>
          </w:p>
        </w:tc>
        <w:tc>
          <w:tcPr>
            <w:tcW w:type="dxa" w:w="38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D1 discount-creep test; D5 interview code (to validate)</w:t>
            </w:r>
          </w:p>
        </w:tc>
        <w:tc>
          <w:tcPr>
            <w:tcW w:type="dxa" w:w="1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D1, D5</w:t>
            </w:r>
          </w:p>
        </w:tc>
      </w:tr>
      <w:tr>
        <w:trPr>
          <w:cantSplit/>
          <w:tblHeader w:val="false"/>
        </w:trPr>
        <w:tc>
          <w:tcPr>
            <w:tcW w:type="dxa" w:w="2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Qualified pipeline supply</w:t>
            </w:r>
          </w:p>
        </w:tc>
        <w:tc>
          <w:tcPr>
            <w:tcW w:type="dxa" w:w="2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380 / 430 / 470</w:t>
            </w:r>
          </w:p>
        </w:tc>
        <w:tc>
          <w:tcPr>
            <w:tcW w:type="dxa" w:w="38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DR1 FY26 392; D2 tiering and ₹24 cr reallocation</w:t>
            </w:r>
          </w:p>
        </w:tc>
        <w:tc>
          <w:tcPr>
            <w:tcW w:type="dxa" w:w="1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D2</w:t>
            </w:r>
          </w:p>
        </w:tc>
      </w:tr>
      <w:tr>
        <w:trPr>
          <w:cantSplit/>
          <w:tblHeader w:val="false"/>
        </w:trPr>
        <w:tc>
          <w:tcPr>
            <w:tcW w:type="dxa" w:w="2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Deals carried per ramped AE</w:t>
            </w:r>
          </w:p>
        </w:tc>
        <w:tc>
          <w:tcPr>
            <w:tcW w:type="dxa" w:w="2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5.4</w:t>
            </w:r>
          </w:p>
        </w:tc>
        <w:tc>
          <w:tcPr>
            <w:tcW w:type="dxa" w:w="38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DR3 ae_quarterly × DR1 closes and cycle</w:t>
            </w:r>
          </w:p>
        </w:tc>
        <w:tc>
          <w:tcPr>
            <w:tcW w:type="dxa" w:w="1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D1, D2</w:t>
            </w:r>
          </w:p>
        </w:tc>
      </w:tr>
      <w:tr>
        <w:trPr>
          <w:cantSplit/>
          <w:tblHeader w:val="false"/>
        </w:trPr>
        <w:tc>
          <w:tcPr>
            <w:tcW w:type="dxa" w:w="2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Ramp weights</w:t>
            </w:r>
          </w:p>
        </w:tc>
        <w:tc>
          <w:tcPr>
            <w:tcW w:type="dxa" w:w="2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0 / 0.33 / 0.66 / 1.0</w:t>
            </w:r>
          </w:p>
        </w:tc>
        <w:tc>
          <w:tcPr>
            <w:tcW w:type="dxa" w:w="38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D1 productivity by tenure (DR3)</w:t>
            </w:r>
          </w:p>
        </w:tc>
        <w:tc>
          <w:tcPr>
            <w:tcW w:type="dxa" w:w="1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D1</w:t>
            </w:r>
          </w:p>
        </w:tc>
      </w:tr>
      <w:tr>
        <w:trPr>
          <w:cantSplit/>
          <w:tblHeader w:val="false"/>
        </w:trPr>
        <w:tc>
          <w:tcPr>
            <w:tcW w:type="dxa" w:w="2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AE attrition</w:t>
            </w:r>
          </w:p>
        </w:tc>
        <w:tc>
          <w:tcPr>
            <w:tcW w:type="dxa" w:w="2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29% → 24 / 22 / 20%</w:t>
            </w:r>
          </w:p>
        </w:tc>
        <w:tc>
          <w:tcPr>
            <w:tcW w:type="dxa" w:w="38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DR3 roster; Inject 1 retention pool</w:t>
            </w:r>
          </w:p>
        </w:tc>
        <w:tc>
          <w:tcPr>
            <w:tcW w:type="dxa" w:w="1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D1, Inject 1</w:t>
            </w:r>
          </w:p>
        </w:tc>
      </w:tr>
      <w:tr>
        <w:trPr>
          <w:cantSplit/>
          <w:tblHeader w:val="false"/>
        </w:trPr>
        <w:tc>
          <w:tcPr>
            <w:tcW w:type="dxa" w:w="2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Net new AEs</w:t>
            </w:r>
          </w:p>
        </w:tc>
        <w:tc>
          <w:tcPr>
            <w:tcW w:type="dxa" w:w="2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6 / 8 / 6</w:t>
            </w:r>
          </w:p>
        </w:tc>
        <w:tc>
          <w:tcPr>
            <w:tcW w:type="dxa" w:w="38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Inject 1; guardrail ≤ 12</w:t>
            </w:r>
          </w:p>
        </w:tc>
        <w:tc>
          <w:tcPr>
            <w:tcW w:type="dxa" w:w="1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Inject 1</w:t>
            </w:r>
          </w:p>
        </w:tc>
      </w:tr>
      <w:tr>
        <w:trPr>
          <w:cantSplit/>
          <w:tblHeader w:val="false"/>
        </w:trPr>
        <w:tc>
          <w:tcPr>
            <w:tcW w:type="dxa" w:w="2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Q1 FY27 new logo</w:t>
            </w:r>
          </w:p>
        </w:tc>
        <w:tc>
          <w:tcPr>
            <w:tcW w:type="dxa" w:w="2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₹8.71 cr</w:t>
            </w:r>
          </w:p>
        </w:tc>
        <w:tc>
          <w:tcPr>
            <w:tcW w:type="dxa" w:w="38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D4 locked forecast (sha256 ba5b63ad…)</w:t>
            </w:r>
          </w:p>
        </w:tc>
        <w:tc>
          <w:tcPr>
            <w:tcW w:type="dxa" w:w="1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D4</w:t>
            </w:r>
          </w:p>
        </w:tc>
      </w:tr>
      <w:tr>
        <w:trPr>
          <w:cantSplit/>
          <w:tblHeader w:val="false"/>
        </w:trPr>
        <w:tc>
          <w:tcPr>
            <w:tcW w:type="dxa" w:w="2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Partner activations, productivity, ramp</w:t>
            </w:r>
          </w:p>
        </w:tc>
        <w:tc>
          <w:tcPr>
            <w:tcW w:type="dxa" w:w="2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8 / 9 / 5; ₹1.2 cr; 15 / 60 / 100%</w:t>
            </w:r>
          </w:p>
        </w:tc>
        <w:tc>
          <w:tcPr>
            <w:tcW w:type="dxa" w:w="38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DR6; D1 SEA partner win 34%</w:t>
            </w:r>
          </w:p>
        </w:tc>
        <w:tc>
          <w:tcPr>
            <w:tcW w:type="dxa" w:w="1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D6</w:t>
            </w:r>
          </w:p>
        </w:tc>
      </w:tr>
      <w:tr>
        <w:trPr>
          <w:cantSplit/>
          <w:tblHeader w:val="false"/>
        </w:trPr>
        <w:tc>
          <w:tcPr>
            <w:tcW w:type="dxa" w:w="2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Existing partner ARR after Inject 3</w:t>
            </w:r>
          </w:p>
        </w:tc>
        <w:tc>
          <w:tcPr>
            <w:tcW w:type="dxa" w:w="2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₹2.26 cr</w:t>
            </w:r>
          </w:p>
        </w:tc>
        <w:tc>
          <w:tcPr>
            <w:tcW w:type="dxa" w:w="38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DR1 open pipeline; P05/P11 haircut</w:t>
            </w:r>
          </w:p>
        </w:tc>
        <w:tc>
          <w:tcPr>
            <w:tcW w:type="dxa" w:w="1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D6</w:t>
            </w:r>
          </w:p>
        </w:tc>
      </w:tr>
      <w:tr>
        <w:trPr>
          <w:cantSplit/>
          <w:tblHeader w:val="false"/>
        </w:trPr>
        <w:tc>
          <w:tcPr>
            <w:tcW w:type="dxa" w:w="2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Partner margins; channel fixed cost</w:t>
            </w:r>
          </w:p>
        </w:tc>
        <w:tc>
          <w:tcPr>
            <w:tcW w:type="dxa" w:w="2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16–18%; ₹2.44 / 3.46 / 4.0 cr</w:t>
            </w:r>
          </w:p>
        </w:tc>
        <w:tc>
          <w:tcPr>
            <w:tcW w:type="dxa" w:w="38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D6 programme; DR3 partner-manager cost</w:t>
            </w:r>
          </w:p>
        </w:tc>
        <w:tc>
          <w:tcPr>
            <w:tcW w:type="dxa" w:w="1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D6</w:t>
            </w:r>
          </w:p>
        </w:tc>
      </w:tr>
      <w:tr>
        <w:trPr>
          <w:cantSplit/>
          <w:tblHeader w:val="false"/>
        </w:trPr>
        <w:tc>
          <w:tcPr>
            <w:tcW w:type="dxa" w:w="2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Expansion / contraction / churn</w:t>
            </w:r>
          </w:p>
        </w:tc>
        <w:tc>
          <w:tcPr>
            <w:tcW w:type="dxa" w:w="2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8.5→10.5% / 3.0→2.5% / 5.0→4.0%</w:t>
            </w:r>
          </w:p>
        </w:tc>
        <w:tc>
          <w:tcPr>
            <w:tcW w:type="dxa" w:w="38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DR2, DR3; D1 NRR diagnosis; Inject 1; Inject 2</w:t>
            </w:r>
          </w:p>
        </w:tc>
        <w:tc>
          <w:tcPr>
            <w:tcW w:type="dxa" w:w="1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D1</w:t>
            </w:r>
          </w:p>
        </w:tc>
      </w:tr>
      <w:tr>
        <w:trPr>
          <w:cantSplit/>
          <w:tblHeader w:val="false"/>
        </w:trPr>
        <w:tc>
          <w:tcPr>
            <w:tcW w:type="dxa" w:w="2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Vajra</w:t>
            </w:r>
          </w:p>
        </w:tc>
        <w:tc>
          <w:tcPr>
            <w:tcW w:type="dxa" w:w="2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20% loss; 8% concession</w:t>
            </w:r>
          </w:p>
        </w:tc>
        <w:tc>
          <w:tcPr>
            <w:tcW w:type="dxa" w:w="38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Inject 4; DR2 CU-1095; D5</w:t>
            </w:r>
          </w:p>
        </w:tc>
        <w:tc>
          <w:tcPr>
            <w:tcW w:type="dxa" w:w="1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D7</w:t>
            </w:r>
          </w:p>
        </w:tc>
      </w:tr>
      <w:tr>
        <w:trPr>
          <w:cantSplit/>
          <w:tblHeader w:val="false"/>
        </w:trPr>
        <w:tc>
          <w:tcPr>
            <w:tcW w:type="dxa" w:w="2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Hardware attach</w:t>
            </w:r>
          </w:p>
        </w:tc>
        <w:tc>
          <w:tcPr>
            <w:tcW w:type="dxa" w:w="2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1.48 → 1.05</w:t>
            </w:r>
          </w:p>
        </w:tc>
        <w:tc>
          <w:tcPr>
            <w:tcW w:type="dxa" w:w="38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DR3 FY24–26; D1 SENSOR-REUSE code</w:t>
            </w:r>
          </w:p>
        </w:tc>
        <w:tc>
          <w:tcPr>
            <w:tcW w:type="dxa" w:w="1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D1, D8</w:t>
            </w:r>
          </w:p>
        </w:tc>
      </w:tr>
      <w:tr>
        <w:trPr>
          <w:cantSplit/>
          <w:tblHeader w:val="false"/>
        </w:trPr>
        <w:tc>
          <w:tcPr>
            <w:tcW w:type="dxa" w:w="2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Cost of revenue</w:t>
            </w:r>
          </w:p>
        </w:tc>
        <w:tc>
          <w:tcPr>
            <w:tcW w:type="dxa" w:w="2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Software 18%; hardware 75%</w:t>
            </w:r>
          </w:p>
        </w:tc>
        <w:tc>
          <w:tcPr>
            <w:tcW w:type="dxa" w:w="38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DR3</w:t>
            </w:r>
          </w:p>
        </w:tc>
        <w:tc>
          <w:tcPr>
            <w:tcW w:type="dxa" w:w="1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DR3</w:t>
            </w:r>
          </w:p>
        </w:tc>
      </w:tr>
      <w:tr>
        <w:trPr>
          <w:cantSplit/>
          <w:tblHeader w:val="false"/>
        </w:trPr>
        <w:tc>
          <w:tcPr>
            <w:tcW w:type="dxa" w:w="2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S&amp;M base; AE cost; recruiting</w:t>
            </w:r>
          </w:p>
        </w:tc>
        <w:tc>
          <w:tcPr>
            <w:tcW w:type="dxa" w:w="2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₹60.3 cr; ₹0.56 cr; ₹3.5 lakh</w:t>
            </w:r>
          </w:p>
        </w:tc>
        <w:tc>
          <w:tcPr>
            <w:tcW w:type="dxa" w:w="38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DR3 S&amp;M by line; unit costs</w:t>
            </w:r>
          </w:p>
        </w:tc>
        <w:tc>
          <w:tcPr>
            <w:tcW w:type="dxa" w:w="1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DR3</w:t>
            </w:r>
          </w:p>
        </w:tc>
      </w:tr>
      <w:tr>
        <w:trPr>
          <w:cantSplit/>
          <w:tblHeader w:val="false"/>
        </w:trPr>
        <w:tc>
          <w:tcPr>
            <w:tcW w:type="dxa" w:w="2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Investment lines FY27</w:t>
            </w:r>
          </w:p>
        </w:tc>
        <w:tc>
          <w:tcPr>
            <w:tcW w:type="dxa" w:w="2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₹14.95 cr</w:t>
            </w:r>
          </w:p>
        </w:tc>
        <w:tc>
          <w:tcPr>
            <w:tcW w:type="dxa" w:w="38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Inject 1 envelope</w:t>
            </w:r>
          </w:p>
        </w:tc>
        <w:tc>
          <w:tcPr>
            <w:tcW w:type="dxa" w:w="1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Inject 1</w:t>
            </w:r>
          </w:p>
        </w:tc>
      </w:tr>
      <w:tr>
        <w:trPr>
          <w:cantSplit/>
          <w:tblHeader w:val="false"/>
        </w:trPr>
        <w:tc>
          <w:tcPr>
            <w:tcW w:type="dxa" w:w="2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R&amp;D / G&amp;A growth</w:t>
            </w:r>
          </w:p>
        </w:tc>
        <w:tc>
          <w:tcPr>
            <w:tcW w:type="dxa" w:w="2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6% / 4%</w:t>
            </w:r>
          </w:p>
        </w:tc>
        <w:tc>
          <w:tcPr>
            <w:tcW w:type="dxa" w:w="38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Assumption (no new hardware)</w:t>
            </w:r>
          </w:p>
        </w:tc>
        <w:tc>
          <w:tcPr>
            <w:tcW w:type="dxa" w:w="1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D7</w:t>
            </w:r>
          </w:p>
        </w:tc>
      </w:tr>
      <w:tr>
        <w:trPr>
          <w:cantSplit/>
          <w:tblHeader w:val="false"/>
        </w:trPr>
        <w:tc>
          <w:tcPr>
            <w:tcW w:type="dxa" w:w="2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Do-nothing trends</w:t>
            </w:r>
          </w:p>
        </w:tc>
        <w:tc>
          <w:tcPr>
            <w:tcW w:type="dxa" w:w="2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New logo −5%/yr; NRR −1 pt/yr</w:t>
            </w:r>
          </w:p>
        </w:tc>
        <w:tc>
          <w:tcPr>
            <w:tcW w:type="dxa" w:w="38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D1 FY24–26 trends</w:t>
            </w:r>
          </w:p>
        </w:tc>
        <w:tc>
          <w:tcPr>
            <w:tcW w:type="dxa" w:w="1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D1</w:t>
            </w:r>
          </w:p>
        </w:tc>
      </w:tr>
      <w:tr>
        <w:trPr>
          <w:cantSplit/>
          <w:tblHeader w:val="false"/>
        </w:trPr>
        <w:tc>
          <w:tcPr>
            <w:tcW w:type="dxa" w:w="2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Guardrails; CAC definition</w:t>
            </w:r>
          </w:p>
        </w:tc>
        <w:tc>
          <w:tcPr>
            <w:tcW w:type="dxa" w:w="2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Brief §4, §6; DR3 definitions</w:t>
            </w:r>
          </w:p>
        </w:tc>
        <w:tc>
          <w:tcPr>
            <w:tcW w:type="dxa" w:w="38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Brief; DR3</w:t>
            </w:r>
          </w:p>
        </w:tc>
        <w:tc>
          <w:tcPr>
            <w:tcW w:type="dxa" w:w="1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w:t>
            </w:r>
          </w:p>
        </w:tc>
      </w:tr>
      <w:tr>
        <w:trPr>
          <w:cantSplit/>
          <w:tblHeader w:val="false"/>
        </w:trPr>
        <w:tc>
          <w:tcPr>
            <w:tcW w:type="dxa" w:w="27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Primary evidence</w:t>
            </w:r>
          </w:p>
        </w:tc>
        <w:tc>
          <w:tcPr>
            <w:tcW w:type="dxa" w:w="23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8 interviews (in progress)</w:t>
            </w:r>
          </w:p>
        </w:tc>
        <w:tc>
          <w:tcPr>
            <w:tcW w:type="dxa" w:w="38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Interview kit and log; interview-based assumptions flagged until coded</w:t>
            </w:r>
          </w:p>
        </w:tc>
        <w:tc>
          <w:tcPr>
            <w:tcW w:type="dxa" w:w="1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Kit</w:t>
            </w:r>
          </w:p>
        </w:tc>
      </w:tr>
    </w:tbl>
    <w:p>
      <w:pPr>
        <w:pStyle w:val="Heading1"/>
        <w:keepNext/>
        <w:spacing w:after="70" w:before="180"/>
      </w:pPr>
      <w:r>
        <w:t xml:space="preserve">Appendix B. Checks sheet (Base)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600"/>
        <w:gridCol w:w="2400"/>
        <w:gridCol w:w="2206"/>
      </w:tblGrid>
      <w:tr>
        <w:trPr>
          <w:cantSplit/>
          <w:tblHeader/>
        </w:trPr>
        <w:tc>
          <w:tcPr>
            <w:tcW w:type="dxa" w:w="56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Check</w:t>
            </w:r>
          </w:p>
        </w:tc>
        <w:tc>
          <w:tcPr>
            <w:tcW w:type="dxa" w:w="2400"/>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Value</w:t>
            </w:r>
          </w:p>
        </w:tc>
        <w:tc>
          <w:tcPr>
            <w:tcW w:type="dxa" w:w="2206"/>
            <w:tcBorders>
              <w:top w:val="single" w:color="C9C8C2" w:sz="4"/>
              <w:left w:val="single" w:color="C9C8C2" w:sz="4"/>
              <w:bottom w:val="single" w:color="C9C8C2" w:sz="4"/>
              <w:right w:val="single" w:color="C9C8C2" w:sz="4"/>
            </w:tcBorders>
            <w:shd w:fill="1F3A5F" w:color="auto" w:val="clear"/>
            <w:tcMar>
              <w:top w:type="dxa" w:w="40"/>
              <w:left w:type="dxa" w:w="70"/>
              <w:bottom w:type="dxa" w:w="40"/>
              <w:right w:type="dxa" w:w="70"/>
            </w:tcMar>
          </w:tcPr>
          <w:p>
            <w:r>
              <w:rPr>
                <w:b/>
                <w:bCs/>
                <w:color w:val="FFFFFF"/>
                <w:sz w:val="17"/>
                <w:szCs w:val="17"/>
              </w:rPr>
              <w:t xml:space="preserve">Result</w:t>
            </w:r>
          </w:p>
        </w:tc>
      </w:tr>
      <w:tr>
        <w:trPr>
          <w:cantSplit/>
          <w:tblHeader w:val="false"/>
        </w:trPr>
        <w:tc>
          <w:tcPr>
            <w:tcW w:type="dxa" w:w="56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ARR bridge ties every quarter</w:t>
            </w:r>
          </w:p>
        </w:tc>
        <w:tc>
          <w:tcPr>
            <w:tcW w:type="dxa" w:w="2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0.000</w:t>
            </w:r>
          </w:p>
        </w:tc>
        <w:tc>
          <w:tcPr>
            <w:tcW w:type="dxa" w:w="22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OK</w:t>
            </w:r>
          </w:p>
        </w:tc>
      </w:tr>
      <w:tr>
        <w:trPr>
          <w:cantSplit/>
          <w:tblHeader w:val="false"/>
        </w:trPr>
        <w:tc>
          <w:tcPr>
            <w:tcW w:type="dxa" w:w="56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No formula errors in model sheets</w:t>
            </w:r>
          </w:p>
        </w:tc>
        <w:tc>
          <w:tcPr>
            <w:tcW w:type="dxa" w:w="2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0</w:t>
            </w:r>
          </w:p>
        </w:tc>
        <w:tc>
          <w:tcPr>
            <w:tcW w:type="dxa" w:w="22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OK</w:t>
            </w:r>
          </w:p>
        </w:tc>
      </w:tr>
      <w:tr>
        <w:trPr>
          <w:cantSplit/>
          <w:tblHeader w:val="false"/>
        </w:trPr>
        <w:tc>
          <w:tcPr>
            <w:tcW w:type="dxa" w:w="56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New logo = direct + partner (counted once)</w:t>
            </w:r>
          </w:p>
        </w:tc>
        <w:tc>
          <w:tcPr>
            <w:tcW w:type="dxa" w:w="2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0.000</w:t>
            </w:r>
          </w:p>
        </w:tc>
        <w:tc>
          <w:tcPr>
            <w:tcW w:type="dxa" w:w="22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OK</w:t>
            </w:r>
          </w:p>
        </w:tc>
      </w:tr>
      <w:tr>
        <w:trPr>
          <w:cantSplit/>
          <w:tblHeader w:val="false"/>
        </w:trPr>
        <w:tc>
          <w:tcPr>
            <w:tcW w:type="dxa" w:w="56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Investment within FY27 envelope</w:t>
            </w:r>
          </w:p>
        </w:tc>
        <w:tc>
          <w:tcPr>
            <w:tcW w:type="dxa" w:w="2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₹14.95 cr of ₹15 cr</w:t>
            </w:r>
          </w:p>
        </w:tc>
        <w:tc>
          <w:tcPr>
            <w:tcW w:type="dxa" w:w="22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OK</w:t>
            </w:r>
          </w:p>
        </w:tc>
      </w:tr>
      <w:tr>
        <w:trPr>
          <w:cantSplit/>
          <w:tblHeader w:val="false"/>
        </w:trPr>
        <w:tc>
          <w:tcPr>
            <w:tcW w:type="dxa" w:w="56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Gross margin ≥ 66% (lowest year)</w:t>
            </w:r>
          </w:p>
        </w:tc>
        <w:tc>
          <w:tcPr>
            <w:tcW w:type="dxa" w:w="2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67.5%</w:t>
            </w:r>
          </w:p>
        </w:tc>
        <w:tc>
          <w:tcPr>
            <w:tcW w:type="dxa" w:w="22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OK</w:t>
            </w:r>
          </w:p>
        </w:tc>
      </w:tr>
      <w:tr>
        <w:trPr>
          <w:cantSplit/>
          <w:tblHeader w:val="false"/>
        </w:trPr>
        <w:tc>
          <w:tcPr>
            <w:tcW w:type="dxa" w:w="5600"/>
            <w:tcBorders>
              <w:top w:val="single" w:color="C9C8C2" w:sz="4"/>
              <w:left w:val="single" w:color="C9C8C2" w:sz="4"/>
              <w:bottom w:val="single" w:color="C9C8C2" w:sz="4"/>
              <w:right w:val="single" w:color="C9C8C2" w:sz="4"/>
            </w:tcBorders>
            <w:shd w:fill="E8EEF5" w:color="auto" w:val="clear"/>
            <w:tcMar>
              <w:top w:type="dxa" w:w="40"/>
              <w:left w:type="dxa" w:w="70"/>
              <w:bottom w:type="dxa" w:w="40"/>
              <w:right w:type="dxa" w:w="70"/>
            </w:tcMar>
          </w:tcPr>
          <w:p>
            <w:r>
              <w:rPr>
                <w:b/>
                <w:bCs/>
                <w:sz w:val="17"/>
                <w:szCs w:val="17"/>
              </w:rPr>
              <w:t xml:space="preserve">CAC payback ≤ 30 months, worst quarter</w:t>
            </w:r>
          </w:p>
        </w:tc>
        <w:tc>
          <w:tcPr>
            <w:tcW w:type="dxa" w:w="2400"/>
            <w:tcBorders>
              <w:top w:val="single" w:color="C9C8C2" w:sz="4"/>
              <w:left w:val="single" w:color="C9C8C2" w:sz="4"/>
              <w:bottom w:val="single" w:color="C9C8C2" w:sz="4"/>
              <w:right w:val="single" w:color="C9C8C2" w:sz="4"/>
            </w:tcBorders>
            <w:shd w:fill="E8EEF5" w:color="auto" w:val="clear"/>
            <w:tcMar>
              <w:top w:type="dxa" w:w="40"/>
              <w:left w:type="dxa" w:w="70"/>
              <w:bottom w:type="dxa" w:w="40"/>
              <w:right w:type="dxa" w:w="70"/>
            </w:tcMar>
          </w:tcPr>
          <w:p>
            <w:r>
              <w:rPr>
                <w:b/>
                <w:bCs/>
                <w:sz w:val="17"/>
                <w:szCs w:val="17"/>
              </w:rPr>
              <w:t xml:space="preserve">31.0 (Q1 FY27)</w:t>
            </w:r>
          </w:p>
        </w:tc>
        <w:tc>
          <w:tcPr>
            <w:tcW w:type="dxa" w:w="2206"/>
            <w:tcBorders>
              <w:top w:val="single" w:color="C9C8C2" w:sz="4"/>
              <w:left w:val="single" w:color="C9C8C2" w:sz="4"/>
              <w:bottom w:val="single" w:color="C9C8C2" w:sz="4"/>
              <w:right w:val="single" w:color="C9C8C2" w:sz="4"/>
            </w:tcBorders>
            <w:shd w:fill="E8EEF5" w:color="auto" w:val="clear"/>
            <w:tcMar>
              <w:top w:type="dxa" w:w="40"/>
              <w:left w:type="dxa" w:w="70"/>
              <w:bottom w:type="dxa" w:w="40"/>
              <w:right w:type="dxa" w:w="70"/>
            </w:tcMar>
          </w:tcPr>
          <w:p>
            <w:r>
              <w:rPr>
                <w:b/>
                <w:bCs/>
                <w:sz w:val="17"/>
                <w:szCs w:val="17"/>
              </w:rPr>
              <w:t xml:space="preserve">BREACH: exception requested</w:t>
            </w:r>
          </w:p>
        </w:tc>
      </w:tr>
      <w:tr>
        <w:trPr>
          <w:cantSplit/>
          <w:tblHeader w:val="false"/>
        </w:trPr>
        <w:tc>
          <w:tcPr>
            <w:tcW w:type="dxa" w:w="56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CAC payback ≤ 24 months by Q4 FY28</w:t>
            </w:r>
          </w:p>
        </w:tc>
        <w:tc>
          <w:tcPr>
            <w:tcW w:type="dxa" w:w="2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21.2</w:t>
            </w:r>
          </w:p>
        </w:tc>
        <w:tc>
          <w:tcPr>
            <w:tcW w:type="dxa" w:w="22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OK</w:t>
            </w:r>
          </w:p>
        </w:tc>
      </w:tr>
      <w:tr>
        <w:trPr>
          <w:cantSplit/>
          <w:tblHeader w:val="false"/>
        </w:trPr>
        <w:tc>
          <w:tcPr>
            <w:tcW w:type="dxa" w:w="56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S&amp;M ≤ 30% of ARR by FY29</w:t>
            </w:r>
          </w:p>
        </w:tc>
        <w:tc>
          <w:tcPr>
            <w:tcW w:type="dxa" w:w="2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27.0%</w:t>
            </w:r>
          </w:p>
        </w:tc>
        <w:tc>
          <w:tcPr>
            <w:tcW w:type="dxa" w:w="22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OK</w:t>
            </w:r>
          </w:p>
        </w:tc>
      </w:tr>
      <w:tr>
        <w:trPr>
          <w:cantSplit/>
          <w:tblHeader w:val="false"/>
        </w:trPr>
        <w:tc>
          <w:tcPr>
            <w:tcW w:type="dxa" w:w="56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Net new AEs FY27 ≤ 12; headcount ≤ 76</w:t>
            </w:r>
          </w:p>
        </w:tc>
        <w:tc>
          <w:tcPr>
            <w:tcW w:type="dxa" w:w="2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6; 69</w:t>
            </w:r>
          </w:p>
        </w:tc>
        <w:tc>
          <w:tcPr>
            <w:tcW w:type="dxa" w:w="22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OK</w:t>
            </w:r>
          </w:p>
        </w:tc>
      </w:tr>
      <w:tr>
        <w:trPr>
          <w:cantSplit/>
          <w:tblHeader w:val="false"/>
        </w:trPr>
        <w:tc>
          <w:tcPr>
            <w:tcW w:type="dxa" w:w="56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Channel roles ≤ 6</w:t>
            </w:r>
          </w:p>
        </w:tc>
        <w:tc>
          <w:tcPr>
            <w:tcW w:type="dxa" w:w="2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3</w:t>
            </w:r>
          </w:p>
        </w:tc>
        <w:tc>
          <w:tcPr>
            <w:tcW w:type="dxa" w:w="22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OK</w:t>
            </w:r>
          </w:p>
        </w:tc>
      </w:tr>
      <w:tr>
        <w:trPr>
          <w:cantSplit/>
          <w:tblHeader w:val="false"/>
        </w:trPr>
        <w:tc>
          <w:tcPr>
            <w:tcW w:type="dxa" w:w="56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Pipeline: deals worked ≤ AE capacity and ≤ supply, every quarter</w:t>
            </w:r>
          </w:p>
        </w:tc>
        <w:tc>
          <w:tcPr>
            <w:tcW w:type="dxa" w:w="2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0 exceptions</w:t>
            </w:r>
          </w:p>
        </w:tc>
        <w:tc>
          <w:tcPr>
            <w:tcW w:type="dxa" w:w="22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OK</w:t>
            </w:r>
          </w:p>
        </w:tc>
      </w:tr>
      <w:tr>
        <w:trPr>
          <w:cantSplit/>
          <w:tblHeader w:val="false"/>
        </w:trPr>
        <w:tc>
          <w:tcPr>
            <w:tcW w:type="dxa" w:w="56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Partner pipeline ≤ partner capacity</w:t>
            </w:r>
          </w:p>
        </w:tc>
        <w:tc>
          <w:tcPr>
            <w:tcW w:type="dxa" w:w="2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0 exceptions</w:t>
            </w:r>
          </w:p>
        </w:tc>
        <w:tc>
          <w:tcPr>
            <w:tcW w:type="dxa" w:w="22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OK</w:t>
            </w:r>
          </w:p>
        </w:tc>
      </w:tr>
      <w:tr>
        <w:trPr>
          <w:cantSplit/>
          <w:tblHeader w:val="false"/>
        </w:trPr>
        <w:tc>
          <w:tcPr>
            <w:tcW w:type="dxa" w:w="56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Growth FY27 / FY28 / FY29</w:t>
            </w:r>
          </w:p>
        </w:tc>
        <w:tc>
          <w:tcPr>
            <w:tcW w:type="dxa" w:w="2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13.2% / 20.4% / 24.3%</w:t>
            </w:r>
          </w:p>
        </w:tc>
        <w:tc>
          <w:tcPr>
            <w:tcW w:type="dxa" w:w="22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FY27 SHORTFALL (defended)</w:t>
            </w:r>
          </w:p>
        </w:tc>
      </w:tr>
      <w:tr>
        <w:trPr>
          <w:cantSplit/>
          <w:tblHeader w:val="false"/>
        </w:trPr>
        <w:tc>
          <w:tcPr>
            <w:tcW w:type="dxa" w:w="56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NRR FY29 vs 108%</w:t>
            </w:r>
          </w:p>
        </w:tc>
        <w:tc>
          <w:tcPr>
            <w:tcW w:type="dxa" w:w="2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103.8%</w:t>
            </w:r>
          </w:p>
        </w:tc>
        <w:tc>
          <w:tcPr>
            <w:tcW w:type="dxa" w:w="22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SHORTFALL (defended)</w:t>
            </w:r>
          </w:p>
        </w:tc>
      </w:tr>
      <w:tr>
        <w:trPr>
          <w:cantSplit/>
          <w:tblHeader w:val="false"/>
        </w:trPr>
        <w:tc>
          <w:tcPr>
            <w:tcW w:type="dxa" w:w="56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Partner share FY29 vs 25%</w:t>
            </w:r>
          </w:p>
        </w:tc>
        <w:tc>
          <w:tcPr>
            <w:tcW w:type="dxa" w:w="2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22.7%</w:t>
            </w:r>
          </w:p>
        </w:tc>
        <w:tc>
          <w:tcPr>
            <w:tcW w:type="dxa" w:w="22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SHORTFALL (defended)</w:t>
            </w:r>
          </w:p>
        </w:tc>
      </w:tr>
      <w:tr>
        <w:trPr>
          <w:cantSplit/>
          <w:tblHeader w:val="false"/>
        </w:trPr>
        <w:tc>
          <w:tcPr>
            <w:tcW w:type="dxa" w:w="56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D6 reconciliation: partner ARR FY27–29 = ₹33.27 cr</w:t>
            </w:r>
          </w:p>
        </w:tc>
        <w:tc>
          <w:tcPr>
            <w:tcW w:type="dxa" w:w="2400"/>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₹33.27 cr</w:t>
            </w:r>
          </w:p>
        </w:tc>
        <w:tc>
          <w:tcPr>
            <w:tcW w:type="dxa" w:w="2206"/>
            <w:tcBorders>
              <w:top w:val="single" w:color="C9C8C2" w:sz="4"/>
              <w:left w:val="single" w:color="C9C8C2" w:sz="4"/>
              <w:bottom w:val="single" w:color="C9C8C2" w:sz="4"/>
              <w:right w:val="single" w:color="C9C8C2" w:sz="4"/>
            </w:tcBorders>
            <w:tcMar>
              <w:top w:type="dxa" w:w="40"/>
              <w:left w:type="dxa" w:w="70"/>
              <w:bottom w:type="dxa" w:w="40"/>
              <w:right w:type="dxa" w:w="70"/>
            </w:tcMar>
          </w:tcPr>
          <w:p>
            <w:r>
              <w:rPr>
                <w:b w:val="false"/>
                <w:bCs w:val="false"/>
                <w:sz w:val="17"/>
                <w:szCs w:val="17"/>
              </w:rPr>
              <w:t xml:space="preserve">OK</w:t>
            </w:r>
          </w:p>
        </w:tc>
      </w:tr>
    </w:tbl>
    <w:p>
      <w:pPr>
        <w:spacing w:before="80"/>
      </w:pPr>
      <w:r>
        <w:rPr>
          <w:i/>
          <w:iCs/>
          <w:color w:val="52514E"/>
          <w:sz w:val="16"/>
          <w:szCs w:val="16"/>
        </w:rPr>
        <w:t xml:space="preserve">External benchmarks (five independent sources required by the brief) are still to be added from the student’s own research; the DR8 ranges were not used as inputs.</w:t>
      </w:r>
    </w:p>
    <w:sectPr>
      <w:footerReference w:type="default" r:id="rId7"/>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A8984"/>
        <w:sz w:val="14"/>
        <w:szCs w:val="14"/>
      </w:rPr>
      <w:t xml:space="preserve">D7 plan memo · page </w:t>
    </w:r>
    <w:r>
      <w:rPr>
        <w:color w:val="8A8984"/>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70" w:before="180"/>
    </w:pPr>
    <w:rPr>
      <w:b/>
      <w:bCs/>
      <w:color w:val="1F3A5F"/>
      <w:sz w:val="24"/>
      <w:szCs w:val="24"/>
    </w:rPr>
  </w:style>
  <w:style w:type="paragraph" w:styleId="Heading2">
    <w:name w:val="Heading 2"/>
    <w:basedOn w:val="Normal"/>
    <w:next w:val="Normal"/>
    <w:qFormat/>
    <w:pPr>
      <w:spacing w:after="50" w:before="110"/>
    </w:pPr>
    <w:rPr>
      <w:b/>
      <w:bCs/>
      <w:color w:val="1F3A5F"/>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465e11a7bc7d7698b27e0f6569dc105be9943f1.png"/><Relationship Id="rId9" Type="http://schemas.openxmlformats.org/officeDocument/2006/relationships/image" Target="media/a9fbfa7769d526fd9e98de7d26cb561146d2e870.png"/><Relationship Id="rId10" Type="http://schemas.openxmlformats.org/officeDocument/2006/relationships/image" Target="media/6299b9efdd851d90f4baf3adca6d89a5ac225c83.png"/><Relationship Id="rId11" Type="http://schemas.openxmlformats.org/officeDocument/2006/relationships/image" Target="media/5d5f7fbb094581a309667816c1e2196e115f8ba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2026-09-23T16:43:25.000Z</dcterms:created>
  <dcterms:modified xsi:type="dcterms:W3CDTF">2026-09-23T16:43:25.000Z</dcterms:modified>
</cp:coreProperties>
</file>

<file path=docProps/custom.xml><?xml version="1.0" encoding="utf-8"?>
<Properties xmlns="http://schemas.openxmlformats.org/officeDocument/2006/custom-properties" xmlns:vt="http://schemas.openxmlformats.org/officeDocument/2006/docPropsVTypes"/>
</file>