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28"/>
          <w:szCs w:val="28"/>
        </w:rPr>
        <w:t xml:space="preserve">Memo to the CEO: the revenue reset, and what I need from the board</w:t>
      </w:r>
    </w:p>
    <w:p>
      <w:pPr>
        <w:pBdr>
          <w:bottom w:val="single" w:color="1F3A5F" w:sz="6" w:space="4"/>
        </w:pBdr>
        <w:spacing w:after="80" w:line="259"/>
      </w:pPr>
      <w:r>
        <w:rPr>
          <w:i/>
          <w:iCs/>
          <w:color w:val="52514E"/>
          <w:sz w:val="16"/>
          <w:szCs w:val="16"/>
        </w:rPr>
        <w:t xml:space="preserve">From the Revenue Strategy Lead · Week 9 FY27 · Strata Sense is fictional; data synthetic. Every number is from D7_Integrated_Model.xlsx.</w:t>
      </w:r>
    </w:p>
    <w:p>
      <w:pPr>
        <w:pStyle w:val="Heading1"/>
        <w:keepNext/>
        <w:spacing w:after="60" w:before="150"/>
      </w:pPr>
      <w:r>
        <w:t xml:space="preserve">The recommendation</w:t>
      </w:r>
    </w:p>
    <w:p>
      <w:pPr>
        <w:spacing w:after="80" w:line="259"/>
      </w:pPr>
      <w:r>
        <w:rPr>
          <w:b/>
          <w:bCs/>
        </w:rPr>
        <w:t xml:space="preserve">Approve ₹14.95 crore of FY27 investment (inside the ₹15 crore cap), six net new AEs starting Q3, three channel roles, and a ₹1.9 crore reserve released only if Q2 targets are met. </w:t>
      </w:r>
      <w:r>
        <w:t xml:space="preserve">The plan takes ARR from ₹310 crore to ₹351 crore (FY27), ₹423 crore (FY28) and ₹526 crore (FY29), ahead of the board’s ₹522 crore. It breaks even on EBITDA in FY28 (₹2.6 crore) and earns ₹52.6 crore in FY29. Doing nothing leaves us at ₹389 crore.</w:t>
      </w:r>
    </w:p>
    <w:p>
      <w:pPr>
        <w:spacing w:after="80" w:line="259"/>
      </w:pPr>
      <w:r>
        <w:rPr>
          <w:b/>
          <w:bCs/>
        </w:rPr>
        <w:t xml:space="preserve">The trade-off I am asking you to accept: </w:t>
      </w:r>
      <w:r>
        <w:t xml:space="preserve">FY27 grows 13.2%, not 15% (₹5.6 crore short). Q1 was set by the pipeline on 1 April, and new AEs take a year to become productive. Buying the gap with the extra ₹3 crore does not pay back inside the CFO’s 15 months.</w:t>
      </w:r>
    </w:p>
    <w:p>
      <w:pPr>
        <w:pStyle w:val="Heading1"/>
        <w:keepNext/>
        <w:spacing w:after="60" w:before="150"/>
      </w:pPr>
      <w:r>
        <w:t xml:space="preserve">Why growth stalled, in one paragraph</w:t>
      </w:r>
    </w:p>
    <w:p>
      <w:pPr>
        <w:spacing w:after="80" w:line="259"/>
      </w:pPr>
      <w:r>
        <w:t xml:space="preserve">Win rate fell from 27% to 17% and NRR from 118% to 99% in three years. The biggest cause (₹34 crore a year) is Helix bundling our category into its automation contracts; that is a packaging problem, not a sales problem. The rest is ours to fix: AEs spent 62% of their time on accounts that produce 12% of wins, deals were single-threaded, and discounts rose without buying wins. The plan fixes these three and about a third of the Helix loss.</w:t>
      </w:r>
    </w:p>
    <w:p>
      <w:pPr>
        <w:pStyle w:val="Heading1"/>
        <w:keepNext/>
        <w:spacing w:after="60" w:before="150"/>
      </w:pPr>
      <w:r>
        <w:t xml:space="preserve">What changes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First 30 days: </w:t>
      </w:r>
      <w:r>
        <w:t xml:space="preserve">tiers applied to territories; discounts above 15% need the CFO; Commit means stage 5; Helix-tied partners restricted; CEO meeting with Vajra.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By day 60: </w:t>
      </w:r>
      <w:r>
        <w:t xml:space="preserve">retention squad and value-selling training live; three SEA partners signed; offers out to six AEs.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By day 90: </w:t>
      </w:r>
      <w:r>
        <w:t xml:space="preserve">the Q2 review decides whether the reserve is released.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b/>
          <w:bCs/>
        </w:rPr>
        <w:t xml:space="preserve">We stop: </w:t>
      </w:r>
      <w:r>
        <w:t xml:space="preserve">sending AEs to 1,600 low-touch accounts; matching Helix’s free offer; Commit calls before stage 5; planning on a six-month ramp; carrying dormant partners; hiring AEs to quota instead of to pipeline.</w:t>
      </w:r>
    </w:p>
    <w:p>
      <w:pPr>
        <w:pStyle w:val="Heading1"/>
        <w:keepNext/>
        <w:spacing w:after="60" w:before="150"/>
      </w:pPr>
      <w:r>
        <w:t xml:space="preserve">The three largest risks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00"/>
        <w:gridCol w:w="3606"/>
      </w:tblGrid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Probability</w:t>
            </w:r>
          </w:p>
        </w:tc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Impact (model)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1F3A5F" w:color="auto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Fallback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Helix pressure deeper (churn +2 pts)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35%</w:t>
            </w:r>
          </w:p>
        </w:tc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−₹23 cr FY29 ARR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Second retention squad; win-back when HelixAsset’s free period ends (Mar 2027)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Win-rate programme stalls (−3 pts)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−₹26 cr; payback breach at −0.7 pts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Hold reserve; move to CFO-capped path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Hardware share does not fall</w:t>
            </w:r>
          </w:p>
        </w:tc>
        <w:tc>
          <w:tcPr>
            <w:tcW w:type="dxa" w:w="1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35%</w:t>
            </w:r>
          </w:p>
        </w:tc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Gross margin 64.5% by FY29 (floor 66%)</w:t>
            </w:r>
          </w:p>
        </w:tc>
        <w:tc>
          <w:tcPr>
            <w:tcW w:type="dxa" w:w="3606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6"/>
                <w:szCs w:val="16"/>
              </w:rPr>
              <w:t xml:space="preserve">Hardware price floor; software-led expansion; sensor-agnostic tier</w:t>
            </w:r>
          </w:p>
        </w:tc>
      </w:tr>
    </w:tbl>
    <w:p>
      <w:pPr>
        <w:pStyle w:val="Heading1"/>
        <w:keepNext/>
        <w:spacing w:after="60" w:before="150"/>
      </w:pPr>
      <w:r>
        <w:t xml:space="preserve">How the board will know: continue, adjust or stop at Q2</w:t>
      </w:r>
    </w:p>
    <w:p>
      <w:pPr>
        <w:spacing w:after="80" w:line="259"/>
      </w:pPr>
      <w:r>
        <w:t xml:space="preserve">Continue if win rate ≥ 18.0%, new qualified deals ≥ 95 a quarter, H1 churn and contraction ≤ ₹13.5 crore, H1 expansion ≥ ₹12.5 crore and payback ≤ 30 months. Adjust (hold the reserve) if win rate or pipeline misses. Stop the Q3 hires and come back to the board if win rate is below 17% and payback above 32 months.</w:t>
      </w:r>
    </w:p>
    <w:p>
      <w:pPr>
        <w:pStyle w:val="Heading1"/>
        <w:keepNext/>
        <w:spacing w:after="60" w:before="150"/>
      </w:pPr>
      <w:r>
        <w:t xml:space="preserve">Guardrails, and the one I am asking you to waive</w:t>
      </w:r>
    </w:p>
    <w:p>
      <w:pPr>
        <w:spacing w:after="80" w:line="259"/>
      </w:pPr>
      <w:r>
        <w:t xml:space="preserve">Investment, gross margin, S&amp;M ratio, headcount and the Q4 FY28 payback test are all met. One is not: Q1 FY27 CAC payback is 31.0 months against 30, because its bookings were locked before the plan. I ask for an exception for that quarter only. Q3 FY27 is tight at 29.4 months, which is why the reserve is gated.</w:t>
      </w:r>
    </w:p>
    <w:p>
      <w:pPr>
        <w:pStyle w:val="Heading1"/>
        <w:keepNext/>
        <w:spacing w:after="60" w:before="150"/>
      </w:pPr>
      <w:r>
        <w:t xml:space="preserve">What I am least sure of</w:t>
      </w:r>
    </w:p>
    <w:p>
      <w:pPr>
        <w:spacing w:after="80" w:line="259"/>
      </w:pPr>
      <w:r>
        <w:t xml:space="preserve">That hardware will fall from ₹1.48 to ₹1.05 per rupee of new and expansion ARR. If it does not, ARR still grows but gross margin breaks the floor by FY28, and the sensor-agnostic tier becomes a margin necessity. I would rather the board knew this today than discover it in FY28.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20"/>
    </w:pPr>
    <w:rPr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2026-09-23T17:36:31.434Z</dcterms:created>
  <dcterms:modified xsi:type="dcterms:W3CDTF">2026-09-23T17:36:31.434Z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