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A5F"/>
          <w:sz w:val="30"/>
          <w:szCs w:val="30"/>
        </w:rPr>
        <w:t xml:space="preserve">DR7 · Buyer dossier: Ranganath Precision Components Ltd</w:t>
      </w:r>
    </w:p>
    <w:p>
      <w:pPr>
        <w:spacing w:after="90" w:line="264"/>
      </w:pPr>
      <w:r>
        <w:rPr>
          <w:i/>
          <w:iCs/>
          <w:color w:val="52514E"/>
          <w:sz w:val="18"/>
          <w:szCs w:val="18"/>
        </w:rPr>
        <w:t xml:space="preserve">Fictional company and people; synthetic data for an MBA capstone. This is what Strata knows before discovery: public information, a past CRM record and account intelligence.</w:t>
      </w:r>
    </w:p>
    <w:p>
      <w:pPr>
        <w:pStyle w:val="Heading1"/>
        <w:spacing w:after="80" w:before="180"/>
      </w:pPr>
      <w:r>
        <w:t xml:space="preserve">1. Company snapshot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Tier-1 auto components: forged and machined crankshafts, steering knuckles, gear blanks, connecting rods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/ EBITDA (FY26)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₹2,300 cr; EBITDA margin about 13% (annual report)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passenger-vehicle OEMs (about 70% of revenue), one two-wheeler OEM, exports to a European Tier-1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Plants (9)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Chakan, Pune (3: P1, P2, P3) · Chennai (2) · Hosur (1) · Manesar (2) · Sanand (1)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rotating assets (est.)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7,400 across the group: CNC spindles, hydraulic forging presses, compressors, pumps, induction hardening, chillers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/ MES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Helix Automation PLCs and MES at most plants; MES contract renewal expected in FY27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condition monitoring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Route-based (portable) vibration rounds at 4 plants; a small wireless-sensor trial at one Chennai plant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initiative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Piloting HelixAsset (Helix’s asset-health module) at one Chakan plant since early 2026</w:t>
            </w:r>
          </w:p>
        </w:tc>
      </w:tr>
      <w:t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capex plan</w:t>
            </w:r>
          </w:p>
        </w:tc>
        <w:tc>
          <w:tcPr>
            <w:tcW w:type="dxa" w:w="6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₹180 cr (annual report); new EV-component line for an OEM programme</w:t>
            </w:r>
          </w:p>
        </w:tc>
      </w:tr>
    </w:tbl>
    <w:p>
      <w:pPr>
        <w:pStyle w:val="Heading1"/>
        <w:spacing w:after="80" w:before="180"/>
      </w:pPr>
      <w:r>
        <w:t xml:space="preserve">2. Public signals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Annual report FY26: "reducing unplanned downtime and improving OEE" named as an operations priority for FY27.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Annual report FY26: exceptional charge relating to "customer quality and delivery claims" (amount not broken out).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Trade press (Jan 2026): RPC wins a crankshaft contract for an OEM’s new EV-hybrid platform, with strict delivery-performance terms.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Job postings (Feb 2026): reliability engineer (Chakan) and OT security lead (corporate).</w:t>
      </w:r>
    </w:p>
    <w:p>
      <w:pPr>
        <w:pStyle w:val="Heading1"/>
        <w:spacing w:after="80" w:before="180"/>
      </w:pPr>
      <w:r>
        <w:t xml:space="preserve">3. People (from public profiles and past CRM notes)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we know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Venkat Ranganath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Managing Director (promoter family)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sign-off on large contracts; speaks publicly about OEM delivery performance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Kavita Rao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 Financial Officer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Ex-Big 4; joined 2022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Prakash Iyer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VP Manufacturing Operations (group)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Oversees all 9 plant heads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Suresh Kulkarni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 Head, Chakan Plant 2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Long-tenured; runs the forging and machining plant where the Helix pilot sits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Arvind Menon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 Information Officer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Owns MES and IT; leads the Helix MES relationship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Neha Joshi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of Procurement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Rate-contract driven; known for hard negotiation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(vacant / new)</w:t>
            </w:r>
          </w:p>
        </w:tc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 Security Lead</w:t>
            </w:r>
          </w:p>
        </w:tc>
        <w:tc>
          <w:tcPr>
            <w:tcW w:type="dxa" w:w="4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advertised Feb 2026</w:t>
            </w:r>
          </w:p>
        </w:tc>
      </w:tr>
    </w:tbl>
    <w:p>
      <w:pPr>
        <w:pStyle w:val="Heading1"/>
        <w:spacing w:after="80" w:before="180"/>
      </w:pPr>
      <w:r>
        <w:t xml:space="preserve">4. Strata history with the account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FY25: Strata ran a demo for the Chennai plant maintenance team. Opportunity closed "No decision / budget" after 7 months; one contact engaged; no business case in the proposal.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active opportunity today. Account sits in Strata’s strategic tier (D2).</w:t>
      </w:r>
    </w:p>
    <w:p>
      <w:pPr>
        <w:pStyle w:val="Heading1"/>
        <w:spacing w:after="80" w:before="180"/>
      </w:pPr>
      <w:r>
        <w:t xml:space="preserve">5. What we do not know (discovery targets)</w:t>
      </w:r>
    </w:p>
    <w:p>
      <w:pPr>
        <w:spacing w:after="90" w:line="264"/>
      </w:pPr>
      <w:r>
        <w:t xml:space="preserve">Terms of the Helix pilot; the real downtime picture and its cost; who decides and how the budget works; IT and security requirements; what has already been tried; what would make RPC act this year.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2026-09-23T10:35:52.940Z</dcterms:created>
  <dcterms:modified xsi:type="dcterms:W3CDTF">2026-09-23T10:35:52.950Z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