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3E89" w14:textId="77777777" w:rsidR="00EF539A" w:rsidRPr="002D404E" w:rsidRDefault="00000000">
      <w:pPr>
        <w:jc w:val="center"/>
        <w:rPr>
          <w:rFonts w:asciiTheme="majorHAnsi" w:hAnsiTheme="majorHAnsi" w:cstheme="majorHAnsi"/>
          <w:sz w:val="32"/>
          <w:szCs w:val="32"/>
        </w:rPr>
      </w:pPr>
      <w:r w:rsidRPr="002D404E">
        <w:rPr>
          <w:rFonts w:asciiTheme="majorHAnsi" w:hAnsiTheme="majorHAnsi" w:cstheme="majorHAnsi"/>
          <w:b/>
          <w:sz w:val="40"/>
          <w:szCs w:val="32"/>
        </w:rPr>
        <w:t>Patient Health Record Consent Management System</w:t>
      </w:r>
    </w:p>
    <w:p w14:paraId="4857C537" w14:textId="77777777" w:rsidR="00EF539A" w:rsidRPr="002D404E" w:rsidRDefault="00000000">
      <w:pPr>
        <w:jc w:val="center"/>
        <w:rPr>
          <w:rFonts w:asciiTheme="majorHAnsi" w:hAnsiTheme="majorHAnsi" w:cstheme="majorHAnsi"/>
          <w:b/>
          <w:sz w:val="32"/>
          <w:szCs w:val="32"/>
        </w:rPr>
      </w:pPr>
      <w:r w:rsidRPr="002D404E">
        <w:rPr>
          <w:rFonts w:asciiTheme="majorHAnsi" w:hAnsiTheme="majorHAnsi" w:cstheme="majorHAnsi"/>
          <w:b/>
          <w:sz w:val="32"/>
          <w:szCs w:val="32"/>
        </w:rPr>
        <w:t>Lab 3 – Written Justification</w:t>
      </w:r>
    </w:p>
    <w:p w14:paraId="37F2BB89" w14:textId="76113B1A" w:rsidR="002D404E" w:rsidRPr="002D404E" w:rsidRDefault="00316882" w:rsidP="00316882">
      <w:pPr>
        <w:rPr>
          <w:rFonts w:asciiTheme="majorHAnsi" w:hAnsiTheme="majorHAnsi" w:cstheme="majorHAnsi"/>
          <w:sz w:val="32"/>
          <w:szCs w:val="32"/>
        </w:rPr>
      </w:pPr>
      <w:r w:rsidRPr="002D404E">
        <w:rPr>
          <w:rFonts w:asciiTheme="majorHAnsi" w:hAnsiTheme="majorHAnsi" w:cstheme="majorHAnsi"/>
          <w:b/>
          <w:bCs/>
          <w:sz w:val="32"/>
          <w:szCs w:val="32"/>
        </w:rPr>
        <w:t>NAME</w:t>
      </w:r>
      <w:r w:rsidRPr="002D404E">
        <w:rPr>
          <w:rFonts w:asciiTheme="majorHAnsi" w:hAnsiTheme="majorHAnsi" w:cstheme="majorHAnsi"/>
          <w:sz w:val="32"/>
          <w:szCs w:val="32"/>
        </w:rPr>
        <w:t xml:space="preserve"> – Anvii S Rai</w:t>
      </w:r>
    </w:p>
    <w:p w14:paraId="4C5C4289" w14:textId="5D1F7FD7" w:rsidR="00316882" w:rsidRPr="002D404E" w:rsidRDefault="00316882" w:rsidP="00316882">
      <w:pPr>
        <w:rPr>
          <w:rFonts w:asciiTheme="majorHAnsi" w:hAnsiTheme="majorHAnsi" w:cstheme="majorHAnsi"/>
          <w:sz w:val="32"/>
          <w:szCs w:val="32"/>
        </w:rPr>
      </w:pPr>
      <w:r w:rsidRPr="002D404E">
        <w:rPr>
          <w:rFonts w:asciiTheme="majorHAnsi" w:hAnsiTheme="majorHAnsi" w:cstheme="majorHAnsi"/>
          <w:b/>
          <w:bCs/>
          <w:sz w:val="32"/>
          <w:szCs w:val="32"/>
        </w:rPr>
        <w:t>SRN</w:t>
      </w:r>
      <w:r w:rsidRPr="002D404E">
        <w:rPr>
          <w:rFonts w:asciiTheme="majorHAnsi" w:hAnsiTheme="majorHAnsi" w:cstheme="majorHAnsi"/>
          <w:sz w:val="32"/>
          <w:szCs w:val="32"/>
        </w:rPr>
        <w:t>- PES2UG24CS076</w:t>
      </w:r>
    </w:p>
    <w:p w14:paraId="5C0D8636" w14:textId="0E154777" w:rsidR="00316882" w:rsidRPr="002D404E" w:rsidRDefault="00316882" w:rsidP="00316882">
      <w:pPr>
        <w:rPr>
          <w:rFonts w:asciiTheme="majorHAnsi" w:hAnsiTheme="majorHAnsi" w:cstheme="majorHAnsi"/>
          <w:sz w:val="32"/>
          <w:szCs w:val="32"/>
        </w:rPr>
      </w:pPr>
      <w:r w:rsidRPr="002D404E">
        <w:rPr>
          <w:rFonts w:asciiTheme="majorHAnsi" w:hAnsiTheme="majorHAnsi" w:cstheme="majorHAnsi"/>
          <w:b/>
          <w:bCs/>
          <w:sz w:val="32"/>
          <w:szCs w:val="32"/>
        </w:rPr>
        <w:t>SECTION</w:t>
      </w:r>
      <w:r w:rsidRPr="002D404E">
        <w:rPr>
          <w:rFonts w:asciiTheme="majorHAnsi" w:hAnsiTheme="majorHAnsi" w:cstheme="majorHAnsi"/>
          <w:sz w:val="32"/>
          <w:szCs w:val="32"/>
        </w:rPr>
        <w:t>- B</w:t>
      </w:r>
    </w:p>
    <w:p w14:paraId="3F0E4FCC" w14:textId="77777777" w:rsidR="00316882" w:rsidRPr="002D404E" w:rsidRDefault="00316882" w:rsidP="00316882">
      <w:pPr>
        <w:rPr>
          <w:rFonts w:asciiTheme="majorHAnsi" w:hAnsiTheme="majorHAnsi" w:cstheme="majorHAnsi"/>
        </w:rPr>
      </w:pPr>
    </w:p>
    <w:p w14:paraId="6A35B8B4" w14:textId="006C1286" w:rsidR="00EF539A" w:rsidRPr="002D404E" w:rsidRDefault="00000000">
      <w:pPr>
        <w:spacing w:after="60" w:line="240" w:lineRule="auto"/>
        <w:rPr>
          <w:rFonts w:asciiTheme="majorHAnsi" w:hAnsiTheme="majorHAnsi" w:cstheme="majorHAnsi"/>
          <w:sz w:val="28"/>
          <w:szCs w:val="28"/>
        </w:rPr>
      </w:pPr>
      <w:r w:rsidRPr="002D404E">
        <w:rPr>
          <w:rFonts w:asciiTheme="majorHAnsi" w:hAnsiTheme="majorHAnsi" w:cstheme="majorHAnsi"/>
          <w:b/>
          <w:sz w:val="28"/>
          <w:szCs w:val="28"/>
        </w:rPr>
        <w:t xml:space="preserve">Architecture Selection: </w:t>
      </w:r>
      <w:r w:rsidR="002D404E">
        <w:rPr>
          <w:rFonts w:asciiTheme="majorHAnsi" w:hAnsiTheme="majorHAnsi" w:cstheme="majorHAnsi"/>
          <w:sz w:val="28"/>
          <w:szCs w:val="28"/>
        </w:rPr>
        <w:t>C</w:t>
      </w:r>
      <w:r w:rsidRPr="002D404E">
        <w:rPr>
          <w:rFonts w:asciiTheme="majorHAnsi" w:hAnsiTheme="majorHAnsi" w:cstheme="majorHAnsi"/>
          <w:sz w:val="28"/>
          <w:szCs w:val="28"/>
        </w:rPr>
        <w:t>hose Layered Architecture for the Patient Health Record Consent Management System.</w:t>
      </w:r>
    </w:p>
    <w:p w14:paraId="06FEC3A2" w14:textId="77777777" w:rsidR="00316882" w:rsidRPr="002D404E" w:rsidRDefault="00316882">
      <w:pPr>
        <w:spacing w:after="60" w:line="240" w:lineRule="auto"/>
        <w:rPr>
          <w:rFonts w:asciiTheme="majorHAnsi" w:hAnsiTheme="majorHAnsi" w:cstheme="majorHAnsi"/>
          <w:sz w:val="28"/>
          <w:szCs w:val="28"/>
        </w:rPr>
      </w:pPr>
    </w:p>
    <w:p w14:paraId="29FBB68C" w14:textId="77777777" w:rsidR="00EF539A" w:rsidRPr="002D404E" w:rsidRDefault="00000000">
      <w:pPr>
        <w:spacing w:after="60" w:line="240" w:lineRule="auto"/>
        <w:rPr>
          <w:rFonts w:asciiTheme="majorHAnsi" w:hAnsiTheme="majorHAnsi" w:cstheme="majorHAnsi"/>
          <w:sz w:val="28"/>
          <w:szCs w:val="28"/>
        </w:rPr>
      </w:pPr>
      <w:r w:rsidRPr="002D404E">
        <w:rPr>
          <w:rFonts w:asciiTheme="majorHAnsi" w:hAnsiTheme="majorHAnsi" w:cstheme="majorHAnsi"/>
          <w:b/>
          <w:sz w:val="28"/>
          <w:szCs w:val="28"/>
        </w:rPr>
        <w:t xml:space="preserve">Architectural Choice: </w:t>
      </w:r>
      <w:r w:rsidRPr="002D404E">
        <w:rPr>
          <w:rFonts w:asciiTheme="majorHAnsi" w:hAnsiTheme="majorHAnsi" w:cstheme="majorHAnsi"/>
          <w:sz w:val="28"/>
          <w:szCs w:val="28"/>
        </w:rPr>
        <w:t>Layered Architecture separates the user-facing portals, application services, and data storage into clear layers. This makes the system easier to understand, maintain, and test.</w:t>
      </w:r>
    </w:p>
    <w:p w14:paraId="064BED90" w14:textId="77777777" w:rsidR="00316882" w:rsidRPr="002D404E" w:rsidRDefault="00316882">
      <w:pPr>
        <w:spacing w:after="60" w:line="240" w:lineRule="auto"/>
        <w:rPr>
          <w:rFonts w:asciiTheme="majorHAnsi" w:hAnsiTheme="majorHAnsi" w:cstheme="majorHAnsi"/>
          <w:sz w:val="28"/>
          <w:szCs w:val="28"/>
        </w:rPr>
      </w:pPr>
    </w:p>
    <w:p w14:paraId="138C8AD2" w14:textId="77777777" w:rsidR="00316882" w:rsidRPr="002D404E" w:rsidRDefault="00000000">
      <w:pPr>
        <w:spacing w:after="60" w:line="240" w:lineRule="auto"/>
        <w:rPr>
          <w:rFonts w:asciiTheme="majorHAnsi" w:hAnsiTheme="majorHAnsi" w:cstheme="majorHAnsi"/>
          <w:b/>
          <w:sz w:val="28"/>
          <w:szCs w:val="28"/>
        </w:rPr>
      </w:pPr>
      <w:r w:rsidRPr="002D404E">
        <w:rPr>
          <w:rFonts w:asciiTheme="majorHAnsi" w:hAnsiTheme="majorHAnsi" w:cstheme="majorHAnsi"/>
          <w:b/>
          <w:sz w:val="28"/>
          <w:szCs w:val="28"/>
        </w:rPr>
        <w:t>Two Reasons:</w:t>
      </w:r>
    </w:p>
    <w:p w14:paraId="1DA93DA6" w14:textId="0F230CF1" w:rsidR="00316882" w:rsidRPr="002D404E" w:rsidRDefault="00000000" w:rsidP="00316882">
      <w:pPr>
        <w:pStyle w:val="ListParagraph"/>
        <w:numPr>
          <w:ilvl w:val="0"/>
          <w:numId w:val="10"/>
        </w:numPr>
        <w:spacing w:after="60" w:line="240" w:lineRule="auto"/>
        <w:rPr>
          <w:rFonts w:asciiTheme="majorHAnsi" w:hAnsiTheme="majorHAnsi" w:cstheme="majorHAnsi"/>
          <w:sz w:val="28"/>
          <w:szCs w:val="28"/>
        </w:rPr>
      </w:pPr>
      <w:r w:rsidRPr="002D404E">
        <w:rPr>
          <w:rFonts w:asciiTheme="majorHAnsi" w:hAnsiTheme="majorHAnsi" w:cstheme="majorHAnsi"/>
          <w:sz w:val="28"/>
          <w:szCs w:val="28"/>
        </w:rPr>
        <w:t>Healthcare record access and consent processing have distinct responsibilities, so separating presentation, service logic, and data storage reduces coupling and keeps each component focused.</w:t>
      </w:r>
    </w:p>
    <w:p w14:paraId="5DBF4E13" w14:textId="77777777" w:rsidR="00316882" w:rsidRPr="002D404E" w:rsidRDefault="00316882" w:rsidP="00316882">
      <w:pPr>
        <w:pStyle w:val="ListParagraph"/>
        <w:spacing w:after="60" w:line="240" w:lineRule="auto"/>
        <w:ind w:left="420"/>
        <w:rPr>
          <w:rFonts w:asciiTheme="majorHAnsi" w:hAnsiTheme="majorHAnsi" w:cstheme="majorHAnsi"/>
          <w:sz w:val="28"/>
          <w:szCs w:val="28"/>
        </w:rPr>
      </w:pPr>
    </w:p>
    <w:p w14:paraId="3896D494" w14:textId="3411022B" w:rsidR="00EF539A" w:rsidRPr="002D404E" w:rsidRDefault="00000000" w:rsidP="00316882">
      <w:pPr>
        <w:pStyle w:val="ListParagraph"/>
        <w:numPr>
          <w:ilvl w:val="0"/>
          <w:numId w:val="10"/>
        </w:numPr>
        <w:spacing w:after="60" w:line="240" w:lineRule="auto"/>
        <w:rPr>
          <w:rFonts w:asciiTheme="majorHAnsi" w:hAnsiTheme="majorHAnsi" w:cstheme="majorHAnsi"/>
          <w:sz w:val="28"/>
          <w:szCs w:val="28"/>
        </w:rPr>
      </w:pPr>
      <w:r w:rsidRPr="002D404E">
        <w:rPr>
          <w:rFonts w:asciiTheme="majorHAnsi" w:hAnsiTheme="majorHAnsi" w:cstheme="majorHAnsi"/>
          <w:sz w:val="28"/>
          <w:szCs w:val="28"/>
        </w:rPr>
        <w:t>Consent rules and health-record operations can be changed in the service layer without redesigning the patient/provider interfaces or the database structure.</w:t>
      </w:r>
    </w:p>
    <w:p w14:paraId="314F3DE4" w14:textId="77777777" w:rsidR="00316882" w:rsidRPr="002D404E" w:rsidRDefault="00316882" w:rsidP="00316882">
      <w:pPr>
        <w:pStyle w:val="ListParagraph"/>
        <w:rPr>
          <w:rFonts w:asciiTheme="majorHAnsi" w:hAnsiTheme="majorHAnsi" w:cstheme="majorHAnsi"/>
          <w:sz w:val="28"/>
          <w:szCs w:val="28"/>
        </w:rPr>
      </w:pPr>
    </w:p>
    <w:p w14:paraId="0003FD17" w14:textId="77777777" w:rsidR="00316882" w:rsidRPr="002D404E" w:rsidRDefault="00316882" w:rsidP="00316882">
      <w:pPr>
        <w:pStyle w:val="ListParagraph"/>
        <w:spacing w:after="60" w:line="240" w:lineRule="auto"/>
        <w:ind w:left="420"/>
        <w:rPr>
          <w:rFonts w:asciiTheme="majorHAnsi" w:hAnsiTheme="majorHAnsi" w:cstheme="majorHAnsi"/>
          <w:sz w:val="28"/>
          <w:szCs w:val="28"/>
        </w:rPr>
      </w:pPr>
    </w:p>
    <w:p w14:paraId="0D6602B1" w14:textId="601D36B6" w:rsidR="00EF539A" w:rsidRPr="002D404E" w:rsidRDefault="00000000">
      <w:pPr>
        <w:spacing w:after="60" w:line="240" w:lineRule="auto"/>
        <w:rPr>
          <w:rFonts w:asciiTheme="majorHAnsi" w:hAnsiTheme="majorHAnsi" w:cstheme="majorHAnsi"/>
          <w:sz w:val="28"/>
          <w:szCs w:val="28"/>
        </w:rPr>
      </w:pPr>
      <w:r w:rsidRPr="002D404E">
        <w:rPr>
          <w:rFonts w:asciiTheme="majorHAnsi" w:hAnsiTheme="majorHAnsi" w:cstheme="majorHAnsi"/>
          <w:b/>
          <w:sz w:val="28"/>
          <w:szCs w:val="28"/>
        </w:rPr>
        <w:t xml:space="preserve">Security Advantage: </w:t>
      </w:r>
      <w:r w:rsidRPr="002D404E">
        <w:rPr>
          <w:rFonts w:asciiTheme="majorHAnsi" w:hAnsiTheme="majorHAnsi" w:cstheme="majorHAnsi"/>
          <w:sz w:val="28"/>
          <w:szCs w:val="28"/>
        </w:rPr>
        <w:t>The service layer can enforce authentication, role</w:t>
      </w:r>
      <w:r w:rsidR="002D404E">
        <w:rPr>
          <w:rFonts w:asciiTheme="majorHAnsi" w:hAnsiTheme="majorHAnsi" w:cstheme="majorHAnsi"/>
          <w:sz w:val="28"/>
          <w:szCs w:val="28"/>
        </w:rPr>
        <w:t xml:space="preserve"> </w:t>
      </w:r>
      <w:r w:rsidRPr="002D404E">
        <w:rPr>
          <w:rFonts w:asciiTheme="majorHAnsi" w:hAnsiTheme="majorHAnsi" w:cstheme="majorHAnsi"/>
          <w:sz w:val="28"/>
          <w:szCs w:val="28"/>
        </w:rPr>
        <w:t>based access control, explicit consent checks, and auditing before allowing access to protected health records. This provides a central point for consistent security enforcement.</w:t>
      </w:r>
    </w:p>
    <w:p w14:paraId="0F16E2CF" w14:textId="77777777" w:rsidR="00316882" w:rsidRPr="002D404E" w:rsidRDefault="00316882">
      <w:pPr>
        <w:spacing w:after="60" w:line="240" w:lineRule="auto"/>
        <w:rPr>
          <w:rFonts w:asciiTheme="majorHAnsi" w:hAnsiTheme="majorHAnsi" w:cstheme="majorHAnsi"/>
          <w:sz w:val="28"/>
          <w:szCs w:val="28"/>
        </w:rPr>
      </w:pPr>
    </w:p>
    <w:p w14:paraId="1D81FA5F" w14:textId="77777777" w:rsidR="00EF539A" w:rsidRPr="002D404E" w:rsidRDefault="00000000">
      <w:pPr>
        <w:spacing w:after="60" w:line="240" w:lineRule="auto"/>
        <w:rPr>
          <w:rFonts w:asciiTheme="majorHAnsi" w:hAnsiTheme="majorHAnsi" w:cstheme="majorHAnsi"/>
          <w:sz w:val="28"/>
          <w:szCs w:val="28"/>
        </w:rPr>
      </w:pPr>
      <w:r w:rsidRPr="002D404E">
        <w:rPr>
          <w:rFonts w:asciiTheme="majorHAnsi" w:hAnsiTheme="majorHAnsi" w:cstheme="majorHAnsi"/>
          <w:b/>
          <w:sz w:val="28"/>
          <w:szCs w:val="28"/>
        </w:rPr>
        <w:t xml:space="preserve">Performance Benefit: </w:t>
      </w:r>
      <w:r w:rsidRPr="002D404E">
        <w:rPr>
          <w:rFonts w:asciiTheme="majorHAnsi" w:hAnsiTheme="majorHAnsi" w:cstheme="majorHAnsi"/>
          <w:sz w:val="28"/>
          <w:szCs w:val="28"/>
        </w:rPr>
        <w:t>Frequently used application services can be optimized independently, while database queries can be indexed and controlled at the data layer. This supports efficient retrieval of authorized records.</w:t>
      </w:r>
    </w:p>
    <w:p w14:paraId="6DCFFB1D" w14:textId="77777777" w:rsidR="00932C59" w:rsidRPr="002D404E" w:rsidRDefault="00932C59">
      <w:pPr>
        <w:spacing w:after="60" w:line="240" w:lineRule="auto"/>
        <w:rPr>
          <w:rFonts w:asciiTheme="majorHAnsi" w:hAnsiTheme="majorHAnsi" w:cstheme="majorHAnsi"/>
          <w:sz w:val="28"/>
          <w:szCs w:val="28"/>
        </w:rPr>
      </w:pPr>
    </w:p>
    <w:p w14:paraId="0D634C83" w14:textId="77777777" w:rsidR="00932C59" w:rsidRPr="002D404E" w:rsidRDefault="00932C59">
      <w:pPr>
        <w:spacing w:after="60" w:line="240" w:lineRule="auto"/>
        <w:rPr>
          <w:rFonts w:asciiTheme="majorHAnsi" w:hAnsiTheme="majorHAnsi" w:cstheme="majorHAnsi"/>
          <w:sz w:val="28"/>
          <w:szCs w:val="28"/>
        </w:rPr>
      </w:pPr>
    </w:p>
    <w:p w14:paraId="47CF92BD" w14:textId="77777777" w:rsidR="00932C59" w:rsidRDefault="00932C59">
      <w:pPr>
        <w:spacing w:after="60" w:line="240" w:lineRule="auto"/>
        <w:rPr>
          <w:sz w:val="28"/>
          <w:szCs w:val="28"/>
        </w:rPr>
      </w:pPr>
    </w:p>
    <w:p w14:paraId="21BD1C91" w14:textId="77777777" w:rsidR="00932C59" w:rsidRDefault="00932C59">
      <w:pPr>
        <w:spacing w:after="60" w:line="240" w:lineRule="auto"/>
        <w:rPr>
          <w:sz w:val="28"/>
          <w:szCs w:val="28"/>
        </w:rPr>
      </w:pPr>
    </w:p>
    <w:p w14:paraId="1365B7F4" w14:textId="77777777" w:rsidR="00932C59" w:rsidRDefault="00932C59">
      <w:pPr>
        <w:spacing w:after="60" w:line="240" w:lineRule="auto"/>
        <w:rPr>
          <w:sz w:val="28"/>
          <w:szCs w:val="28"/>
        </w:rPr>
      </w:pPr>
    </w:p>
    <w:p w14:paraId="2B6ACC84" w14:textId="77777777" w:rsidR="00932C59" w:rsidRDefault="00932C59">
      <w:pPr>
        <w:spacing w:after="60" w:line="240" w:lineRule="auto"/>
        <w:rPr>
          <w:sz w:val="28"/>
          <w:szCs w:val="28"/>
        </w:rPr>
      </w:pPr>
    </w:p>
    <w:p w14:paraId="6EC7046B" w14:textId="27A3D99A" w:rsidR="00932C59" w:rsidRPr="00316882" w:rsidRDefault="00932C59">
      <w:pPr>
        <w:spacing w:after="6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DFA0B1" wp14:editId="6F226AE6">
            <wp:extent cx="6492240" cy="4142740"/>
            <wp:effectExtent l="0" t="0" r="3810" b="0"/>
            <wp:docPr id="1114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199" name="Picture 1114519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C59" w:rsidRPr="00316882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DF11D3"/>
    <w:multiLevelType w:val="hybridMultilevel"/>
    <w:tmpl w:val="20B04AC2"/>
    <w:lvl w:ilvl="0" w:tplc="697E683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820274484">
    <w:abstractNumId w:val="8"/>
  </w:num>
  <w:num w:numId="2" w16cid:durableId="206339228">
    <w:abstractNumId w:val="6"/>
  </w:num>
  <w:num w:numId="3" w16cid:durableId="1881942338">
    <w:abstractNumId w:val="5"/>
  </w:num>
  <w:num w:numId="4" w16cid:durableId="570777351">
    <w:abstractNumId w:val="4"/>
  </w:num>
  <w:num w:numId="5" w16cid:durableId="1071544188">
    <w:abstractNumId w:val="7"/>
  </w:num>
  <w:num w:numId="6" w16cid:durableId="1043868095">
    <w:abstractNumId w:val="3"/>
  </w:num>
  <w:num w:numId="7" w16cid:durableId="908031556">
    <w:abstractNumId w:val="2"/>
  </w:num>
  <w:num w:numId="8" w16cid:durableId="1565679500">
    <w:abstractNumId w:val="1"/>
  </w:num>
  <w:num w:numId="9" w16cid:durableId="510292486">
    <w:abstractNumId w:val="0"/>
  </w:num>
  <w:num w:numId="10" w16cid:durableId="10236753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04E"/>
    <w:rsid w:val="00316882"/>
    <w:rsid w:val="00326F90"/>
    <w:rsid w:val="00565C5C"/>
    <w:rsid w:val="008270AA"/>
    <w:rsid w:val="00932C59"/>
    <w:rsid w:val="00AA1D8D"/>
    <w:rsid w:val="00B342F1"/>
    <w:rsid w:val="00B47730"/>
    <w:rsid w:val="00CB0664"/>
    <w:rsid w:val="00E8452C"/>
    <w:rsid w:val="00EF53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A9446"/>
  <w14:defaultImageDpi w14:val="300"/>
  <w15:docId w15:val="{BEED2D74-29D2-4150-B37D-DD051627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Anvii Rai</cp:lastModifiedBy>
  <cp:revision>12</cp:revision>
  <cp:lastPrinted>2026-09-09T06:39:00Z</cp:lastPrinted>
  <dcterms:created xsi:type="dcterms:W3CDTF">2013-12-23T23:15:00Z</dcterms:created>
  <dcterms:modified xsi:type="dcterms:W3CDTF">2026-09-09T11:55:00Z</dcterms:modified>
  <cp:category/>
</cp:coreProperties>
</file>