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D2" w:rsidRPr="00175B5E" w:rsidRDefault="00CE50D2" w:rsidP="00CE50D2">
      <w:pPr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***</w:t>
      </w:r>
      <w:r w:rsidRPr="00175B5E">
        <w:rPr>
          <w:rFonts w:ascii="Times New Roman" w:hAnsi="Times New Roman"/>
          <w:b/>
        </w:rPr>
        <w:t>Report Amended to add Incidental Findings</w:t>
      </w:r>
      <w:r>
        <w:rPr>
          <w:rFonts w:ascii="Times New Roman" w:hAnsi="Times New Roman"/>
          <w:b/>
        </w:rPr>
        <w:t>***</w:t>
      </w:r>
    </w:p>
    <w:p w:rsidR="00CE50D2" w:rsidRDefault="00CE50D2" w:rsidP="00175B5E">
      <w:pPr>
        <w:rPr>
          <w:rFonts w:ascii="Times New Roman" w:hAnsi="Times New Roman"/>
          <w:b/>
        </w:rPr>
      </w:pPr>
    </w:p>
    <w:p w:rsidR="00CE50D2" w:rsidRDefault="00CE50D2" w:rsidP="00175B5E">
      <w:pPr>
        <w:rPr>
          <w:rFonts w:ascii="Times New Roman" w:hAnsi="Times New Roman"/>
          <w:b/>
        </w:rPr>
      </w:pPr>
    </w:p>
    <w:p w:rsidR="00175B5E" w:rsidRPr="00175B5E" w:rsidRDefault="00175B5E" w:rsidP="00175B5E">
      <w:pPr>
        <w:rPr>
          <w:rFonts w:ascii="Times New Roman" w:hAnsi="Times New Roman"/>
          <w:b/>
        </w:rPr>
      </w:pPr>
      <w:r w:rsidRPr="00175B5E">
        <w:rPr>
          <w:rFonts w:ascii="Times New Roman" w:hAnsi="Times New Roman"/>
          <w:b/>
        </w:rPr>
        <w:t>Patient Results:  No known pathogenic variants detected in genes causative of genetic conditions that are medically actionable (incidental findings)</w:t>
      </w:r>
    </w:p>
    <w:p w:rsidR="00175B5E" w:rsidRPr="00175B5E" w:rsidRDefault="00175B5E" w:rsidP="00175B5E">
      <w:pPr>
        <w:rPr>
          <w:rFonts w:ascii="Times New Roman" w:hAnsi="Times New Roman"/>
        </w:rPr>
      </w:pPr>
    </w:p>
    <w:p w:rsidR="00175B5E" w:rsidRPr="00175B5E" w:rsidRDefault="00175B5E" w:rsidP="00175B5E">
      <w:pPr>
        <w:rPr>
          <w:rFonts w:ascii="Times New Roman" w:hAnsi="Times New Roman"/>
        </w:rPr>
      </w:pPr>
    </w:p>
    <w:p w:rsidR="00175B5E" w:rsidRDefault="00175B5E" w:rsidP="00175B5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Interpretation:</w:t>
      </w:r>
    </w:p>
    <w:p w:rsidR="00175B5E" w:rsidRPr="00175B5E" w:rsidRDefault="00175B5E" w:rsidP="00175B5E">
      <w:pPr>
        <w:rPr>
          <w:rFonts w:ascii="Times New Roman" w:hAnsi="Times New Roman"/>
        </w:rPr>
      </w:pPr>
      <w:r w:rsidRPr="00175B5E">
        <w:rPr>
          <w:rFonts w:ascii="Times New Roman" w:hAnsi="Times New Roman"/>
        </w:rPr>
        <w:t>This individual requested to learn about findings of genetic conditions that are medically actionable (incidental findings; please see attached list).  Our analysis did not identify any medically actionable findings in this individual.  However, it is important to understand that genome sequencing is a screening test.  This individual could carry a variant not detected by this test (see test limitations).  In addition, only known pathogenic or likely pathogenic variants</w:t>
      </w:r>
      <w:r>
        <w:rPr>
          <w:rFonts w:ascii="Times New Roman" w:hAnsi="Times New Roman"/>
        </w:rPr>
        <w:t xml:space="preserve"> are reported.</w:t>
      </w:r>
    </w:p>
    <w:p w:rsidR="00175B5E" w:rsidRPr="00175B5E" w:rsidRDefault="00175B5E" w:rsidP="00175B5E">
      <w:pPr>
        <w:rPr>
          <w:rFonts w:ascii="Times New Roman" w:hAnsi="Times New Roman"/>
        </w:rPr>
      </w:pPr>
    </w:p>
    <w:p w:rsidR="00175B5E" w:rsidRDefault="00175B5E" w:rsidP="00175B5E">
      <w:pPr>
        <w:adjustRightInd w:val="0"/>
        <w:rPr>
          <w:rFonts w:ascii="Times New Roman" w:hAnsi="Times New Roman"/>
        </w:rPr>
      </w:pPr>
      <w:r w:rsidRPr="00175B5E">
        <w:rPr>
          <w:rFonts w:ascii="Times New Roman" w:hAnsi="Times New Roman"/>
          <w:b/>
        </w:rPr>
        <w:t>Recommendations:</w:t>
      </w:r>
    </w:p>
    <w:p w:rsidR="00175B5E" w:rsidRPr="00175B5E" w:rsidRDefault="00175B5E" w:rsidP="00175B5E">
      <w:pPr>
        <w:adjustRightInd w:val="0"/>
        <w:rPr>
          <w:rFonts w:ascii="Times New Roman" w:hAnsi="Times New Roman"/>
        </w:rPr>
      </w:pPr>
      <w:r w:rsidRPr="00175B5E">
        <w:rPr>
          <w:rFonts w:ascii="Times New Roman" w:hAnsi="Times New Roman"/>
        </w:rPr>
        <w:t>Genetic counseling is recommended if the patient has unresolved questions.</w:t>
      </w:r>
    </w:p>
    <w:p w:rsidR="00175B5E" w:rsidRPr="00175B5E" w:rsidRDefault="00175B5E" w:rsidP="00175B5E">
      <w:pPr>
        <w:rPr>
          <w:rFonts w:ascii="Times New Roman" w:hAnsi="Times New Roman"/>
        </w:rPr>
      </w:pPr>
    </w:p>
    <w:p w:rsidR="00175B5E" w:rsidRPr="00175B5E" w:rsidRDefault="00175B5E" w:rsidP="00175B5E">
      <w:pPr>
        <w:rPr>
          <w:rFonts w:ascii="Times New Roman" w:eastAsia="Times New Roman" w:hAnsi="Times New Roman"/>
          <w:b/>
          <w:u w:val="single"/>
        </w:rPr>
      </w:pPr>
      <w:r w:rsidRPr="00175B5E">
        <w:rPr>
          <w:rFonts w:ascii="Times New Roman" w:eastAsia="Times New Roman" w:hAnsi="Times New Roman"/>
          <w:b/>
          <w:u w:val="single"/>
        </w:rPr>
        <w:t>Disorders for Cancer Genes:</w:t>
      </w:r>
    </w:p>
    <w:p w:rsidR="00175B5E" w:rsidRPr="00175B5E" w:rsidRDefault="00483D20" w:rsidP="00175B5E">
      <w:pPr>
        <w:rPr>
          <w:rFonts w:ascii="Times New Roman" w:eastAsia="Times New Roman" w:hAnsi="Times New Roman"/>
          <w:b/>
          <w:sz w:val="20"/>
          <w:szCs w:val="20"/>
        </w:rPr>
      </w:pPr>
      <w:hyperlink r:id="rId5" w:tooltip="BRCA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BRCA1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, BRCA2-Hereditary breast and ovarian cancer; EPCAM, </w:t>
      </w:r>
      <w:hyperlink r:id="rId6" w:tooltip="MLH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MLH1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, MLH3, MSH2, MSH6, PMS1, PMS2-Hereditary nonpolyposis colorectal cancer/Lynch syndrome; </w:t>
      </w:r>
      <w:hyperlink r:id="rId7" w:tooltip="APC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APC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-Familial adenomatous polyposis; </w:t>
      </w:r>
      <w:hyperlink r:id="rId8" w:tooltip="PTEN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PTEN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-Cowden syndrome; </w:t>
      </w:r>
      <w:hyperlink r:id="rId9" w:tooltip="TP53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TP53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-Li-Fraumeni syndrome; </w:t>
      </w:r>
      <w:hyperlink r:id="rId10" w:tooltip="MEN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MEN1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-Multiple endocrine neoplasia, type 1; </w:t>
      </w:r>
      <w:hyperlink r:id="rId11" w:tooltip="RET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RET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-Multiple endocrine neoplasia , type 2;BMPR1A-Juvenile polyposis syndrome;; CDC73-Hyperparathyroidism-jaw tumor syndrome; </w:t>
      </w:r>
      <w:hyperlink r:id="rId12" w:tooltip="CDH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CDH1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-Hereditary diffuse gastric cancer;; </w:t>
      </w:r>
      <w:hyperlink r:id="rId13" w:tooltip="FH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FH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-Leiomyomatosis and renal cell cancer; FLCN-Birt-Hogg-Dube syndrome; GREM1-Hereditary Mixed Polyposis; KIT-Gastrointestinal stromal tumor;; MET-Renal cell carcinoma, papillary, familial; </w:t>
      </w:r>
      <w:hyperlink r:id="rId14" w:tooltip="MUTYH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MUTYH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>-MYH Associated polyposis; PDGFRA-Gastrointestinal stromal tumor; POLD1, POLE-Colorectal adenomas and carcinomas; PTCH1-</w:t>
      </w:r>
      <w:hyperlink r:id="rId15" w:history="1"/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 Basal cell nevus syndrome; SCG5-Hereditary Mixed Polyposis; </w:t>
      </w:r>
      <w:hyperlink r:id="rId16" w:tooltip="SMAD4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SMAD4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-Juvenile polyposis syndrome; SMARCB1-Schwannomatosis; </w:t>
      </w:r>
      <w:hyperlink r:id="rId17" w:tooltip="STK1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STK11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-Peutz-Jeghers syndrome; </w:t>
      </w:r>
      <w:hyperlink r:id="rId18" w:tooltip="TGFBR2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TGFBR2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 Hereditary nonpolyposis colorectal cancer/Lynch </w:t>
      </w:r>
      <w:r w:rsidR="00B56E4C">
        <w:rPr>
          <w:rFonts w:ascii="Times New Roman" w:eastAsia="Times New Roman" w:hAnsi="Times New Roman"/>
          <w:sz w:val="20"/>
          <w:szCs w:val="20"/>
        </w:rPr>
        <w:t>syndrome / Loeys-Dietz syndrome</w:t>
      </w:r>
    </w:p>
    <w:p w:rsidR="00175B5E" w:rsidRPr="00175B5E" w:rsidRDefault="00175B5E" w:rsidP="00175B5E">
      <w:pPr>
        <w:rPr>
          <w:rFonts w:ascii="Times New Roman" w:eastAsia="Times New Roman" w:hAnsi="Times New Roman"/>
        </w:rPr>
      </w:pPr>
    </w:p>
    <w:p w:rsidR="00175B5E" w:rsidRPr="00175B5E" w:rsidRDefault="00175B5E" w:rsidP="00175B5E">
      <w:pPr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u w:val="single"/>
        </w:rPr>
        <w:t>Non Cancer Genes:</w:t>
      </w:r>
    </w:p>
    <w:p w:rsidR="00175B5E" w:rsidRPr="00175B5E" w:rsidRDefault="00175B5E" w:rsidP="00175B5E">
      <w:pPr>
        <w:rPr>
          <w:rFonts w:ascii="Times New Roman" w:eastAsia="Times New Roman" w:hAnsi="Times New Roman"/>
        </w:rPr>
      </w:pPr>
    </w:p>
    <w:p w:rsidR="00175B5E" w:rsidRPr="00175B5E" w:rsidRDefault="00175B5E" w:rsidP="00175B5E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Autosomal Dominant:</w:t>
      </w:r>
    </w:p>
    <w:p w:rsidR="00175B5E" w:rsidRPr="00175B5E" w:rsidRDefault="00483D20" w:rsidP="00175B5E">
      <w:pPr>
        <w:rPr>
          <w:rFonts w:ascii="Times New Roman" w:eastAsia="Times New Roman" w:hAnsi="Times New Roman"/>
          <w:b/>
          <w:sz w:val="20"/>
          <w:szCs w:val="20"/>
        </w:rPr>
      </w:pPr>
      <w:hyperlink r:id="rId19" w:tooltip="ACTA2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ACTA2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-Aortic aneurysm, familial thoracic; ACTC1, MYH7-Cardiomyopathy, dilated; Cardiomyopathy, familial hypertrophic; Left ventricular noncompaction; </w:t>
      </w:r>
      <w:hyperlink r:id="rId20" w:tooltip="ACVRL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ACVRL1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>-Telangiectasia, hereditary hemorrhagic; CACNA1C-SQTS-4;</w:t>
      </w:r>
      <w:r w:rsidR="00175B5E" w:rsidRPr="00175B5E">
        <w:rPr>
          <w:rFonts w:ascii="Times New Roman" w:eastAsia="Times New Roman" w:hAnsi="Times New Roman"/>
          <w:iCs/>
          <w:sz w:val="20"/>
          <w:szCs w:val="20"/>
          <w:shd w:val="clear" w:color="auto" w:fill="FFFFFF"/>
        </w:rPr>
        <w:t xml:space="preserve"> CACNA1S-</w:t>
      </w:r>
      <w:r w:rsidR="00175B5E" w:rsidRPr="00175B5E">
        <w:rPr>
          <w:rFonts w:ascii="Times New Roman" w:eastAsia="Times New Roman" w:hAnsi="Times New Roman"/>
          <w:sz w:val="20"/>
          <w:szCs w:val="20"/>
        </w:rPr>
        <w:t>Malignant hyperthermia susceptibility; CACNB2SQTS-5; CNBP-Myotonic dystrophy 2; COL3A1-Ehlers-Danlos syndrome; DMPK-Myotonic dystrophy 1;</w:t>
      </w:r>
      <w:r w:rsidR="00175B5E" w:rsidRPr="00175B5E">
        <w:rPr>
          <w:rFonts w:ascii="Times New Roman" w:eastAsia="Times New Roman" w:hAnsi="Times New Roman"/>
          <w:color w:val="000000"/>
          <w:sz w:val="20"/>
          <w:szCs w:val="20"/>
        </w:rPr>
        <w:t xml:space="preserve"> DSC2, DSG2, DSP-</w:t>
      </w:r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Arrhythmogenic right ventricular dysplasia; ENG-Telangiectasia, hereditary hemorrhagic, type 1 187300; </w:t>
      </w:r>
      <w:hyperlink r:id="rId21" w:tooltip="FBN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FBN1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-Marfan syndrome; GCH1-Dystonia, DOPA-responsive, with or without hyperphenylalainemia; HMBS-Porphyria, acute intermittent; KCNE1-LQTS-5; KCNE2-LQTS-6; KCNH2-LQTS-2, SQTS-1; KCNJ2-SQTS-3; KCNQ1-LQTS-1, SQTS-2; LDLR-Hypercholesterolemia, familial; LMNA-Cardiomyopathy; MYBPC3-Cardiomyopathy, dilated; Cardiomyopathy, familial hypertrophic; </w:t>
      </w:r>
      <w:hyperlink r:id="rId22" w:tooltip="MYH1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MYH11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>- Aortic aneurysm, familial thoracic; MYL2-Cardiomyopathy, familial hypertrophic; MYL3-Cardiomyopathy, familial hypertrophic; MYLK-</w:t>
      </w:r>
      <w:hyperlink r:id="rId23" w:history="1"/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Aortic aneurysm, familial thoracic; NF2- Neurofibromatosis, type 2; PKP2-Arrhythmogenic right ventricular dysplasia; PLN, SGCD-Cardiomyopathy, dilated; Cardiomyopathy, familial hypertrophic; </w:t>
      </w:r>
      <w:hyperlink r:id="rId24" w:tooltip="PRKAG2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PRKAG2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>-Wolff-Parkinson-White syndrome; Cardiomyopathy,hypertrophic 6; PRKAR1A-</w:t>
      </w:r>
      <w:r w:rsidR="00175B5E" w:rsidRPr="00175B5E">
        <w:rPr>
          <w:rFonts w:ascii="Times New Roman" w:eastAsia="Times New Roman" w:hAnsi="Times New Roman"/>
          <w:bCs/>
          <w:sz w:val="20"/>
          <w:szCs w:val="20"/>
        </w:rPr>
        <w:t>Carney</w:t>
      </w:r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 </w:t>
      </w:r>
      <w:r w:rsidR="00175B5E" w:rsidRPr="00175B5E">
        <w:rPr>
          <w:rFonts w:ascii="Times New Roman" w:eastAsia="Times New Roman" w:hAnsi="Times New Roman"/>
          <w:bCs/>
          <w:sz w:val="20"/>
          <w:szCs w:val="20"/>
        </w:rPr>
        <w:t>complex</w:t>
      </w:r>
      <w:r w:rsidR="00175B5E" w:rsidRPr="00175B5E">
        <w:rPr>
          <w:rFonts w:ascii="Times New Roman" w:eastAsia="Times New Roman" w:hAnsi="Times New Roman"/>
          <w:sz w:val="20"/>
          <w:szCs w:val="20"/>
        </w:rPr>
        <w:t>, type 1; PROC-Thrombophilia due to protein C deficiency; PROS1-Thrombophilia due to protein S deficiency; PTCH1-</w:t>
      </w:r>
      <w:hyperlink r:id="rId25" w:history="1"/>
      <w:r w:rsidR="00175B5E" w:rsidRPr="00175B5E">
        <w:rPr>
          <w:rFonts w:ascii="Times New Roman" w:eastAsia="Times New Roman" w:hAnsi="Times New Roman"/>
          <w:sz w:val="20"/>
          <w:szCs w:val="20"/>
        </w:rPr>
        <w:t>Basal cell nevus syndrome; RBM20-Cardiomyopathy, dilated;</w:t>
      </w:r>
      <w:r w:rsidR="00175B5E" w:rsidRPr="00175B5E">
        <w:rPr>
          <w:rFonts w:ascii="Times New Roman" w:eastAsia="Times New Roman" w:hAnsi="Times New Roman"/>
          <w:iCs/>
          <w:sz w:val="20"/>
          <w:szCs w:val="20"/>
          <w:shd w:val="clear" w:color="auto" w:fill="FFFFFF"/>
        </w:rPr>
        <w:t xml:space="preserve"> RYR1-</w:t>
      </w:r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Malignant hyperthermia susceptibility 1; RYR2-Arrhythmogenic right ventricular dysplasia; SCN5A-LQTS-3; BRGDA 1; </w:t>
      </w:r>
      <w:hyperlink r:id="rId26" w:tooltip="SDHAF2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SDHAF2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, </w:t>
      </w:r>
      <w:hyperlink r:id="rId27" w:tooltip="SDHB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SDHB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>,</w:t>
      </w:r>
      <w:hyperlink r:id="rId28" w:tooltip="SDHC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SDHC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, </w:t>
      </w:r>
      <w:hyperlink r:id="rId29" w:tooltip="SDHD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SDHD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-Hereditarty paragangliomas and pheochromocytomas; SERPINC1-Thrombophilia due to antithrombin III deficiency; SMAD3-Loeys-Dietz syndrome 1C; TGFB3-Arrhythmogenic right ventricular dysplasia 1; </w:t>
      </w:r>
      <w:hyperlink r:id="rId30" w:tooltip="TGFBR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TGFBR1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-Loeys-Dietz syndrome, type 1A and </w:t>
      </w:r>
      <w:r w:rsidR="00175B5E" w:rsidRPr="00175B5E">
        <w:rPr>
          <w:rFonts w:ascii="Times New Roman" w:eastAsia="Times New Roman" w:hAnsi="Times New Roman"/>
          <w:sz w:val="20"/>
          <w:szCs w:val="20"/>
        </w:rPr>
        <w:lastRenderedPageBreak/>
        <w:t xml:space="preserve">type 2A; TMEM43-Arrhythmogenic right ventricular dysplasia 5; TNNI3,TNNT2,TPM1,TTN-Cardiomyopathy, dilated; Cardiomyopathy, familial hypertrophic; TSC1,TSC2-Tuberous sclerosis complex; </w:t>
      </w:r>
      <w:hyperlink r:id="rId31" w:tooltip="VHL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VHL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>-von Hippel-Lindau syndrome</w:t>
      </w:r>
    </w:p>
    <w:p w:rsidR="00175B5E" w:rsidRPr="00175B5E" w:rsidRDefault="00175B5E" w:rsidP="00175B5E">
      <w:pPr>
        <w:rPr>
          <w:rFonts w:ascii="Times New Roman" w:eastAsia="Times New Roman" w:hAnsi="Times New Roman"/>
          <w:sz w:val="20"/>
          <w:szCs w:val="20"/>
        </w:rPr>
      </w:pPr>
    </w:p>
    <w:p w:rsidR="00175B5E" w:rsidRPr="00175B5E" w:rsidRDefault="00175B5E" w:rsidP="00175B5E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Autosomal Recessive</w:t>
      </w:r>
      <w:r w:rsidRPr="00175B5E">
        <w:rPr>
          <w:rFonts w:ascii="Times New Roman" w:eastAsia="Times New Roman" w:hAnsi="Times New Roman"/>
          <w:b/>
        </w:rPr>
        <w:t xml:space="preserve"> </w:t>
      </w:r>
      <w:r w:rsidRPr="00175B5E">
        <w:rPr>
          <w:rFonts w:ascii="Times New Roman" w:eastAsia="Times New Roman" w:hAnsi="Times New Roman"/>
        </w:rPr>
        <w:t>(</w:t>
      </w:r>
      <w:r w:rsidRPr="00175B5E">
        <w:rPr>
          <w:rFonts w:ascii="Times New Roman" w:eastAsia="Times New Roman" w:hAnsi="Times New Roman"/>
          <w:i/>
        </w:rPr>
        <w:t>Homozygotes)</w:t>
      </w:r>
      <w:r>
        <w:rPr>
          <w:rFonts w:ascii="Times New Roman" w:eastAsia="Times New Roman" w:hAnsi="Times New Roman"/>
        </w:rPr>
        <w:t>:</w:t>
      </w:r>
    </w:p>
    <w:p w:rsidR="00175B5E" w:rsidRPr="00175B5E" w:rsidRDefault="00483D20" w:rsidP="00175B5E">
      <w:pPr>
        <w:rPr>
          <w:rFonts w:ascii="Times New Roman" w:eastAsia="Times New Roman" w:hAnsi="Times New Roman"/>
          <w:i/>
          <w:sz w:val="20"/>
          <w:szCs w:val="20"/>
        </w:rPr>
      </w:pPr>
      <w:hyperlink r:id="rId32" w:tooltip="ATP7B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ATP7B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 -Wilson disease; BCHE-Pseudocholinesterase deficienct </w:t>
      </w:r>
      <w:r w:rsidR="00175B5E" w:rsidRPr="00175B5E">
        <w:rPr>
          <w:rFonts w:ascii="Times New Roman" w:eastAsia="Times New Roman" w:hAnsi="Times New Roman"/>
          <w:i/>
          <w:sz w:val="20"/>
          <w:szCs w:val="20"/>
        </w:rPr>
        <w:t>(homozygotes for null alleles only);</w:t>
      </w:r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 BLM-Bloom syndrome; CASQ2-Ventricular tachycardia, catecholaminergic polymorphic; </w:t>
      </w:r>
      <w:hyperlink r:id="rId33" w:tooltip="CFTR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CFTR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-Cystic fibrosis; </w:t>
      </w:r>
      <w:hyperlink r:id="rId34" w:tooltip="COQ2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COQ2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-Coenzyme Q10 deficiency; </w:t>
      </w:r>
      <w:hyperlink r:id="rId35" w:tooltip="COQ9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COQ9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-Coenzyme Q10 deficiency; CPT2-CPT deficiency, hepatic, type II; </w:t>
      </w:r>
      <w:hyperlink r:id="rId36" w:tooltip="F5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F5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-Factor V deficiency; GAA-Glycogen storage disease II; </w:t>
      </w:r>
      <w:hyperlink r:id="rId37" w:tooltip="HAMP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HAMP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-Hemochromatosis, type 2B; </w:t>
      </w:r>
      <w:hyperlink r:id="rId38" w:tooltip="HFE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HFE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-Hemochromatosis </w:t>
      </w:r>
      <w:r w:rsidR="00175B5E" w:rsidRPr="00175B5E">
        <w:rPr>
          <w:rFonts w:ascii="Times New Roman" w:eastAsia="Times New Roman" w:hAnsi="Times New Roman"/>
          <w:i/>
          <w:sz w:val="20"/>
          <w:szCs w:val="20"/>
        </w:rPr>
        <w:t>*C282Y only;</w:t>
      </w:r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 </w:t>
      </w:r>
      <w:hyperlink r:id="rId39" w:tooltip="HFE2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HFE2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-Hemochromatosis, type 2A; IDUA-Mucopolysaccharidosis; </w:t>
      </w:r>
      <w:hyperlink r:id="rId40" w:tooltip="LDLRAP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LDLRAP1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-Hypercholesterolemia, familial; </w:t>
      </w:r>
      <w:hyperlink r:id="rId41" w:tooltip="PAH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PAH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-Phenylketonuria; </w:t>
      </w:r>
      <w:hyperlink r:id="rId42" w:tooltip="PCBD1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PCBD1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 Hyperphenylalaninemia, BH4-deficient, D; </w:t>
      </w:r>
      <w:hyperlink r:id="rId43" w:tooltip="PTS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PTS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 Hyperphenylalaninemia, BH4-deficient, A; </w:t>
      </w:r>
      <w:hyperlink r:id="rId44" w:tooltip="QDPR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QDPR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 Hyperphenylalaninemia, BH4-deficient, C; SERPINA1-Emphysema due to AAT deficiency; SLC25A13-Citrullinemia, adult-onset type II; </w:t>
      </w:r>
      <w:hyperlink r:id="rId45" w:tooltip="SLC37A4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SLC37A4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 xml:space="preserve">-Glycogen storage disease Ib; Glycogen storage disease Ic; </w:t>
      </w:r>
      <w:hyperlink r:id="rId46" w:tooltip="SLC7A9 (page does not exist)" w:history="1">
        <w:r w:rsidR="00175B5E" w:rsidRPr="00175B5E">
          <w:rPr>
            <w:rFonts w:ascii="Times New Roman" w:eastAsia="Times New Roman" w:hAnsi="Times New Roman"/>
            <w:sz w:val="20"/>
            <w:szCs w:val="20"/>
          </w:rPr>
          <w:t>SLC7A9</w:t>
        </w:r>
      </w:hyperlink>
      <w:r w:rsidR="00175B5E" w:rsidRPr="00175B5E">
        <w:rPr>
          <w:rFonts w:ascii="Times New Roman" w:eastAsia="Times New Roman" w:hAnsi="Times New Roman"/>
          <w:sz w:val="20"/>
          <w:szCs w:val="20"/>
        </w:rPr>
        <w:t>-Cystinuria</w:t>
      </w:r>
    </w:p>
    <w:p w:rsidR="00175B5E" w:rsidRPr="00175B5E" w:rsidRDefault="00175B5E" w:rsidP="00175B5E">
      <w:pPr>
        <w:rPr>
          <w:rFonts w:ascii="Times New Roman" w:eastAsia="Times New Roman" w:hAnsi="Times New Roman"/>
        </w:rPr>
      </w:pPr>
    </w:p>
    <w:p w:rsidR="00175B5E" w:rsidRPr="00175B5E" w:rsidRDefault="00175B5E" w:rsidP="00175B5E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X-Linked</w:t>
      </w:r>
    </w:p>
    <w:p w:rsidR="00FC3F7B" w:rsidRDefault="00175B5E">
      <w:pPr>
        <w:rPr>
          <w:rFonts w:ascii="Times New Roman" w:eastAsia="Times New Roman" w:hAnsi="Times New Roman"/>
          <w:sz w:val="20"/>
          <w:szCs w:val="20"/>
        </w:rPr>
      </w:pPr>
      <w:r w:rsidRPr="00175B5E">
        <w:rPr>
          <w:rFonts w:ascii="Times New Roman" w:eastAsia="Times New Roman" w:hAnsi="Times New Roman"/>
          <w:sz w:val="20"/>
          <w:szCs w:val="20"/>
        </w:rPr>
        <w:t xml:space="preserve">DMD-Becker muscular dystrophy; Cardiomyopathy, dilated; Duchenne muscular dystrophy; EMD-Emery-Dreifuss muscular dystrophy 1; </w:t>
      </w:r>
      <w:hyperlink r:id="rId47" w:tooltip="GLA (page does not exist)" w:history="1">
        <w:r w:rsidRPr="00175B5E">
          <w:rPr>
            <w:rFonts w:ascii="Times New Roman" w:eastAsia="Times New Roman" w:hAnsi="Times New Roman"/>
            <w:sz w:val="20"/>
            <w:szCs w:val="20"/>
          </w:rPr>
          <w:t>GLA</w:t>
        </w:r>
      </w:hyperlink>
      <w:r w:rsidRPr="00175B5E">
        <w:rPr>
          <w:rFonts w:ascii="Times New Roman" w:eastAsia="Times New Roman" w:hAnsi="Times New Roman"/>
          <w:sz w:val="20"/>
          <w:szCs w:val="20"/>
        </w:rPr>
        <w:t>-Fabry disease; OTC-Ornithine transcarbamylase deficiency</w:t>
      </w:r>
    </w:p>
    <w:p w:rsidR="00B56E4C" w:rsidRDefault="00B56E4C">
      <w:pPr>
        <w:rPr>
          <w:rFonts w:ascii="Times New Roman" w:eastAsia="Times New Roman" w:hAnsi="Times New Roman"/>
          <w:sz w:val="20"/>
          <w:szCs w:val="20"/>
        </w:rPr>
      </w:pPr>
    </w:p>
    <w:p w:rsidR="00B56E4C" w:rsidRDefault="00B56E4C">
      <w:pPr>
        <w:rPr>
          <w:rFonts w:ascii="Times New Roman" w:eastAsia="Times New Roman" w:hAnsi="Times New Roman"/>
          <w:sz w:val="20"/>
          <w:szCs w:val="20"/>
        </w:rPr>
      </w:pPr>
    </w:p>
    <w:p w:rsidR="00B56E4C" w:rsidRPr="00B56E4C" w:rsidRDefault="00B56E4C" w:rsidP="00B56E4C">
      <w:pPr>
        <w:rPr>
          <w:rFonts w:ascii="Times New Roman" w:eastAsia="Times New Roman" w:hAnsi="Times New Roman"/>
          <w:b/>
          <w:bCs/>
          <w:sz w:val="20"/>
          <w:szCs w:val="20"/>
        </w:rPr>
      </w:pPr>
      <w:r w:rsidRPr="00B56E4C">
        <w:rPr>
          <w:rFonts w:ascii="Times New Roman" w:eastAsia="Times New Roman" w:hAnsi="Times New Roman"/>
          <w:b/>
          <w:bCs/>
          <w:sz w:val="20"/>
          <w:szCs w:val="20"/>
        </w:rPr>
        <w:t>For Carrier Screen results, please see below:</w:t>
      </w:r>
    </w:p>
    <w:p w:rsidR="00B56E4C" w:rsidRPr="00175B5E" w:rsidRDefault="00B56E4C">
      <w:pPr>
        <w:rPr>
          <w:rFonts w:ascii="Times New Roman" w:eastAsia="Times New Roman" w:hAnsi="Times New Roman"/>
          <w:b/>
          <w:sz w:val="20"/>
          <w:szCs w:val="20"/>
        </w:rPr>
      </w:pPr>
    </w:p>
    <w:sectPr w:rsidR="00B56E4C" w:rsidRPr="00175B5E" w:rsidSect="0017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5E"/>
    <w:rsid w:val="00175B5E"/>
    <w:rsid w:val="00483D20"/>
    <w:rsid w:val="00536D2F"/>
    <w:rsid w:val="00B56E4C"/>
    <w:rsid w:val="00CE50D2"/>
    <w:rsid w:val="00FC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B5E"/>
    <w:rPr>
      <w:rFonts w:ascii="Cambria" w:eastAsia="MS Mincho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B5E"/>
    <w:rPr>
      <w:rFonts w:ascii="Cambria" w:eastAsia="MS Mincho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cgenes.org/w/index.php?title=FH&amp;action=edit&amp;redlink=1" TargetMode="External"/><Relationship Id="rId18" Type="http://schemas.openxmlformats.org/officeDocument/2006/relationships/hyperlink" Target="http://ncgenes.org/w/index.php?title=TGFBR2&amp;action=edit&amp;redlink=1" TargetMode="External"/><Relationship Id="rId26" Type="http://schemas.openxmlformats.org/officeDocument/2006/relationships/hyperlink" Target="http://ncgenes.org/w/index.php?title=SDHAF2&amp;action=edit&amp;redlink=1" TargetMode="External"/><Relationship Id="rId39" Type="http://schemas.openxmlformats.org/officeDocument/2006/relationships/hyperlink" Target="http://ncgenes.org/w/index.php?title=HFE2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cgenes.org/w/index.php?title=FBN1&amp;action=edit&amp;redlink=1" TargetMode="External"/><Relationship Id="rId34" Type="http://schemas.openxmlformats.org/officeDocument/2006/relationships/hyperlink" Target="http://ncgenes.org/w/index.php?title=COQ2&amp;action=edit&amp;redlink=1" TargetMode="External"/><Relationship Id="rId42" Type="http://schemas.openxmlformats.org/officeDocument/2006/relationships/hyperlink" Target="http://ncgenes.org/w/index.php?title=PCBD1&amp;action=edit&amp;redlink=1" TargetMode="External"/><Relationship Id="rId47" Type="http://schemas.openxmlformats.org/officeDocument/2006/relationships/hyperlink" Target="http://ncgenes.org/w/index.php?title=GLA&amp;action=edit&amp;redlink=1" TargetMode="External"/><Relationship Id="rId7" Type="http://schemas.openxmlformats.org/officeDocument/2006/relationships/hyperlink" Target="http://ncgenes.org/w/index.php?title=APC&amp;action=edit&amp;redlink=1" TargetMode="External"/><Relationship Id="rId12" Type="http://schemas.openxmlformats.org/officeDocument/2006/relationships/hyperlink" Target="http://ncgenes.org/w/index.php?title=CDH1&amp;action=edit&amp;redlink=1" TargetMode="External"/><Relationship Id="rId17" Type="http://schemas.openxmlformats.org/officeDocument/2006/relationships/hyperlink" Target="http://ncgenes.org/w/index.php?title=STK11&amp;action=edit&amp;redlink=1" TargetMode="External"/><Relationship Id="rId25" Type="http://schemas.openxmlformats.org/officeDocument/2006/relationships/hyperlink" Target="http://omim.org/geneMap/9/242?start=-3&amp;limit=10&amp;highlight=242" TargetMode="External"/><Relationship Id="rId33" Type="http://schemas.openxmlformats.org/officeDocument/2006/relationships/hyperlink" Target="http://ncgenes.org/w/index.php?title=CFTR&amp;action=edit&amp;redlink=1" TargetMode="External"/><Relationship Id="rId38" Type="http://schemas.openxmlformats.org/officeDocument/2006/relationships/hyperlink" Target="http://ncgenes.org/w/index.php?title=HFE&amp;action=edit&amp;redlink=1" TargetMode="External"/><Relationship Id="rId46" Type="http://schemas.openxmlformats.org/officeDocument/2006/relationships/hyperlink" Target="http://ncgenes.org/w/index.php?title=SLC7A9&amp;action=edit&amp;redlink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ncgenes.org/w/index.php?title=SMAD4&amp;action=edit&amp;redlink=1" TargetMode="External"/><Relationship Id="rId20" Type="http://schemas.openxmlformats.org/officeDocument/2006/relationships/hyperlink" Target="http://ncgenes.org/w/index.php?title=ACVRL1&amp;action=edit&amp;redlink=1" TargetMode="External"/><Relationship Id="rId29" Type="http://schemas.openxmlformats.org/officeDocument/2006/relationships/hyperlink" Target="http://ncgenes.org/w/index.php?title=SDHD&amp;action=edit&amp;redlink=1" TargetMode="External"/><Relationship Id="rId41" Type="http://schemas.openxmlformats.org/officeDocument/2006/relationships/hyperlink" Target="http://ncgenes.org/w/index.php?title=PAH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://ncgenes.org/w/index.php?title=MLH1&amp;action=edit&amp;redlink=1" TargetMode="External"/><Relationship Id="rId11" Type="http://schemas.openxmlformats.org/officeDocument/2006/relationships/hyperlink" Target="http://ncgenes.org/w/index.php?title=RET&amp;action=edit&amp;redlink=1" TargetMode="External"/><Relationship Id="rId24" Type="http://schemas.openxmlformats.org/officeDocument/2006/relationships/hyperlink" Target="http://ncgenes.org/w/index.php?title=PRKAG2&amp;action=edit&amp;redlink=1" TargetMode="External"/><Relationship Id="rId32" Type="http://schemas.openxmlformats.org/officeDocument/2006/relationships/hyperlink" Target="http://ncgenes.org/w/index.php?title=ATP7B&amp;action=edit&amp;redlink=1" TargetMode="External"/><Relationship Id="rId37" Type="http://schemas.openxmlformats.org/officeDocument/2006/relationships/hyperlink" Target="http://ncgenes.org/w/index.php?title=HAMP&amp;action=edit&amp;redlink=1" TargetMode="External"/><Relationship Id="rId40" Type="http://schemas.openxmlformats.org/officeDocument/2006/relationships/hyperlink" Target="http://ncgenes.org/w/index.php?title=LDLRAP1&amp;action=edit&amp;redlink=1" TargetMode="External"/><Relationship Id="rId45" Type="http://schemas.openxmlformats.org/officeDocument/2006/relationships/hyperlink" Target="http://ncgenes.org/w/index.php?title=SLC37A4&amp;action=edit&amp;redlink=1" TargetMode="External"/><Relationship Id="rId5" Type="http://schemas.openxmlformats.org/officeDocument/2006/relationships/hyperlink" Target="http://ncgenes.org/w/index.php?title=BRCA1&amp;action=edit&amp;redlink=1" TargetMode="External"/><Relationship Id="rId15" Type="http://schemas.openxmlformats.org/officeDocument/2006/relationships/hyperlink" Target="http://omim.org/geneMap/9/242?start=-3&amp;limit=10&amp;highlight=242" TargetMode="External"/><Relationship Id="rId23" Type="http://schemas.openxmlformats.org/officeDocument/2006/relationships/hyperlink" Target="http://omim.org/geneMap/3/427?start=-3&amp;limit=10&amp;highlight=427" TargetMode="External"/><Relationship Id="rId28" Type="http://schemas.openxmlformats.org/officeDocument/2006/relationships/hyperlink" Target="http://ncgenes.org/w/index.php?title=SDHC&amp;action=edit&amp;redlink=1" TargetMode="External"/><Relationship Id="rId36" Type="http://schemas.openxmlformats.org/officeDocument/2006/relationships/hyperlink" Target="http://ncgenes.org/w/index.php?title=F5&amp;action=edit&amp;redlink=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ncgenes.org/w/index.php?title=MEN1&amp;action=edit&amp;redlink=1" TargetMode="External"/><Relationship Id="rId19" Type="http://schemas.openxmlformats.org/officeDocument/2006/relationships/hyperlink" Target="http://ncgenes.org/w/index.php?title=ACTA2&amp;action=edit&amp;redlink=1" TargetMode="External"/><Relationship Id="rId31" Type="http://schemas.openxmlformats.org/officeDocument/2006/relationships/hyperlink" Target="http://ncgenes.org/w/index.php?title=VHL&amp;action=edit&amp;redlink=1" TargetMode="External"/><Relationship Id="rId44" Type="http://schemas.openxmlformats.org/officeDocument/2006/relationships/hyperlink" Target="http://ncgenes.org/w/index.php?title=QDPR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cgenes.org/w/index.php?title=TP53&amp;action=edit&amp;redlink=1" TargetMode="External"/><Relationship Id="rId14" Type="http://schemas.openxmlformats.org/officeDocument/2006/relationships/hyperlink" Target="http://ncgenes.org/w/index.php?title=MUTYH&amp;action=edit&amp;redlink=1" TargetMode="External"/><Relationship Id="rId22" Type="http://schemas.openxmlformats.org/officeDocument/2006/relationships/hyperlink" Target="http://ncgenes.org/w/index.php?title=MYH11&amp;action=edit&amp;redlink=1" TargetMode="External"/><Relationship Id="rId27" Type="http://schemas.openxmlformats.org/officeDocument/2006/relationships/hyperlink" Target="http://ncgenes.org/w/index.php?title=SDHB&amp;action=edit&amp;redlink=1" TargetMode="External"/><Relationship Id="rId30" Type="http://schemas.openxmlformats.org/officeDocument/2006/relationships/hyperlink" Target="http://ncgenes.org/w/index.php?title=TGFBR1&amp;action=edit&amp;redlink=1" TargetMode="External"/><Relationship Id="rId35" Type="http://schemas.openxmlformats.org/officeDocument/2006/relationships/hyperlink" Target="http://ncgenes.org/w/index.php?title=COQ9&amp;action=edit&amp;redlink=1" TargetMode="External"/><Relationship Id="rId43" Type="http://schemas.openxmlformats.org/officeDocument/2006/relationships/hyperlink" Target="http://ncgenes.org/w/index.php?title=PTS&amp;action=edit&amp;redlink=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ncgenes.org/w/index.php?title=PTEN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1454</Words>
  <Characters>8293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McCabe</dc:creator>
  <cp:lastModifiedBy>image_acct</cp:lastModifiedBy>
  <cp:revision>2</cp:revision>
  <dcterms:created xsi:type="dcterms:W3CDTF">2015-11-06T18:03:00Z</dcterms:created>
  <dcterms:modified xsi:type="dcterms:W3CDTF">2015-11-06T18:03:00Z</dcterms:modified>
</cp:coreProperties>
</file>